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9"/>
        <w:rPr>
          <w:rFonts w:hint="eastAsia" w:ascii="方正小标宋_GBK" w:eastAsia="方正小标宋_GBK"/>
          <w:bCs/>
          <w:sz w:val="72"/>
          <w:szCs w:val="72"/>
        </w:rPr>
      </w:pPr>
      <w:bookmarkStart w:id="0" w:name="_Toc23114"/>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9"/>
        <w:rPr>
          <w:rFonts w:ascii="华文仿宋" w:hAnsi="华文仿宋" w:eastAsia="华文仿宋" w:cs="华文仿宋"/>
          <w:color w:val="000000"/>
          <w:kern w:val="44"/>
          <w:sz w:val="44"/>
          <w:szCs w:val="44"/>
        </w:rPr>
      </w:pPr>
    </w:p>
    <w:p>
      <w:pPr>
        <w:jc w:val="center"/>
        <w:rPr>
          <w:rFonts w:eastAsia="仿宋"/>
          <w:sz w:val="52"/>
          <w:szCs w:val="52"/>
        </w:rPr>
      </w:pPr>
    </w:p>
    <w:p>
      <w:pPr>
        <w:keepNext w:val="0"/>
        <w:keepLines w:val="0"/>
        <w:pageBreakBefore w:val="0"/>
        <w:widowControl w:val="0"/>
        <w:kinsoku/>
        <w:wordWrap/>
        <w:overflowPunct/>
        <w:topLinePunct w:val="0"/>
        <w:autoSpaceDE/>
        <w:autoSpaceDN/>
        <w:bidi w:val="0"/>
        <w:ind w:firstLine="0"/>
        <w:jc w:val="center"/>
        <w:textAlignment w:val="auto"/>
        <w:rPr>
          <w:rFonts w:eastAsia="仿宋"/>
          <w:sz w:val="44"/>
          <w:szCs w:val="44"/>
        </w:rPr>
      </w:pPr>
    </w:p>
    <w:p>
      <w:pPr>
        <w:keepNext w:val="0"/>
        <w:keepLines w:val="0"/>
        <w:pageBreakBefore w:val="0"/>
        <w:widowControl w:val="0"/>
        <w:kinsoku/>
        <w:wordWrap/>
        <w:overflowPunct/>
        <w:topLinePunct w:val="0"/>
        <w:autoSpaceDE/>
        <w:autoSpaceDN/>
        <w:bidi w:val="0"/>
        <w:ind w:firstLine="0"/>
        <w:jc w:val="center"/>
        <w:textAlignment w:val="auto"/>
        <w:rPr>
          <w:rFonts w:eastAsia="仿宋"/>
          <w:sz w:val="44"/>
          <w:szCs w:val="44"/>
        </w:rPr>
      </w:pPr>
    </w:p>
    <w:p>
      <w:pPr>
        <w:keepNext w:val="0"/>
        <w:keepLines w:val="0"/>
        <w:pageBreakBefore w:val="0"/>
        <w:widowControl w:val="0"/>
        <w:kinsoku/>
        <w:wordWrap/>
        <w:overflowPunct/>
        <w:topLinePunct w:val="0"/>
        <w:autoSpaceDE/>
        <w:autoSpaceDN/>
        <w:bidi w:val="0"/>
        <w:ind w:firstLine="0"/>
        <w:jc w:val="center"/>
        <w:textAlignment w:val="auto"/>
        <w:rPr>
          <w:rFonts w:eastAsia="仿宋"/>
          <w:sz w:val="44"/>
          <w:szCs w:val="44"/>
        </w:rPr>
      </w:pPr>
    </w:p>
    <w:p>
      <w:pPr>
        <w:keepNext w:val="0"/>
        <w:keepLines w:val="0"/>
        <w:pageBreakBefore w:val="0"/>
        <w:widowControl w:val="0"/>
        <w:kinsoku/>
        <w:wordWrap/>
        <w:overflowPunct/>
        <w:topLinePunct w:val="0"/>
        <w:autoSpaceDE/>
        <w:autoSpaceDN/>
        <w:bidi w:val="0"/>
        <w:ind w:firstLine="0"/>
        <w:jc w:val="center"/>
        <w:textAlignment w:val="auto"/>
        <w:rPr>
          <w:rFonts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eastAsia" w:ascii="仿宋_GB2312" w:eastAsia="仿宋_GB2312"/>
          <w:sz w:val="32"/>
          <w:szCs w:val="32"/>
        </w:rPr>
      </w:pPr>
    </w:p>
    <w:p>
      <w:pPr>
        <w:adjustRightInd w:val="0"/>
        <w:snapToGrid w:val="0"/>
        <w:spacing w:line="288" w:lineRule="auto"/>
        <w:ind w:firstLine="1040"/>
        <w:jc w:val="both"/>
        <w:rPr>
          <w:rFonts w:hint="eastAsia" w:ascii="仿宋_GB2312" w:eastAsia="仿宋_GB2312"/>
          <w:sz w:val="30"/>
          <w:szCs w:val="30"/>
          <w:u w:val="single"/>
        </w:rPr>
      </w:pPr>
      <w:r>
        <w:rPr>
          <w:rFonts w:hint="eastAsia" w:ascii="仿宋_GB2312" w:eastAsia="仿宋_GB2312"/>
          <w:sz w:val="30"/>
          <w:szCs w:val="30"/>
        </w:rPr>
        <w:t>项目名称：</w:t>
      </w:r>
      <w:r>
        <w:rPr>
          <w:rFonts w:hint="eastAsia" w:ascii="仿宋_GB2312" w:eastAsia="仿宋_GB2312"/>
          <w:sz w:val="30"/>
          <w:szCs w:val="30"/>
          <w:u w:val="single"/>
          <w:lang w:val="en-US" w:eastAsia="zh-CN"/>
        </w:rPr>
        <w:t>黑龙江省七台河市建筑垃圾暂存场项目</w:t>
      </w:r>
    </w:p>
    <w:p>
      <w:pPr>
        <w:adjustRightInd w:val="0"/>
        <w:snapToGrid w:val="0"/>
        <w:spacing w:line="288" w:lineRule="auto"/>
        <w:ind w:firstLine="1040"/>
        <w:jc w:val="both"/>
        <w:rPr>
          <w:rFonts w:hint="default" w:ascii="仿宋_GB2312" w:eastAsia="仿宋_GB2312"/>
          <w:sz w:val="30"/>
          <w:szCs w:val="30"/>
          <w:u w:val="single"/>
          <w:lang w:val="en-US" w:eastAsia="zh-CN"/>
        </w:rPr>
      </w:pPr>
      <w:r>
        <w:rPr>
          <w:rFonts w:hint="eastAsia" w:ascii="仿宋_GB2312" w:eastAsia="仿宋_GB2312"/>
          <w:sz w:val="30"/>
          <w:szCs w:val="30"/>
        </w:rPr>
        <w:t>建设单位（盖章）：</w:t>
      </w:r>
      <w:r>
        <w:rPr>
          <w:rFonts w:hint="eastAsia" w:ascii="仿宋_GB2312" w:eastAsia="仿宋_GB2312"/>
          <w:sz w:val="30"/>
          <w:szCs w:val="30"/>
          <w:u w:val="single"/>
          <w:lang w:val="en-US" w:eastAsia="zh-CN"/>
        </w:rPr>
        <w:t>七台河市市容环境卫生事业发展中心</w:t>
      </w:r>
    </w:p>
    <w:p>
      <w:pPr>
        <w:adjustRightInd w:val="0"/>
        <w:snapToGrid w:val="0"/>
        <w:spacing w:line="288" w:lineRule="auto"/>
        <w:ind w:firstLine="1040"/>
        <w:jc w:val="both"/>
        <w:rPr>
          <w:rFonts w:hint="default" w:ascii="仿宋_GB2312" w:eastAsia="仿宋_GB2312"/>
          <w:sz w:val="30"/>
          <w:szCs w:val="30"/>
          <w:u w:val="single"/>
          <w:lang w:val="en-US" w:eastAsia="zh-CN"/>
        </w:rPr>
      </w:pPr>
      <w:r>
        <w:rPr>
          <w:rFonts w:hint="eastAsia" w:ascii="仿宋_GB2312" w:eastAsia="仿宋_GB2312"/>
          <w:sz w:val="30"/>
          <w:szCs w:val="30"/>
        </w:rPr>
        <w:t>编制日期：</w:t>
      </w:r>
      <w:bookmarkStart w:id="1" w:name="_Hlk57884087"/>
      <w:r>
        <w:rPr>
          <w:rFonts w:hint="eastAsia" w:ascii="仿宋_GB2312" w:eastAsia="仿宋_GB2312"/>
          <w:sz w:val="30"/>
          <w:szCs w:val="30"/>
          <w:u w:val="single"/>
          <w:lang w:val="en-US" w:eastAsia="zh-CN"/>
        </w:rPr>
        <w:t>二〇二三年</w:t>
      </w:r>
      <w:r>
        <w:rPr>
          <w:rFonts w:hint="eastAsia" w:ascii="仿宋_GB2312" w:eastAsia="仿宋_GB2312"/>
          <w:sz w:val="30"/>
          <w:szCs w:val="30"/>
          <w:highlight w:val="none"/>
          <w:u w:val="single"/>
          <w:lang w:val="en-US" w:eastAsia="zh-CN"/>
        </w:rPr>
        <w:t>九</w:t>
      </w:r>
      <w:r>
        <w:rPr>
          <w:rFonts w:hint="eastAsia" w:ascii="仿宋_GB2312" w:eastAsia="仿宋_GB2312"/>
          <w:sz w:val="30"/>
          <w:szCs w:val="30"/>
          <w:u w:val="single"/>
          <w:lang w:val="en-US" w:eastAsia="zh-CN"/>
        </w:rPr>
        <w:t>月</w:t>
      </w: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1"/>
    <w:p>
      <w:pPr>
        <w:adjustRightInd w:val="0"/>
        <w:snapToGrid w:val="0"/>
        <w:spacing w:line="288" w:lineRule="auto"/>
        <w:jc w:val="center"/>
        <w:outlineLvl w:val="9"/>
        <w:rPr>
          <w:rFonts w:hint="eastAsia" w:ascii="楷体_GB2312" w:eastAsia="楷体_GB2312"/>
          <w:sz w:val="36"/>
          <w:szCs w:val="36"/>
          <w:highlight w:val="none"/>
        </w:rPr>
      </w:pPr>
      <w:bookmarkStart w:id="2" w:name="_Toc15110"/>
      <w:r>
        <w:rPr>
          <w:rFonts w:hint="eastAsia" w:ascii="楷体_GB2312" w:eastAsia="楷体_GB2312"/>
          <w:sz w:val="36"/>
          <w:szCs w:val="36"/>
          <w:highlight w:val="none"/>
        </w:rPr>
        <w:t>中华人民共和国生态环境部制</w:t>
      </w:r>
      <w:bookmarkEnd w:id="2"/>
    </w:p>
    <w:p>
      <w:pPr>
        <w:adjustRightInd w:val="0"/>
        <w:snapToGrid w:val="0"/>
        <w:spacing w:line="288" w:lineRule="auto"/>
        <w:ind w:firstLine="1040"/>
        <w:rPr>
          <w:rFonts w:ascii="仿宋_GB2312" w:eastAsia="仿宋_GB2312"/>
          <w:sz w:val="36"/>
          <w:szCs w:val="36"/>
        </w:rPr>
        <w:sectPr>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ascii="仿宋_GB2312" w:eastAsia="仿宋_GB2312"/>
          <w:sz w:val="36"/>
          <w:szCs w:val="36"/>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_GB2312" w:eastAsia="仿宋_GB2312"/>
          <w:sz w:val="36"/>
          <w:szCs w:val="36"/>
          <w:lang w:eastAsia="zh-CN"/>
        </w:rPr>
      </w:pPr>
      <w:r>
        <w:rPr>
          <w:rFonts w:hint="eastAsia" w:ascii="仿宋_GB2312" w:eastAsia="仿宋_GB2312"/>
          <w:sz w:val="36"/>
          <w:szCs w:val="36"/>
          <w:lang w:eastAsia="zh-CN"/>
        </w:rPr>
        <w:drawing>
          <wp:inline distT="0" distB="0" distL="114300" distR="114300">
            <wp:extent cx="5608955" cy="7550150"/>
            <wp:effectExtent l="0" t="0" r="4445" b="6350"/>
            <wp:docPr id="1" name="图片 1" descr="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资质"/>
                    <pic:cNvPicPr>
                      <a:picLocks noChangeAspect="1"/>
                    </pic:cNvPicPr>
                  </pic:nvPicPr>
                  <pic:blipFill>
                    <a:blip r:embed="rId9"/>
                    <a:stretch>
                      <a:fillRect/>
                    </a:stretch>
                  </pic:blipFill>
                  <pic:spPr>
                    <a:xfrm>
                      <a:off x="0" y="0"/>
                      <a:ext cx="5608955" cy="7550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ascii="仿宋_GB2312" w:eastAsia="仿宋_GB2312"/>
          <w:sz w:val="36"/>
          <w:szCs w:val="36"/>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ascii="仿宋_GB2312" w:eastAsia="仿宋_GB2312"/>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firstLine="0"/>
        <w:jc w:val="center"/>
        <w:textAlignment w:val="auto"/>
        <w:rPr>
          <w:rFonts w:ascii="Times New Roman" w:hAnsi="Times New Roman" w:eastAsia="黑体" w:cs="Times New Roman"/>
          <w:kern w:val="2"/>
          <w:sz w:val="24"/>
          <w:szCs w:val="24"/>
          <w:lang w:val="en-US" w:eastAsia="zh-CN" w:bidi="ar-SA"/>
        </w:rPr>
      </w:pPr>
      <w:r>
        <w:rPr>
          <w:rFonts w:ascii="Times New Roman" w:hAnsi="Times New Roman" w:eastAsia="黑体"/>
          <w:sz w:val="24"/>
          <w:szCs w:val="24"/>
        </w:rPr>
        <w:t>目录</w:t>
      </w:r>
      <w:r>
        <w:rPr>
          <w:rFonts w:ascii="Times New Roman" w:hAnsi="Times New Roman" w:eastAsia="黑体"/>
          <w:sz w:val="24"/>
          <w:szCs w:val="24"/>
        </w:rPr>
        <w:fldChar w:fldCharType="begin"/>
      </w:r>
      <w:r>
        <w:rPr>
          <w:rFonts w:ascii="Times New Roman" w:hAnsi="Times New Roman" w:eastAsia="黑体"/>
          <w:sz w:val="24"/>
          <w:szCs w:val="24"/>
        </w:rPr>
        <w:instrText xml:space="preserve">TOC \o "1-1" \h \u </w:instrText>
      </w:r>
      <w:r>
        <w:rPr>
          <w:rFonts w:ascii="Times New Roman" w:hAnsi="Times New Roman" w:eastAsia="黑体"/>
          <w:sz w:val="24"/>
          <w:szCs w:val="24"/>
        </w:rPr>
        <w:fldChar w:fldCharType="separate"/>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_Toc32363 </w:instrText>
      </w:r>
      <w:r>
        <w:rPr>
          <w:rFonts w:ascii="Times New Roman" w:hAnsi="Times New Roman" w:eastAsia="黑体"/>
          <w:sz w:val="24"/>
          <w:szCs w:val="24"/>
        </w:rPr>
        <w:fldChar w:fldCharType="separate"/>
      </w:r>
      <w:r>
        <w:rPr>
          <w:rFonts w:hint="eastAsia" w:ascii="Times New Roman" w:hAnsi="Times New Roman" w:eastAsia="黑体"/>
          <w:snapToGrid w:val="0"/>
          <w:sz w:val="24"/>
          <w:szCs w:val="24"/>
        </w:rPr>
        <w:t>一、建设项目基本情况</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_Toc32363 \h </w:instrText>
      </w:r>
      <w:r>
        <w:rPr>
          <w:rFonts w:ascii="Times New Roman" w:hAnsi="Times New Roman" w:eastAsia="黑体"/>
          <w:sz w:val="24"/>
          <w:szCs w:val="24"/>
        </w:rPr>
        <w:fldChar w:fldCharType="separate"/>
      </w:r>
      <w:r>
        <w:rPr>
          <w:rFonts w:ascii="Times New Roman" w:hAnsi="Times New Roman" w:eastAsia="黑体"/>
          <w:sz w:val="24"/>
          <w:szCs w:val="24"/>
        </w:rPr>
        <w:t>1</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_Toc13079 </w:instrText>
      </w:r>
      <w:r>
        <w:rPr>
          <w:rFonts w:ascii="Times New Roman" w:hAnsi="Times New Roman" w:eastAsia="黑体"/>
          <w:sz w:val="24"/>
          <w:szCs w:val="24"/>
        </w:rPr>
        <w:fldChar w:fldCharType="separate"/>
      </w:r>
      <w:r>
        <w:rPr>
          <w:rFonts w:hint="eastAsia" w:ascii="Times New Roman" w:hAnsi="Times New Roman" w:eastAsia="黑体"/>
          <w:snapToGrid w:val="0"/>
          <w:sz w:val="24"/>
          <w:szCs w:val="24"/>
        </w:rPr>
        <w:t>二、建设项目工程分析</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_Toc13079 \h </w:instrText>
      </w:r>
      <w:r>
        <w:rPr>
          <w:rFonts w:ascii="Times New Roman" w:hAnsi="Times New Roman" w:eastAsia="黑体"/>
          <w:sz w:val="24"/>
          <w:szCs w:val="24"/>
        </w:rPr>
        <w:fldChar w:fldCharType="separate"/>
      </w:r>
      <w:r>
        <w:rPr>
          <w:rFonts w:ascii="Times New Roman" w:hAnsi="Times New Roman" w:eastAsia="黑体"/>
          <w:sz w:val="24"/>
          <w:szCs w:val="24"/>
        </w:rPr>
        <w:t>12</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_Toc2395 </w:instrText>
      </w:r>
      <w:r>
        <w:rPr>
          <w:rFonts w:ascii="Times New Roman" w:hAnsi="Times New Roman" w:eastAsia="黑体"/>
          <w:sz w:val="24"/>
          <w:szCs w:val="24"/>
        </w:rPr>
        <w:fldChar w:fldCharType="separate"/>
      </w:r>
      <w:r>
        <w:rPr>
          <w:rFonts w:hint="eastAsia" w:ascii="Times New Roman" w:hAnsi="Times New Roman" w:eastAsia="黑体"/>
          <w:snapToGrid w:val="0"/>
          <w:sz w:val="24"/>
          <w:szCs w:val="24"/>
        </w:rPr>
        <w:t>三、区域环境质量现状、环境保护目标及评价标准</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_Toc2395 \h </w:instrText>
      </w:r>
      <w:r>
        <w:rPr>
          <w:rFonts w:ascii="Times New Roman" w:hAnsi="Times New Roman" w:eastAsia="黑体"/>
          <w:sz w:val="24"/>
          <w:szCs w:val="24"/>
        </w:rPr>
        <w:fldChar w:fldCharType="separate"/>
      </w:r>
      <w:r>
        <w:rPr>
          <w:rFonts w:ascii="Times New Roman" w:hAnsi="Times New Roman" w:eastAsia="黑体"/>
          <w:sz w:val="24"/>
          <w:szCs w:val="24"/>
        </w:rPr>
        <w:t>27</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_Toc22888 </w:instrText>
      </w:r>
      <w:r>
        <w:rPr>
          <w:rFonts w:ascii="Times New Roman" w:hAnsi="Times New Roman" w:eastAsia="黑体"/>
          <w:sz w:val="24"/>
          <w:szCs w:val="24"/>
        </w:rPr>
        <w:fldChar w:fldCharType="separate"/>
      </w:r>
      <w:r>
        <w:rPr>
          <w:rFonts w:hint="eastAsia" w:ascii="Times New Roman" w:hAnsi="Times New Roman" w:eastAsia="黑体"/>
          <w:snapToGrid w:val="0"/>
          <w:sz w:val="24"/>
          <w:szCs w:val="24"/>
        </w:rPr>
        <w:t>四、主要环境影响和保护措施</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_Toc22888 \h </w:instrText>
      </w:r>
      <w:r>
        <w:rPr>
          <w:rFonts w:ascii="Times New Roman" w:hAnsi="Times New Roman" w:eastAsia="黑体"/>
          <w:sz w:val="24"/>
          <w:szCs w:val="24"/>
        </w:rPr>
        <w:fldChar w:fldCharType="separate"/>
      </w:r>
      <w:r>
        <w:rPr>
          <w:rFonts w:ascii="Times New Roman" w:hAnsi="Times New Roman" w:eastAsia="黑体"/>
          <w:sz w:val="24"/>
          <w:szCs w:val="24"/>
        </w:rPr>
        <w:t>32</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_Toc19670 </w:instrText>
      </w:r>
      <w:r>
        <w:rPr>
          <w:rFonts w:ascii="Times New Roman" w:hAnsi="Times New Roman" w:eastAsia="黑体"/>
          <w:sz w:val="24"/>
          <w:szCs w:val="24"/>
        </w:rPr>
        <w:fldChar w:fldCharType="separate"/>
      </w:r>
      <w:r>
        <w:rPr>
          <w:rFonts w:hint="eastAsia" w:ascii="Times New Roman" w:hAnsi="Times New Roman" w:eastAsia="黑体"/>
          <w:snapToGrid w:val="0"/>
          <w:sz w:val="24"/>
          <w:szCs w:val="24"/>
        </w:rPr>
        <w:t>五、环境保护措施监督检查清单</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_Toc19670 \h </w:instrText>
      </w:r>
      <w:r>
        <w:rPr>
          <w:rFonts w:ascii="Times New Roman" w:hAnsi="Times New Roman" w:eastAsia="黑体"/>
          <w:sz w:val="24"/>
          <w:szCs w:val="24"/>
        </w:rPr>
        <w:fldChar w:fldCharType="separate"/>
      </w:r>
      <w:r>
        <w:rPr>
          <w:rFonts w:ascii="Times New Roman" w:hAnsi="Times New Roman" w:eastAsia="黑体"/>
          <w:sz w:val="24"/>
          <w:szCs w:val="24"/>
        </w:rPr>
        <w:t>59</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_Toc30695 </w:instrText>
      </w:r>
      <w:r>
        <w:rPr>
          <w:rFonts w:ascii="Times New Roman" w:hAnsi="Times New Roman" w:eastAsia="黑体"/>
          <w:sz w:val="24"/>
          <w:szCs w:val="24"/>
        </w:rPr>
        <w:fldChar w:fldCharType="separate"/>
      </w:r>
      <w:r>
        <w:rPr>
          <w:rFonts w:hint="eastAsia" w:ascii="Times New Roman" w:hAnsi="Times New Roman" w:eastAsia="黑体"/>
          <w:snapToGrid w:val="0"/>
          <w:sz w:val="24"/>
          <w:szCs w:val="24"/>
        </w:rPr>
        <w:t>六、结论</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_Toc30695 \h </w:instrText>
      </w:r>
      <w:r>
        <w:rPr>
          <w:rFonts w:ascii="Times New Roman" w:hAnsi="Times New Roman" w:eastAsia="黑体"/>
          <w:sz w:val="24"/>
          <w:szCs w:val="24"/>
        </w:rPr>
        <w:fldChar w:fldCharType="separate"/>
      </w:r>
      <w:r>
        <w:rPr>
          <w:rFonts w:ascii="Times New Roman" w:hAnsi="Times New Roman" w:eastAsia="黑体"/>
          <w:sz w:val="24"/>
          <w:szCs w:val="24"/>
        </w:rPr>
        <w:t>62</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_Toc1956 </w:instrText>
      </w:r>
      <w:r>
        <w:rPr>
          <w:rFonts w:ascii="Times New Roman" w:hAnsi="Times New Roman" w:eastAsia="黑体"/>
          <w:sz w:val="24"/>
          <w:szCs w:val="24"/>
        </w:rPr>
        <w:fldChar w:fldCharType="separate"/>
      </w:r>
      <w:r>
        <w:rPr>
          <w:rFonts w:hint="eastAsia" w:ascii="Times New Roman" w:hAnsi="Times New Roman" w:eastAsia="黑体"/>
          <w:bCs/>
          <w:spacing w:val="-6"/>
          <w:sz w:val="24"/>
          <w:szCs w:val="24"/>
          <w:lang w:val="en-US" w:eastAsia="zh-CN"/>
        </w:rPr>
        <w:t>附图1 七台河市环境管控单元分布图</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_Toc1956 \h </w:instrText>
      </w:r>
      <w:r>
        <w:rPr>
          <w:rFonts w:ascii="Times New Roman" w:hAnsi="Times New Roman" w:eastAsia="黑体"/>
          <w:sz w:val="24"/>
          <w:szCs w:val="24"/>
        </w:rPr>
        <w:fldChar w:fldCharType="separate"/>
      </w:r>
      <w:r>
        <w:rPr>
          <w:rFonts w:ascii="Times New Roman" w:hAnsi="Times New Roman" w:eastAsia="黑体"/>
          <w:sz w:val="24"/>
          <w:szCs w:val="24"/>
        </w:rPr>
        <w:t>64</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_Toc8595 </w:instrText>
      </w:r>
      <w:r>
        <w:rPr>
          <w:rFonts w:ascii="Times New Roman" w:hAnsi="Times New Roman" w:eastAsia="黑体"/>
          <w:sz w:val="24"/>
          <w:szCs w:val="24"/>
        </w:rPr>
        <w:fldChar w:fldCharType="separate"/>
      </w:r>
      <w:r>
        <w:rPr>
          <w:rFonts w:hint="eastAsia" w:ascii="Times New Roman" w:hAnsi="Times New Roman" w:eastAsia="黑体" w:cs="宋体"/>
          <w:bCs/>
          <w:i w:val="0"/>
          <w:caps w:val="0"/>
          <w:spacing w:val="0"/>
          <w:kern w:val="0"/>
          <w:sz w:val="24"/>
          <w:szCs w:val="24"/>
          <w:lang w:val="en-US" w:eastAsia="zh-CN"/>
        </w:rPr>
        <w:t>附图2 项目平面布置图</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_Toc8595 \h </w:instrText>
      </w:r>
      <w:r>
        <w:rPr>
          <w:rFonts w:ascii="Times New Roman" w:hAnsi="Times New Roman" w:eastAsia="黑体"/>
          <w:sz w:val="24"/>
          <w:szCs w:val="24"/>
        </w:rPr>
        <w:fldChar w:fldCharType="separate"/>
      </w:r>
      <w:r>
        <w:rPr>
          <w:rFonts w:ascii="Times New Roman" w:hAnsi="Times New Roman" w:eastAsia="黑体"/>
          <w:sz w:val="24"/>
          <w:szCs w:val="24"/>
        </w:rPr>
        <w:t>65</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_Toc17540 </w:instrText>
      </w:r>
      <w:r>
        <w:rPr>
          <w:rFonts w:ascii="Times New Roman" w:hAnsi="Times New Roman" w:eastAsia="黑体"/>
          <w:sz w:val="24"/>
          <w:szCs w:val="24"/>
        </w:rPr>
        <w:fldChar w:fldCharType="separate"/>
      </w:r>
      <w:r>
        <w:rPr>
          <w:rFonts w:hint="eastAsia" w:ascii="Times New Roman" w:hAnsi="Times New Roman" w:eastAsia="黑体" w:cs="宋体"/>
          <w:bCs/>
          <w:i w:val="0"/>
          <w:caps w:val="0"/>
          <w:spacing w:val="0"/>
          <w:kern w:val="0"/>
          <w:sz w:val="24"/>
          <w:szCs w:val="24"/>
          <w:lang w:val="en-US" w:eastAsia="zh-CN"/>
        </w:rPr>
        <w:t>附图3 七台河市声功能区划图</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_Toc17540 \h </w:instrText>
      </w:r>
      <w:r>
        <w:rPr>
          <w:rFonts w:ascii="Times New Roman" w:hAnsi="Times New Roman" w:eastAsia="黑体"/>
          <w:sz w:val="24"/>
          <w:szCs w:val="24"/>
        </w:rPr>
        <w:fldChar w:fldCharType="separate"/>
      </w:r>
      <w:r>
        <w:rPr>
          <w:rFonts w:ascii="Times New Roman" w:hAnsi="Times New Roman" w:eastAsia="黑体"/>
          <w:sz w:val="24"/>
          <w:szCs w:val="24"/>
        </w:rPr>
        <w:t>66</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_Toc25824 </w:instrText>
      </w:r>
      <w:r>
        <w:rPr>
          <w:rFonts w:ascii="Times New Roman" w:hAnsi="Times New Roman" w:eastAsia="黑体"/>
          <w:sz w:val="24"/>
          <w:szCs w:val="24"/>
        </w:rPr>
        <w:fldChar w:fldCharType="separate"/>
      </w:r>
      <w:r>
        <w:rPr>
          <w:rFonts w:hint="eastAsia" w:ascii="Times New Roman" w:hAnsi="Times New Roman" w:eastAsia="黑体"/>
          <w:bCs/>
          <w:spacing w:val="-6"/>
          <w:sz w:val="24"/>
          <w:szCs w:val="24"/>
          <w:lang w:val="en-US" w:eastAsia="zh-CN"/>
        </w:rPr>
        <w:t>附图4 项目位置图</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_Toc25824 \h </w:instrText>
      </w:r>
      <w:r>
        <w:rPr>
          <w:rFonts w:ascii="Times New Roman" w:hAnsi="Times New Roman" w:eastAsia="黑体"/>
          <w:sz w:val="24"/>
          <w:szCs w:val="24"/>
        </w:rPr>
        <w:fldChar w:fldCharType="separate"/>
      </w:r>
      <w:r>
        <w:rPr>
          <w:rFonts w:ascii="Times New Roman" w:hAnsi="Times New Roman" w:eastAsia="黑体"/>
          <w:sz w:val="24"/>
          <w:szCs w:val="24"/>
        </w:rPr>
        <w:t>67</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_Toc5614 </w:instrText>
      </w:r>
      <w:r>
        <w:rPr>
          <w:rFonts w:ascii="Times New Roman" w:hAnsi="Times New Roman" w:eastAsia="黑体"/>
          <w:sz w:val="24"/>
          <w:szCs w:val="24"/>
        </w:rPr>
        <w:fldChar w:fldCharType="separate"/>
      </w:r>
      <w:r>
        <w:rPr>
          <w:rFonts w:hint="eastAsia" w:ascii="Times New Roman" w:hAnsi="Times New Roman" w:eastAsia="黑体"/>
          <w:bCs/>
          <w:spacing w:val="-6"/>
          <w:sz w:val="24"/>
          <w:szCs w:val="24"/>
          <w:highlight w:val="none"/>
          <w:lang w:val="en-US" w:eastAsia="zh-CN"/>
        </w:rPr>
        <w:t>附图5 环境保护目标分布</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_Toc5614 \h </w:instrText>
      </w:r>
      <w:r>
        <w:rPr>
          <w:rFonts w:ascii="Times New Roman" w:hAnsi="Times New Roman" w:eastAsia="黑体"/>
          <w:sz w:val="24"/>
          <w:szCs w:val="24"/>
        </w:rPr>
        <w:fldChar w:fldCharType="separate"/>
      </w:r>
      <w:r>
        <w:rPr>
          <w:rFonts w:ascii="Times New Roman" w:hAnsi="Times New Roman" w:eastAsia="黑体"/>
          <w:sz w:val="24"/>
          <w:szCs w:val="24"/>
        </w:rPr>
        <w:t>68</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_Toc850 </w:instrText>
      </w:r>
      <w:r>
        <w:rPr>
          <w:rFonts w:ascii="Times New Roman" w:hAnsi="Times New Roman" w:eastAsia="黑体"/>
          <w:sz w:val="24"/>
          <w:szCs w:val="24"/>
        </w:rPr>
        <w:fldChar w:fldCharType="separate"/>
      </w:r>
      <w:r>
        <w:rPr>
          <w:rFonts w:hint="eastAsia" w:ascii="Times New Roman" w:hAnsi="Times New Roman" w:eastAsia="黑体"/>
          <w:bCs/>
          <w:sz w:val="24"/>
          <w:szCs w:val="24"/>
          <w:lang w:val="en-US" w:eastAsia="zh-CN"/>
        </w:rPr>
        <w:t>附图6 现状监测点位置</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_Toc850 \h </w:instrText>
      </w:r>
      <w:r>
        <w:rPr>
          <w:rFonts w:ascii="Times New Roman" w:hAnsi="Times New Roman" w:eastAsia="黑体"/>
          <w:sz w:val="24"/>
          <w:szCs w:val="24"/>
        </w:rPr>
        <w:fldChar w:fldCharType="separate"/>
      </w:r>
      <w:r>
        <w:rPr>
          <w:rFonts w:ascii="Times New Roman" w:hAnsi="Times New Roman" w:eastAsia="黑体"/>
          <w:sz w:val="24"/>
          <w:szCs w:val="24"/>
        </w:rPr>
        <w:t>69</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_Toc21679 </w:instrText>
      </w:r>
      <w:r>
        <w:rPr>
          <w:rFonts w:ascii="Times New Roman" w:hAnsi="Times New Roman" w:eastAsia="黑体"/>
          <w:sz w:val="24"/>
          <w:szCs w:val="24"/>
        </w:rPr>
        <w:fldChar w:fldCharType="separate"/>
      </w:r>
      <w:r>
        <w:rPr>
          <w:rFonts w:hint="eastAsia" w:ascii="Times New Roman" w:hAnsi="Times New Roman" w:eastAsia="黑体"/>
          <w:bCs/>
          <w:sz w:val="24"/>
          <w:szCs w:val="24"/>
          <w:lang w:val="en-US" w:eastAsia="zh-CN"/>
        </w:rPr>
        <w:t>附图7 地下水监测井位置</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_Toc21679 \h </w:instrText>
      </w:r>
      <w:r>
        <w:rPr>
          <w:rFonts w:ascii="Times New Roman" w:hAnsi="Times New Roman" w:eastAsia="黑体"/>
          <w:sz w:val="24"/>
          <w:szCs w:val="24"/>
        </w:rPr>
        <w:fldChar w:fldCharType="separate"/>
      </w:r>
      <w:r>
        <w:rPr>
          <w:rFonts w:ascii="Times New Roman" w:hAnsi="Times New Roman" w:eastAsia="黑体"/>
          <w:sz w:val="24"/>
          <w:szCs w:val="24"/>
        </w:rPr>
        <w:t>70</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_Toc620 </w:instrText>
      </w:r>
      <w:r>
        <w:rPr>
          <w:rFonts w:ascii="Times New Roman" w:hAnsi="Times New Roman" w:eastAsia="黑体"/>
          <w:sz w:val="24"/>
          <w:szCs w:val="24"/>
        </w:rPr>
        <w:fldChar w:fldCharType="separate"/>
      </w:r>
      <w:r>
        <w:rPr>
          <w:rFonts w:hint="eastAsia" w:ascii="Times New Roman" w:hAnsi="Times New Roman" w:eastAsia="黑体"/>
          <w:bCs/>
          <w:sz w:val="24"/>
          <w:szCs w:val="24"/>
          <w:lang w:val="en-US" w:eastAsia="zh-CN"/>
        </w:rPr>
        <w:t>附件1 营业执照</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_Toc620 \h </w:instrText>
      </w:r>
      <w:r>
        <w:rPr>
          <w:rFonts w:ascii="Times New Roman" w:hAnsi="Times New Roman" w:eastAsia="黑体"/>
          <w:sz w:val="24"/>
          <w:szCs w:val="24"/>
        </w:rPr>
        <w:fldChar w:fldCharType="separate"/>
      </w:r>
      <w:r>
        <w:rPr>
          <w:rFonts w:ascii="Times New Roman" w:hAnsi="Times New Roman" w:eastAsia="黑体"/>
          <w:sz w:val="24"/>
          <w:szCs w:val="24"/>
        </w:rPr>
        <w:t>71</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spacing w:line="500" w:lineRule="exact"/>
        <w:jc w:val="center"/>
        <w:textAlignment w:val="auto"/>
        <w:rPr>
          <w:rFonts w:ascii="Times New Roman" w:hAnsi="Times New Roman" w:eastAsia="黑体"/>
          <w:sz w:val="24"/>
          <w:szCs w:val="24"/>
        </w:rPr>
      </w:pP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_Toc2151 </w:instrText>
      </w:r>
      <w:r>
        <w:rPr>
          <w:rFonts w:ascii="Times New Roman" w:hAnsi="Times New Roman" w:eastAsia="黑体"/>
          <w:sz w:val="24"/>
          <w:szCs w:val="24"/>
        </w:rPr>
        <w:fldChar w:fldCharType="separate"/>
      </w:r>
      <w:r>
        <w:rPr>
          <w:rFonts w:hint="eastAsia" w:ascii="Times New Roman" w:hAnsi="Times New Roman" w:eastAsia="黑体"/>
          <w:bCs/>
          <w:sz w:val="24"/>
          <w:szCs w:val="24"/>
          <w:lang w:val="en-US" w:eastAsia="zh-CN"/>
        </w:rPr>
        <w:t>附件2 建设项目用地预审与选址意见书</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_Toc2151 \h </w:instrText>
      </w:r>
      <w:r>
        <w:rPr>
          <w:rFonts w:ascii="Times New Roman" w:hAnsi="Times New Roman" w:eastAsia="黑体"/>
          <w:sz w:val="24"/>
          <w:szCs w:val="24"/>
        </w:rPr>
        <w:fldChar w:fldCharType="separate"/>
      </w:r>
      <w:r>
        <w:rPr>
          <w:rFonts w:ascii="Times New Roman" w:hAnsi="Times New Roman" w:eastAsia="黑体"/>
          <w:sz w:val="24"/>
          <w:szCs w:val="24"/>
        </w:rPr>
        <w:t>72</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val="0"/>
        <w:snapToGrid w:val="0"/>
        <w:spacing w:line="500" w:lineRule="exact"/>
        <w:jc w:val="both"/>
        <w:textAlignment w:val="auto"/>
        <w:rPr>
          <w:rFonts w:ascii="Times New Roman" w:hAnsi="Times New Roman" w:eastAsia="黑体"/>
          <w:sz w:val="24"/>
          <w:szCs w:val="24"/>
        </w:rPr>
      </w:pPr>
      <w:r>
        <w:rPr>
          <w:rFonts w:hint="eastAsia" w:eastAsia="黑体"/>
          <w:sz w:val="24"/>
          <w:lang w:val="en-US" w:eastAsia="zh-CN"/>
        </w:rPr>
        <w:t>附件3 黑龙江省七台河市废旧钢铁再造矿山25万吨设备铸件项目环境质量现状监测报告</w:t>
      </w:r>
      <w:r>
        <w:rPr>
          <w:rFonts w:ascii="Times New Roman" w:hAnsi="Times New Roman" w:eastAsia="黑体"/>
          <w:sz w:val="24"/>
          <w:szCs w:val="24"/>
        </w:rPr>
        <w:fldChar w:fldCharType="begin"/>
      </w:r>
      <w:r>
        <w:rPr>
          <w:rFonts w:ascii="Times New Roman" w:hAnsi="Times New Roman" w:eastAsia="黑体"/>
          <w:sz w:val="24"/>
          <w:szCs w:val="24"/>
        </w:rPr>
        <w:instrText xml:space="preserve"> HYPERLINK \l _Toc10966 </w:instrText>
      </w:r>
      <w:r>
        <w:rPr>
          <w:rFonts w:ascii="Times New Roman" w:hAnsi="Times New Roman" w:eastAsia="黑体"/>
          <w:sz w:val="24"/>
          <w:szCs w:val="24"/>
        </w:rPr>
        <w:fldChar w:fldCharType="separate"/>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_Toc10966 \h </w:instrText>
      </w:r>
      <w:r>
        <w:rPr>
          <w:rFonts w:ascii="Times New Roman" w:hAnsi="Times New Roman" w:eastAsia="黑体"/>
          <w:sz w:val="24"/>
          <w:szCs w:val="24"/>
        </w:rPr>
        <w:fldChar w:fldCharType="separate"/>
      </w:r>
      <w:r>
        <w:rPr>
          <w:rFonts w:ascii="Times New Roman" w:hAnsi="Times New Roman" w:eastAsia="黑体"/>
          <w:sz w:val="24"/>
          <w:szCs w:val="24"/>
        </w:rPr>
        <w:t>74</w:t>
      </w:r>
      <w:r>
        <w:rPr>
          <w:rFonts w:ascii="Times New Roman" w:hAnsi="Times New Roman" w:eastAsia="黑体"/>
          <w:sz w:val="24"/>
          <w:szCs w:val="24"/>
        </w:rPr>
        <w:fldChar w:fldCharType="end"/>
      </w:r>
      <w:r>
        <w:rPr>
          <w:rFonts w:ascii="Times New Roman" w:hAnsi="Times New Roman" w:eastAsia="黑体"/>
          <w:sz w:val="24"/>
          <w:szCs w:val="24"/>
        </w:rPr>
        <w:fldChar w:fldCharType="end"/>
      </w:r>
    </w:p>
    <w:p>
      <w:pPr>
        <w:keepNext w:val="0"/>
        <w:keepLines w:val="0"/>
        <w:pageBreakBefore w:val="0"/>
        <w:widowControl w:val="0"/>
        <w:kinsoku/>
        <w:wordWrap/>
        <w:overflowPunct/>
        <w:topLinePunct w:val="0"/>
        <w:autoSpaceDE/>
        <w:autoSpaceDN/>
        <w:bidi w:val="0"/>
        <w:adjustRightInd w:val="0"/>
        <w:snapToGrid w:val="0"/>
        <w:spacing w:line="500" w:lineRule="exact"/>
        <w:ind w:firstLine="0"/>
        <w:jc w:val="center"/>
        <w:textAlignment w:val="auto"/>
        <w:rPr>
          <w:rFonts w:ascii="仿宋_GB2312" w:eastAsia="仿宋_GB2312"/>
          <w:sz w:val="36"/>
          <w:szCs w:val="36"/>
        </w:rPr>
      </w:pPr>
      <w:r>
        <w:rPr>
          <w:rFonts w:ascii="Times New Roman" w:hAnsi="Times New Roman" w:eastAsia="黑体"/>
          <w:sz w:val="24"/>
          <w:szCs w:val="24"/>
        </w:rPr>
        <w:fldChar w:fldCharType="end"/>
      </w:r>
    </w:p>
    <w:p>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ascii="仿宋_GB2312" w:eastAsia="仿宋_GB2312"/>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18"/>
        <w:jc w:val="center"/>
        <w:outlineLvl w:val="0"/>
        <w:rPr>
          <w:rFonts w:hint="eastAsia" w:ascii="黑体" w:hAnsi="黑体" w:eastAsia="黑体"/>
          <w:snapToGrid w:val="0"/>
          <w:sz w:val="30"/>
          <w:szCs w:val="30"/>
        </w:rPr>
      </w:pPr>
      <w:bookmarkStart w:id="3" w:name="_Toc32363"/>
      <w:r>
        <w:rPr>
          <w:rFonts w:hint="eastAsia" w:ascii="黑体" w:hAnsi="黑体" w:eastAsia="黑体"/>
          <w:snapToGrid w:val="0"/>
          <w:sz w:val="30"/>
          <w:szCs w:val="30"/>
        </w:rPr>
        <w:t>一、建设项目基本情况</w:t>
      </w:r>
      <w:bookmarkEnd w:id="3"/>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39"/>
        <w:gridCol w:w="2280"/>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9" w:type="dxa"/>
            <w:tcMar>
              <w:top w:w="16" w:type="dxa"/>
              <w:left w:w="16" w:type="dxa"/>
              <w:right w:w="16" w:type="dxa"/>
            </w:tcMar>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rPr>
              <w:t>建设项目名称</w:t>
            </w:r>
          </w:p>
        </w:tc>
        <w:tc>
          <w:tcPr>
            <w:tcW w:w="7131" w:type="dxa"/>
            <w:gridSpan w:val="3"/>
            <w:vAlign w:val="center"/>
          </w:tcPr>
          <w:p>
            <w:pPr>
              <w:adjustRightInd w:val="0"/>
              <w:snapToGrid w:val="0"/>
              <w:jc w:val="center"/>
              <w:rPr>
                <w:rFonts w:hint="default" w:ascii="Times New Roman" w:hAnsi="Times New Roman" w:eastAsia="宋体" w:cs="宋体"/>
                <w:sz w:val="24"/>
                <w:szCs w:val="21"/>
                <w:lang w:val="en-US" w:eastAsia="zh-CN"/>
              </w:rPr>
            </w:pPr>
            <w:r>
              <w:rPr>
                <w:rFonts w:hint="eastAsia" w:ascii="Times New Roman" w:hAnsi="Times New Roman" w:eastAsia="宋体" w:cs="宋体"/>
                <w:sz w:val="24"/>
                <w:szCs w:val="21"/>
                <w:lang w:val="en-US" w:eastAsia="zh-CN"/>
              </w:rPr>
              <w:t>黑龙江省七台河市建筑垃圾暂存场项目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9" w:type="dxa"/>
            <w:tcMar>
              <w:top w:w="16" w:type="dxa"/>
              <w:left w:w="16" w:type="dxa"/>
              <w:right w:w="16" w:type="dxa"/>
            </w:tcMar>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highlight w:val="none"/>
              </w:rPr>
              <w:t>项目代码</w:t>
            </w:r>
          </w:p>
        </w:tc>
        <w:tc>
          <w:tcPr>
            <w:tcW w:w="7131" w:type="dxa"/>
            <w:gridSpan w:val="3"/>
            <w:vAlign w:val="center"/>
          </w:tcPr>
          <w:p>
            <w:pPr>
              <w:adjustRightInd w:val="0"/>
              <w:snapToGrid w:val="0"/>
              <w:jc w:val="center"/>
              <w:rPr>
                <w:rFonts w:hint="eastAsia" w:ascii="Times New Roman" w:hAnsi="Times New Roman" w:eastAsia="宋体" w:cs="宋体"/>
                <w:sz w:val="24"/>
                <w:szCs w:val="21"/>
                <w:lang w:val="en-US" w:eastAsia="zh-CN"/>
              </w:rPr>
            </w:pPr>
            <w:r>
              <w:rPr>
                <w:rFonts w:hint="eastAsia" w:ascii="Times New Roman" w:hAnsi="Times New Roman" w:eastAsia="宋体" w:cs="宋体"/>
                <w:sz w:val="24"/>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9" w:type="dxa"/>
            <w:tcMar>
              <w:top w:w="16" w:type="dxa"/>
              <w:left w:w="16" w:type="dxa"/>
              <w:right w:w="16" w:type="dxa"/>
            </w:tcMar>
            <w:vAlign w:val="center"/>
          </w:tcPr>
          <w:p>
            <w:pPr>
              <w:adjustRightInd w:val="0"/>
              <w:snapToGrid w:val="0"/>
              <w:jc w:val="center"/>
              <w:rPr>
                <w:rFonts w:hint="eastAsia" w:ascii="Times New Roman" w:hAnsi="Times New Roman" w:eastAsia="宋体" w:cs="宋体"/>
                <w:sz w:val="24"/>
                <w:szCs w:val="21"/>
              </w:rPr>
            </w:pPr>
            <w:r>
              <w:rPr>
                <w:rFonts w:hint="eastAsia" w:ascii="Times New Roman" w:hAnsi="Times New Roman" w:eastAsia="宋体" w:cs="宋体"/>
                <w:sz w:val="24"/>
                <w:szCs w:val="21"/>
              </w:rPr>
              <w:t>建设单位联系人</w:t>
            </w:r>
          </w:p>
        </w:tc>
        <w:tc>
          <w:tcPr>
            <w:tcW w:w="2280" w:type="dxa"/>
            <w:vAlign w:val="center"/>
          </w:tcPr>
          <w:p>
            <w:pPr>
              <w:adjustRightInd w:val="0"/>
              <w:snapToGrid w:val="0"/>
              <w:jc w:val="center"/>
              <w:rPr>
                <w:rFonts w:hint="default" w:ascii="Times New Roman" w:hAnsi="Times New Roman" w:eastAsia="宋体" w:cs="宋体"/>
                <w:sz w:val="24"/>
                <w:szCs w:val="21"/>
                <w:lang w:val="en-US" w:eastAsia="zh-CN"/>
              </w:rPr>
            </w:pPr>
            <w:r>
              <w:rPr>
                <w:rFonts w:hint="default" w:ascii="Times New Roman" w:hAnsi="Times New Roman" w:eastAsia="宋体" w:cs="宋体"/>
                <w:sz w:val="24"/>
                <w:szCs w:val="21"/>
                <w:lang w:val="en-US" w:eastAsia="zh-CN"/>
              </w:rPr>
              <w:t>钱玉刚</w:t>
            </w:r>
          </w:p>
        </w:tc>
        <w:tc>
          <w:tcPr>
            <w:tcW w:w="2212" w:type="dxa"/>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rPr>
              <w:t>联系方式</w:t>
            </w:r>
          </w:p>
        </w:tc>
        <w:tc>
          <w:tcPr>
            <w:tcW w:w="2639" w:type="dxa"/>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rPr>
              <w:t>0464-8262777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9" w:type="dxa"/>
            <w:tcMar>
              <w:top w:w="16" w:type="dxa"/>
              <w:left w:w="16" w:type="dxa"/>
              <w:right w:w="16" w:type="dxa"/>
            </w:tcMar>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rPr>
              <w:t>建设地点</w:t>
            </w:r>
          </w:p>
        </w:tc>
        <w:tc>
          <w:tcPr>
            <w:tcW w:w="7131" w:type="dxa"/>
            <w:gridSpan w:val="3"/>
            <w:vAlign w:val="center"/>
          </w:tcPr>
          <w:p>
            <w:pPr>
              <w:adjustRightInd w:val="0"/>
              <w:snapToGrid w:val="0"/>
              <w:jc w:val="center"/>
              <w:rPr>
                <w:rFonts w:hint="default" w:ascii="Times New Roman" w:hAnsi="Times New Roman" w:eastAsia="宋体" w:cs="宋体"/>
                <w:sz w:val="24"/>
                <w:szCs w:val="21"/>
                <w:lang w:val="en-US" w:eastAsia="zh-CN"/>
              </w:rPr>
            </w:pPr>
            <w:r>
              <w:rPr>
                <w:rFonts w:hint="eastAsia" w:ascii="Times New Roman" w:hAnsi="Times New Roman" w:eastAsia="宋体" w:cs="宋体"/>
                <w:sz w:val="24"/>
                <w:szCs w:val="21"/>
                <w:highlight w:val="none"/>
                <w:u w:val="none"/>
                <w:lang w:val="en-US" w:eastAsia="zh-CN"/>
              </w:rPr>
              <w:t>黑龙江</w:t>
            </w:r>
            <w:r>
              <w:rPr>
                <w:rFonts w:hint="eastAsia" w:ascii="Times New Roman" w:hAnsi="Times New Roman" w:eastAsia="宋体" w:cs="宋体"/>
                <w:sz w:val="24"/>
                <w:szCs w:val="21"/>
                <w:highlight w:val="none"/>
                <w:u w:val="none"/>
              </w:rPr>
              <w:t>省</w:t>
            </w:r>
            <w:r>
              <w:rPr>
                <w:rFonts w:hint="eastAsia" w:ascii="Times New Roman" w:hAnsi="Times New Roman" w:eastAsia="宋体" w:cs="宋体"/>
                <w:sz w:val="24"/>
                <w:szCs w:val="21"/>
                <w:highlight w:val="none"/>
                <w:u w:val="none"/>
                <w:lang w:val="en-US" w:eastAsia="zh-CN"/>
              </w:rPr>
              <w:t>七台河</w:t>
            </w:r>
            <w:r>
              <w:rPr>
                <w:rFonts w:hint="eastAsia" w:ascii="Times New Roman" w:hAnsi="Times New Roman" w:eastAsia="宋体" w:cs="宋体"/>
                <w:sz w:val="24"/>
                <w:szCs w:val="21"/>
                <w:highlight w:val="none"/>
                <w:u w:val="none"/>
              </w:rPr>
              <w:t>市</w:t>
            </w:r>
            <w:r>
              <w:rPr>
                <w:rFonts w:hint="eastAsia" w:cs="宋体"/>
                <w:sz w:val="24"/>
                <w:szCs w:val="21"/>
                <w:highlight w:val="none"/>
                <w:u w:val="none"/>
                <w:lang w:val="en-US" w:eastAsia="zh-CN"/>
              </w:rPr>
              <w:t>老三中废弃校址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9" w:type="dxa"/>
            <w:tcMar>
              <w:top w:w="16" w:type="dxa"/>
              <w:left w:w="16" w:type="dxa"/>
              <w:right w:w="16" w:type="dxa"/>
            </w:tcMar>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highlight w:val="none"/>
              </w:rPr>
              <w:t>地理坐标</w:t>
            </w:r>
          </w:p>
        </w:tc>
        <w:tc>
          <w:tcPr>
            <w:tcW w:w="7131" w:type="dxa"/>
            <w:gridSpan w:val="3"/>
            <w:vAlign w:val="center"/>
          </w:tcPr>
          <w:p>
            <w:pPr>
              <w:jc w:val="center"/>
              <w:rPr>
                <w:rFonts w:hint="eastAsia" w:ascii="Times New Roman" w:hAnsi="Times New Roman" w:eastAsia="宋体" w:cs="宋体"/>
                <w:sz w:val="24"/>
                <w:szCs w:val="21"/>
              </w:rPr>
            </w:pPr>
            <w:r>
              <w:rPr>
                <w:rFonts w:hint="eastAsia" w:ascii="Times New Roman" w:hAnsi="Times New Roman" w:eastAsia="宋体" w:cs="宋体"/>
                <w:color w:val="auto"/>
                <w:sz w:val="24"/>
                <w:szCs w:val="21"/>
                <w:highlight w:val="none"/>
              </w:rPr>
              <w:t>（</w:t>
            </w:r>
            <w:r>
              <w:rPr>
                <w:rFonts w:hint="eastAsia" w:ascii="Times New Roman" w:hAnsi="Times New Roman" w:eastAsia="宋体" w:cs="宋体"/>
                <w:color w:val="auto"/>
                <w:sz w:val="24"/>
                <w:szCs w:val="21"/>
                <w:highlight w:val="none"/>
                <w:u w:val="single"/>
                <w:lang w:val="en-US" w:eastAsia="zh-CN"/>
              </w:rPr>
              <w:t>130</w:t>
            </w:r>
            <w:r>
              <w:rPr>
                <w:rFonts w:hint="eastAsia" w:ascii="Times New Roman" w:hAnsi="Times New Roman" w:eastAsia="宋体" w:cs="宋体"/>
                <w:color w:val="auto"/>
                <w:sz w:val="24"/>
                <w:szCs w:val="21"/>
                <w:highlight w:val="none"/>
              </w:rPr>
              <w:t>度</w:t>
            </w:r>
            <w:r>
              <w:rPr>
                <w:rFonts w:hint="eastAsia" w:ascii="Times New Roman" w:hAnsi="Times New Roman" w:eastAsia="宋体" w:cs="宋体"/>
                <w:color w:val="auto"/>
                <w:sz w:val="24"/>
                <w:szCs w:val="21"/>
                <w:highlight w:val="none"/>
                <w:u w:val="single"/>
                <w:lang w:val="en-US" w:eastAsia="zh-CN"/>
              </w:rPr>
              <w:t>55</w:t>
            </w:r>
            <w:r>
              <w:rPr>
                <w:rFonts w:hint="eastAsia" w:ascii="Times New Roman" w:hAnsi="Times New Roman" w:eastAsia="宋体" w:cs="宋体"/>
                <w:color w:val="auto"/>
                <w:sz w:val="24"/>
                <w:szCs w:val="21"/>
                <w:highlight w:val="none"/>
              </w:rPr>
              <w:t>分</w:t>
            </w:r>
            <w:r>
              <w:rPr>
                <w:rFonts w:hint="eastAsia" w:ascii="Times New Roman" w:hAnsi="Times New Roman" w:eastAsia="宋体" w:cs="宋体"/>
                <w:color w:val="auto"/>
                <w:sz w:val="24"/>
                <w:szCs w:val="21"/>
                <w:highlight w:val="none"/>
                <w:u w:val="single"/>
                <w:lang w:val="en-US" w:eastAsia="zh-CN"/>
              </w:rPr>
              <w:t>1.</w:t>
            </w:r>
            <w:r>
              <w:rPr>
                <w:rFonts w:hint="eastAsia" w:cs="宋体"/>
                <w:color w:val="auto"/>
                <w:sz w:val="24"/>
                <w:szCs w:val="21"/>
                <w:highlight w:val="none"/>
                <w:u w:val="single"/>
                <w:lang w:val="en-US" w:eastAsia="zh-CN"/>
              </w:rPr>
              <w:t>439</w:t>
            </w:r>
            <w:r>
              <w:rPr>
                <w:rFonts w:hint="eastAsia" w:ascii="Times New Roman" w:hAnsi="Times New Roman" w:eastAsia="宋体" w:cs="宋体"/>
                <w:color w:val="auto"/>
                <w:sz w:val="24"/>
                <w:szCs w:val="21"/>
                <w:highlight w:val="none"/>
              </w:rPr>
              <w:t>秒，</w:t>
            </w:r>
            <w:r>
              <w:rPr>
                <w:rFonts w:hint="eastAsia" w:ascii="Times New Roman" w:hAnsi="Times New Roman" w:eastAsia="宋体" w:cs="宋体"/>
                <w:color w:val="auto"/>
                <w:sz w:val="24"/>
                <w:szCs w:val="21"/>
                <w:highlight w:val="none"/>
                <w:u w:val="single"/>
                <w:lang w:val="en-US" w:eastAsia="zh-CN"/>
              </w:rPr>
              <w:t>45</w:t>
            </w:r>
            <w:r>
              <w:rPr>
                <w:rFonts w:hint="eastAsia" w:ascii="Times New Roman" w:hAnsi="Times New Roman" w:eastAsia="宋体" w:cs="宋体"/>
                <w:color w:val="auto"/>
                <w:sz w:val="24"/>
                <w:szCs w:val="21"/>
                <w:highlight w:val="none"/>
              </w:rPr>
              <w:t>度</w:t>
            </w:r>
            <w:r>
              <w:rPr>
                <w:rFonts w:hint="eastAsia" w:ascii="Times New Roman" w:hAnsi="Times New Roman" w:eastAsia="宋体" w:cs="宋体"/>
                <w:color w:val="auto"/>
                <w:sz w:val="24"/>
                <w:szCs w:val="21"/>
                <w:highlight w:val="none"/>
                <w:u w:val="single"/>
                <w:lang w:val="en-US" w:eastAsia="zh-CN"/>
              </w:rPr>
              <w:t>46</w:t>
            </w:r>
            <w:r>
              <w:rPr>
                <w:rFonts w:hint="eastAsia" w:ascii="Times New Roman" w:hAnsi="Times New Roman" w:eastAsia="宋体" w:cs="宋体"/>
                <w:color w:val="auto"/>
                <w:sz w:val="24"/>
                <w:szCs w:val="21"/>
                <w:highlight w:val="none"/>
              </w:rPr>
              <w:t>分</w:t>
            </w:r>
            <w:r>
              <w:rPr>
                <w:rFonts w:hint="eastAsia" w:ascii="Times New Roman" w:hAnsi="Times New Roman" w:eastAsia="宋体" w:cs="宋体"/>
                <w:color w:val="auto"/>
                <w:sz w:val="24"/>
                <w:szCs w:val="21"/>
                <w:highlight w:val="none"/>
                <w:u w:val="single"/>
                <w:lang w:val="en-US" w:eastAsia="zh-CN"/>
              </w:rPr>
              <w:t>55.</w:t>
            </w:r>
            <w:r>
              <w:rPr>
                <w:rFonts w:hint="eastAsia" w:cs="宋体"/>
                <w:color w:val="auto"/>
                <w:sz w:val="24"/>
                <w:szCs w:val="21"/>
                <w:highlight w:val="none"/>
                <w:u w:val="single"/>
                <w:lang w:val="en-US" w:eastAsia="zh-CN"/>
              </w:rPr>
              <w:t>183</w:t>
            </w:r>
            <w:r>
              <w:rPr>
                <w:rFonts w:hint="eastAsia" w:ascii="Times New Roman" w:hAnsi="Times New Roman" w:eastAsia="宋体" w:cs="宋体"/>
                <w:color w:val="auto"/>
                <w:sz w:val="24"/>
                <w:szCs w:val="21"/>
                <w:highlight w:val="none"/>
              </w:rPr>
              <w:t>秒</w:t>
            </w:r>
            <w:r>
              <w:rPr>
                <w:rFonts w:hint="eastAsia" w:ascii="Times New Roman" w:hAnsi="Times New Roman" w:eastAsia="宋体" w:cs="宋体"/>
                <w:color w:val="auto"/>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9" w:type="dxa"/>
            <w:tcMar>
              <w:top w:w="16" w:type="dxa"/>
              <w:left w:w="16" w:type="dxa"/>
              <w:right w:w="16" w:type="dxa"/>
            </w:tcMar>
            <w:vAlign w:val="center"/>
          </w:tcPr>
          <w:p>
            <w:pPr>
              <w:adjustRightInd w:val="0"/>
              <w:snapToGrid w:val="0"/>
              <w:jc w:val="center"/>
              <w:rPr>
                <w:rFonts w:hint="eastAsia" w:ascii="Times New Roman" w:hAnsi="Times New Roman" w:eastAsia="宋体" w:cs="宋体"/>
                <w:sz w:val="24"/>
                <w:szCs w:val="21"/>
              </w:rPr>
            </w:pPr>
            <w:r>
              <w:rPr>
                <w:rFonts w:hint="eastAsia" w:ascii="Times New Roman" w:hAnsi="Times New Roman" w:eastAsia="宋体" w:cs="宋体"/>
                <w:sz w:val="24"/>
                <w:szCs w:val="21"/>
              </w:rPr>
              <w:t>国民经济</w:t>
            </w:r>
          </w:p>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rPr>
              <w:t>行业类别</w:t>
            </w:r>
          </w:p>
        </w:tc>
        <w:tc>
          <w:tcPr>
            <w:tcW w:w="2280" w:type="dxa"/>
            <w:vAlign w:val="center"/>
          </w:tcPr>
          <w:p>
            <w:pPr>
              <w:adjustRightInd w:val="0"/>
              <w:snapToGrid w:val="0"/>
              <w:jc w:val="center"/>
              <w:rPr>
                <w:rFonts w:ascii="Times New Roman" w:hAnsi="Times New Roman" w:eastAsia="宋体" w:cs="宋体"/>
                <w:sz w:val="24"/>
                <w:szCs w:val="21"/>
              </w:rPr>
            </w:pPr>
            <w:r>
              <w:rPr>
                <w:sz w:val="24"/>
                <w:szCs w:val="24"/>
              </w:rPr>
              <w:t>7723固体废物治理</w:t>
            </w:r>
          </w:p>
        </w:tc>
        <w:tc>
          <w:tcPr>
            <w:tcW w:w="2212" w:type="dxa"/>
            <w:vAlign w:val="center"/>
          </w:tcPr>
          <w:p>
            <w:pPr>
              <w:adjustRightInd w:val="0"/>
              <w:snapToGrid w:val="0"/>
              <w:jc w:val="center"/>
              <w:rPr>
                <w:rFonts w:ascii="Times New Roman" w:hAnsi="Times New Roman" w:eastAsia="宋体" w:cs="宋体"/>
                <w:sz w:val="24"/>
                <w:szCs w:val="21"/>
              </w:rPr>
            </w:pPr>
            <w:bookmarkStart w:id="4" w:name="_Hlk49843745"/>
            <w:r>
              <w:rPr>
                <w:rFonts w:hint="eastAsia" w:ascii="Times New Roman" w:hAnsi="Times New Roman" w:eastAsia="宋体" w:cs="宋体"/>
                <w:sz w:val="24"/>
                <w:szCs w:val="21"/>
              </w:rPr>
              <w:t>建设项目</w:t>
            </w:r>
          </w:p>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rPr>
              <w:t>行业类别</w:t>
            </w:r>
            <w:bookmarkEnd w:id="4"/>
          </w:p>
        </w:tc>
        <w:tc>
          <w:tcPr>
            <w:tcW w:w="2639" w:type="dxa"/>
            <w:vAlign w:val="center"/>
          </w:tcPr>
          <w:p>
            <w:pPr>
              <w:adjustRightInd w:val="0"/>
              <w:snapToGrid w:val="0"/>
              <w:rPr>
                <w:rFonts w:ascii="Times New Roman" w:hAnsi="Times New Roman" w:eastAsia="宋体" w:cs="宋体"/>
                <w:sz w:val="24"/>
                <w:szCs w:val="21"/>
              </w:rPr>
            </w:pPr>
            <w:r>
              <w:rPr>
                <w:sz w:val="24"/>
                <w:szCs w:val="24"/>
              </w:rPr>
              <w:t>四十七、生态保护和环境治理业103一般工业固体废物（含污水处理污泥）、建筑施工废弃物处置及综合利用</w:t>
            </w:r>
            <w:r>
              <w:rPr>
                <w:rFonts w:hint="eastAsia"/>
                <w:sz w:val="24"/>
                <w:szCs w:val="24"/>
                <w:lang w:eastAsia="zh-CN"/>
              </w:rPr>
              <w:t>，</w:t>
            </w:r>
            <w:r>
              <w:rPr>
                <w:rFonts w:hint="eastAsia"/>
                <w:sz w:val="24"/>
                <w:szCs w:val="24"/>
                <w:lang w:val="en-US" w:eastAsia="zh-CN"/>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9" w:type="dxa"/>
            <w:tcMar>
              <w:top w:w="16" w:type="dxa"/>
              <w:left w:w="16" w:type="dxa"/>
              <w:right w:w="16" w:type="dxa"/>
            </w:tcMar>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rPr>
              <w:t>建设性质</w:t>
            </w:r>
          </w:p>
        </w:tc>
        <w:tc>
          <w:tcPr>
            <w:tcW w:w="2280" w:type="dxa"/>
            <w:vAlign w:val="center"/>
          </w:tcPr>
          <w:p>
            <w:pPr>
              <w:jc w:val="left"/>
              <w:rPr>
                <w:rFonts w:ascii="Times New Roman" w:hAnsi="Times New Roman" w:eastAsia="宋体" w:cs="宋体"/>
                <w:sz w:val="24"/>
                <w:szCs w:val="21"/>
              </w:rPr>
            </w:pPr>
            <w:r>
              <w:rPr>
                <w:rFonts w:hint="eastAsia" w:ascii="Times New Roman" w:hAnsi="Times New Roman" w:eastAsia="宋体" w:cs="宋体"/>
                <w:sz w:val="24"/>
                <w:szCs w:val="21"/>
              </w:rPr>
              <w:sym w:font="Wingdings 2" w:char="0052"/>
            </w:r>
            <w:r>
              <w:rPr>
                <w:rFonts w:hint="eastAsia" w:ascii="Times New Roman" w:hAnsi="Times New Roman" w:eastAsia="宋体" w:cs="宋体"/>
                <w:sz w:val="24"/>
                <w:szCs w:val="21"/>
              </w:rPr>
              <w:t>新建（迁建）</w:t>
            </w:r>
          </w:p>
          <w:p>
            <w:pPr>
              <w:jc w:val="left"/>
              <w:rPr>
                <w:rFonts w:hint="eastAsia" w:ascii="Times New Roman" w:hAnsi="Times New Roman" w:eastAsia="宋体" w:cs="宋体"/>
                <w:sz w:val="24"/>
                <w:szCs w:val="21"/>
              </w:rPr>
            </w:pPr>
            <w:r>
              <w:rPr>
                <w:rFonts w:hint="eastAsia" w:ascii="Times New Roman" w:hAnsi="Times New Roman" w:eastAsia="宋体" w:cs="宋体"/>
                <w:sz w:val="24"/>
                <w:szCs w:val="21"/>
              </w:rPr>
              <w:t>□改建</w:t>
            </w:r>
          </w:p>
          <w:p>
            <w:pPr>
              <w:jc w:val="left"/>
              <w:rPr>
                <w:rFonts w:hint="eastAsia" w:ascii="Times New Roman" w:hAnsi="Times New Roman" w:eastAsia="宋体" w:cs="宋体"/>
                <w:sz w:val="24"/>
                <w:szCs w:val="21"/>
              </w:rPr>
            </w:pPr>
            <w:r>
              <w:rPr>
                <w:rFonts w:hint="eastAsia" w:ascii="Times New Roman" w:hAnsi="Times New Roman" w:eastAsia="宋体" w:cs="宋体"/>
                <w:sz w:val="24"/>
                <w:szCs w:val="21"/>
              </w:rPr>
              <w:t>□扩建</w:t>
            </w:r>
          </w:p>
          <w:p>
            <w:pPr>
              <w:jc w:val="left"/>
              <w:rPr>
                <w:rFonts w:ascii="Times New Roman" w:hAnsi="Times New Roman" w:eastAsia="宋体" w:cs="宋体"/>
                <w:sz w:val="24"/>
                <w:szCs w:val="21"/>
              </w:rPr>
            </w:pPr>
            <w:r>
              <w:rPr>
                <w:rFonts w:hint="eastAsia" w:ascii="Times New Roman" w:hAnsi="Times New Roman" w:eastAsia="宋体" w:cs="宋体"/>
                <w:sz w:val="24"/>
                <w:szCs w:val="21"/>
              </w:rPr>
              <w:t>□技术改造</w:t>
            </w:r>
          </w:p>
        </w:tc>
        <w:tc>
          <w:tcPr>
            <w:tcW w:w="2212" w:type="dxa"/>
            <w:vAlign w:val="center"/>
          </w:tcPr>
          <w:p>
            <w:pPr>
              <w:adjustRightInd w:val="0"/>
              <w:snapToGrid w:val="0"/>
              <w:jc w:val="center"/>
              <w:rPr>
                <w:rFonts w:hint="eastAsia" w:ascii="Times New Roman" w:hAnsi="Times New Roman" w:eastAsia="宋体" w:cs="宋体"/>
                <w:sz w:val="24"/>
                <w:szCs w:val="21"/>
              </w:rPr>
            </w:pPr>
            <w:r>
              <w:rPr>
                <w:rFonts w:hint="eastAsia" w:ascii="Times New Roman" w:hAnsi="Times New Roman" w:eastAsia="宋体" w:cs="宋体"/>
                <w:sz w:val="24"/>
                <w:szCs w:val="21"/>
              </w:rPr>
              <w:t>建设项目</w:t>
            </w:r>
          </w:p>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rPr>
              <w:t>申报情形</w:t>
            </w:r>
          </w:p>
        </w:tc>
        <w:tc>
          <w:tcPr>
            <w:tcW w:w="2639" w:type="dxa"/>
            <w:vAlign w:val="center"/>
          </w:tcPr>
          <w:p>
            <w:pPr>
              <w:jc w:val="left"/>
              <w:rPr>
                <w:rFonts w:ascii="Times New Roman" w:hAnsi="Times New Roman" w:eastAsia="宋体" w:cs="宋体"/>
                <w:sz w:val="24"/>
                <w:szCs w:val="21"/>
              </w:rPr>
            </w:pPr>
            <w:r>
              <w:rPr>
                <w:rFonts w:hint="eastAsia" w:ascii="Times New Roman" w:hAnsi="Times New Roman" w:eastAsia="宋体" w:cs="宋体"/>
                <w:sz w:val="24"/>
                <w:szCs w:val="21"/>
              </w:rPr>
              <w:sym w:font="Wingdings 2" w:char="0052"/>
            </w:r>
            <w:r>
              <w:rPr>
                <w:rFonts w:hint="eastAsia" w:ascii="Times New Roman" w:hAnsi="Times New Roman" w:eastAsia="宋体" w:cs="宋体"/>
                <w:sz w:val="24"/>
                <w:szCs w:val="21"/>
              </w:rPr>
              <w:t>首次申报项目</w:t>
            </w:r>
            <w:r>
              <w:rPr>
                <w:rFonts w:ascii="Times New Roman" w:hAnsi="Times New Roman" w:eastAsia="宋体" w:cs="宋体"/>
                <w:sz w:val="24"/>
                <w:szCs w:val="21"/>
              </w:rPr>
              <w:t xml:space="preserve">             </w:t>
            </w:r>
          </w:p>
          <w:p>
            <w:pPr>
              <w:jc w:val="left"/>
              <w:rPr>
                <w:rFonts w:ascii="Times New Roman" w:hAnsi="Times New Roman" w:eastAsia="宋体" w:cs="宋体"/>
                <w:sz w:val="24"/>
                <w:szCs w:val="21"/>
              </w:rPr>
            </w:pPr>
            <w:r>
              <w:rPr>
                <w:rFonts w:hint="eastAsia" w:ascii="Times New Roman" w:hAnsi="Times New Roman" w:eastAsia="宋体" w:cs="宋体"/>
                <w:sz w:val="24"/>
                <w:szCs w:val="21"/>
              </w:rPr>
              <w:t>□不予批准后再次申报项目</w:t>
            </w:r>
          </w:p>
          <w:p>
            <w:pPr>
              <w:jc w:val="left"/>
              <w:rPr>
                <w:rFonts w:ascii="Times New Roman" w:hAnsi="Times New Roman" w:eastAsia="宋体" w:cs="宋体"/>
                <w:sz w:val="24"/>
                <w:szCs w:val="21"/>
              </w:rPr>
            </w:pPr>
            <w:r>
              <w:rPr>
                <w:rFonts w:hint="eastAsia" w:ascii="Times New Roman" w:hAnsi="Times New Roman" w:eastAsia="宋体" w:cs="宋体"/>
                <w:sz w:val="24"/>
                <w:szCs w:val="21"/>
              </w:rPr>
              <w:sym w:font="Wingdings 2" w:char="00A3"/>
            </w:r>
            <w:r>
              <w:rPr>
                <w:rFonts w:hint="eastAsia" w:ascii="Times New Roman" w:hAnsi="Times New Roman" w:eastAsia="宋体" w:cs="宋体"/>
                <w:sz w:val="24"/>
                <w:szCs w:val="21"/>
              </w:rPr>
              <w:t>超五年重新审核项目</w:t>
            </w:r>
            <w:r>
              <w:rPr>
                <w:rFonts w:ascii="Times New Roman" w:hAnsi="Times New Roman" w:eastAsia="宋体" w:cs="宋体"/>
                <w:sz w:val="24"/>
                <w:szCs w:val="21"/>
              </w:rPr>
              <w:t xml:space="preserve">     </w:t>
            </w:r>
          </w:p>
          <w:p>
            <w:pPr>
              <w:jc w:val="left"/>
              <w:rPr>
                <w:rFonts w:ascii="Times New Roman" w:hAnsi="Times New Roman" w:eastAsia="宋体" w:cs="宋体"/>
                <w:sz w:val="24"/>
                <w:szCs w:val="21"/>
              </w:rPr>
            </w:pPr>
            <w:r>
              <w:rPr>
                <w:rFonts w:hint="eastAsia" w:ascii="Times New Roman" w:hAnsi="Times New Roman" w:eastAsia="宋体" w:cs="宋体"/>
                <w:sz w:val="24"/>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9" w:type="dxa"/>
            <w:tcMar>
              <w:top w:w="16" w:type="dxa"/>
              <w:left w:w="16" w:type="dxa"/>
              <w:right w:w="16" w:type="dxa"/>
            </w:tcMar>
            <w:vAlign w:val="center"/>
          </w:tcPr>
          <w:p>
            <w:pPr>
              <w:adjustRightInd w:val="0"/>
              <w:snapToGrid w:val="0"/>
              <w:jc w:val="center"/>
              <w:rPr>
                <w:rFonts w:hint="eastAsia" w:ascii="Times New Roman" w:hAnsi="Times New Roman" w:eastAsia="宋体" w:cs="宋体"/>
                <w:sz w:val="24"/>
                <w:szCs w:val="21"/>
                <w:highlight w:val="none"/>
              </w:rPr>
            </w:pPr>
            <w:r>
              <w:rPr>
                <w:rFonts w:hint="eastAsia" w:ascii="Times New Roman" w:hAnsi="Times New Roman" w:eastAsia="宋体" w:cs="宋体"/>
                <w:sz w:val="24"/>
                <w:szCs w:val="21"/>
                <w:highlight w:val="none"/>
              </w:rPr>
              <w:t>项目审批（核准</w:t>
            </w:r>
            <w:r>
              <w:rPr>
                <w:rFonts w:ascii="Times New Roman" w:hAnsi="Times New Roman" w:eastAsia="宋体" w:cs="宋体"/>
                <w:sz w:val="24"/>
                <w:szCs w:val="21"/>
                <w:highlight w:val="none"/>
              </w:rPr>
              <w:t>/</w:t>
            </w:r>
          </w:p>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highlight w:val="none"/>
              </w:rPr>
              <w:t>备案）部门（选填）</w:t>
            </w:r>
          </w:p>
        </w:tc>
        <w:tc>
          <w:tcPr>
            <w:tcW w:w="2280" w:type="dxa"/>
            <w:vAlign w:val="center"/>
          </w:tcPr>
          <w:p>
            <w:pPr>
              <w:adjustRightInd w:val="0"/>
              <w:snapToGrid w:val="0"/>
              <w:jc w:val="center"/>
              <w:rPr>
                <w:rFonts w:hint="eastAsia" w:ascii="Times New Roman" w:hAnsi="Times New Roman" w:eastAsia="宋体" w:cs="宋体"/>
                <w:sz w:val="24"/>
                <w:szCs w:val="21"/>
                <w:lang w:val="en-US" w:eastAsia="zh-CN"/>
              </w:rPr>
            </w:pPr>
            <w:r>
              <w:rPr>
                <w:rFonts w:hint="eastAsia" w:ascii="Times New Roman" w:hAnsi="Times New Roman" w:eastAsia="宋体" w:cs="宋体"/>
                <w:sz w:val="24"/>
                <w:szCs w:val="21"/>
                <w:lang w:val="en-US" w:eastAsia="zh-CN"/>
              </w:rPr>
              <w:t>/</w:t>
            </w:r>
          </w:p>
        </w:tc>
        <w:tc>
          <w:tcPr>
            <w:tcW w:w="2212" w:type="dxa"/>
            <w:vAlign w:val="center"/>
          </w:tcPr>
          <w:p>
            <w:pPr>
              <w:adjustRightInd w:val="0"/>
              <w:snapToGrid w:val="0"/>
              <w:jc w:val="center"/>
              <w:rPr>
                <w:rFonts w:hint="eastAsia" w:ascii="Times New Roman" w:hAnsi="Times New Roman" w:eastAsia="宋体" w:cs="宋体"/>
                <w:sz w:val="24"/>
                <w:szCs w:val="21"/>
                <w:highlight w:val="none"/>
              </w:rPr>
            </w:pPr>
            <w:r>
              <w:rPr>
                <w:rFonts w:hint="eastAsia" w:ascii="Times New Roman" w:hAnsi="Times New Roman" w:eastAsia="宋体" w:cs="宋体"/>
                <w:sz w:val="24"/>
                <w:szCs w:val="21"/>
                <w:highlight w:val="none"/>
              </w:rPr>
              <w:t>项目审批（核准</w:t>
            </w:r>
            <w:r>
              <w:rPr>
                <w:rFonts w:ascii="Times New Roman" w:hAnsi="Times New Roman" w:eastAsia="宋体" w:cs="宋体"/>
                <w:sz w:val="24"/>
                <w:szCs w:val="21"/>
                <w:highlight w:val="none"/>
              </w:rPr>
              <w:t>/</w:t>
            </w:r>
          </w:p>
          <w:p>
            <w:pPr>
              <w:adjustRightInd w:val="0"/>
              <w:snapToGrid w:val="0"/>
              <w:jc w:val="center"/>
              <w:rPr>
                <w:rFonts w:hint="eastAsia" w:ascii="Times New Roman" w:hAnsi="Times New Roman" w:eastAsia="宋体" w:cs="宋体"/>
                <w:sz w:val="24"/>
                <w:szCs w:val="21"/>
              </w:rPr>
            </w:pPr>
            <w:r>
              <w:rPr>
                <w:rFonts w:hint="eastAsia" w:ascii="Times New Roman" w:hAnsi="Times New Roman" w:eastAsia="宋体" w:cs="宋体"/>
                <w:sz w:val="24"/>
                <w:szCs w:val="21"/>
                <w:highlight w:val="none"/>
              </w:rPr>
              <w:t>备案）文号（选填）</w:t>
            </w:r>
          </w:p>
        </w:tc>
        <w:tc>
          <w:tcPr>
            <w:tcW w:w="2639" w:type="dxa"/>
            <w:vAlign w:val="center"/>
          </w:tcPr>
          <w:p>
            <w:pPr>
              <w:adjustRightInd w:val="0"/>
              <w:snapToGrid w:val="0"/>
              <w:jc w:val="center"/>
              <w:rPr>
                <w:rFonts w:hint="eastAsia" w:ascii="Times New Roman" w:hAnsi="Times New Roman" w:eastAsia="宋体" w:cs="宋体"/>
                <w:sz w:val="24"/>
                <w:szCs w:val="21"/>
                <w:lang w:val="en-US" w:eastAsia="zh-CN"/>
              </w:rPr>
            </w:pPr>
            <w:r>
              <w:rPr>
                <w:rFonts w:hint="eastAsia" w:ascii="Times New Roman" w:hAnsi="Times New Roman" w:eastAsia="宋体" w:cs="宋体"/>
                <w:sz w:val="24"/>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9" w:type="dxa"/>
            <w:tcMar>
              <w:top w:w="16" w:type="dxa"/>
              <w:left w:w="16" w:type="dxa"/>
              <w:right w:w="16" w:type="dxa"/>
            </w:tcMar>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rPr>
              <w:t>总投资（万元）</w:t>
            </w:r>
          </w:p>
        </w:tc>
        <w:tc>
          <w:tcPr>
            <w:tcW w:w="2280" w:type="dxa"/>
            <w:vAlign w:val="center"/>
          </w:tcPr>
          <w:p>
            <w:pPr>
              <w:adjustRightInd w:val="0"/>
              <w:snapToGrid w:val="0"/>
              <w:jc w:val="center"/>
              <w:rPr>
                <w:rFonts w:hint="default" w:ascii="Times New Roman" w:hAnsi="Times New Roman" w:eastAsia="宋体" w:cs="宋体"/>
                <w:sz w:val="24"/>
                <w:szCs w:val="21"/>
                <w:lang w:val="en-US" w:eastAsia="zh-CN"/>
              </w:rPr>
            </w:pPr>
            <w:r>
              <w:rPr>
                <w:rFonts w:hint="eastAsia" w:ascii="Times New Roman" w:hAnsi="Times New Roman" w:eastAsia="宋体" w:cs="宋体"/>
                <w:sz w:val="24"/>
                <w:szCs w:val="21"/>
                <w:lang w:val="en-US" w:eastAsia="zh-CN"/>
              </w:rPr>
              <w:t>1480.83</w:t>
            </w:r>
          </w:p>
        </w:tc>
        <w:tc>
          <w:tcPr>
            <w:tcW w:w="2212" w:type="dxa"/>
            <w:tcMar>
              <w:top w:w="16" w:type="dxa"/>
              <w:left w:w="16" w:type="dxa"/>
              <w:right w:w="16" w:type="dxa"/>
            </w:tcMar>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highlight w:val="none"/>
              </w:rPr>
              <w:t>环保投资（万元）</w:t>
            </w:r>
          </w:p>
        </w:tc>
        <w:tc>
          <w:tcPr>
            <w:tcW w:w="2639" w:type="dxa"/>
            <w:vAlign w:val="center"/>
          </w:tcPr>
          <w:p>
            <w:pPr>
              <w:adjustRightInd w:val="0"/>
              <w:snapToGrid w:val="0"/>
              <w:jc w:val="center"/>
              <w:rPr>
                <w:rFonts w:hint="default" w:ascii="Times New Roman" w:hAnsi="Times New Roman" w:eastAsia="宋体" w:cs="宋体"/>
                <w:sz w:val="24"/>
                <w:szCs w:val="21"/>
                <w:lang w:val="en-US" w:eastAsia="zh-CN"/>
              </w:rPr>
            </w:pPr>
            <w:r>
              <w:rPr>
                <w:rFonts w:hint="eastAsia" w:cs="宋体"/>
                <w:color w:val="auto"/>
                <w:sz w:val="24"/>
                <w:szCs w:val="21"/>
                <w:highlight w:val="none"/>
                <w:lang w:val="en-US" w:eastAsia="zh-CN"/>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9" w:type="dxa"/>
            <w:tcMar>
              <w:top w:w="16" w:type="dxa"/>
              <w:left w:w="16" w:type="dxa"/>
              <w:right w:w="16" w:type="dxa"/>
            </w:tcMar>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highlight w:val="none"/>
              </w:rPr>
              <w:t>环保投资占比（</w:t>
            </w:r>
            <w:r>
              <w:rPr>
                <w:rFonts w:ascii="Times New Roman" w:hAnsi="Times New Roman" w:eastAsia="宋体" w:cs="宋体"/>
                <w:sz w:val="24"/>
                <w:szCs w:val="21"/>
                <w:highlight w:val="none"/>
              </w:rPr>
              <w:t>%</w:t>
            </w:r>
            <w:r>
              <w:rPr>
                <w:rFonts w:hint="eastAsia" w:ascii="Times New Roman" w:hAnsi="Times New Roman" w:eastAsia="宋体" w:cs="宋体"/>
                <w:sz w:val="24"/>
                <w:szCs w:val="21"/>
                <w:highlight w:val="none"/>
              </w:rPr>
              <w:t>）</w:t>
            </w:r>
          </w:p>
        </w:tc>
        <w:tc>
          <w:tcPr>
            <w:tcW w:w="2280" w:type="dxa"/>
            <w:vAlign w:val="center"/>
          </w:tcPr>
          <w:p>
            <w:pPr>
              <w:adjustRightInd w:val="0"/>
              <w:snapToGrid w:val="0"/>
              <w:jc w:val="center"/>
              <w:rPr>
                <w:rFonts w:hint="default" w:ascii="Times New Roman" w:hAnsi="Times New Roman" w:eastAsia="宋体" w:cs="宋体"/>
                <w:sz w:val="24"/>
                <w:szCs w:val="21"/>
                <w:lang w:val="en-US" w:eastAsia="zh-CN"/>
              </w:rPr>
            </w:pPr>
            <w:r>
              <w:rPr>
                <w:rFonts w:hint="default" w:ascii="Times New Roman" w:hAnsi="Times New Roman" w:eastAsia="宋体" w:cs="宋体"/>
                <w:sz w:val="24"/>
                <w:szCs w:val="21"/>
                <w:lang w:val="en-US" w:eastAsia="zh-CN"/>
              </w:rPr>
              <w:t>4.73</w:t>
            </w:r>
          </w:p>
        </w:tc>
        <w:tc>
          <w:tcPr>
            <w:tcW w:w="2212" w:type="dxa"/>
            <w:tcMar>
              <w:top w:w="16" w:type="dxa"/>
              <w:left w:w="16" w:type="dxa"/>
              <w:right w:w="16" w:type="dxa"/>
            </w:tcMar>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rPr>
              <w:t>施工工期</w:t>
            </w:r>
          </w:p>
        </w:tc>
        <w:tc>
          <w:tcPr>
            <w:tcW w:w="2639" w:type="dxa"/>
            <w:vAlign w:val="center"/>
          </w:tcPr>
          <w:p>
            <w:pPr>
              <w:adjustRightInd w:val="0"/>
              <w:snapToGrid w:val="0"/>
              <w:jc w:val="center"/>
              <w:rPr>
                <w:rFonts w:hint="default" w:ascii="Times New Roman" w:hAnsi="Times New Roman" w:eastAsia="宋体" w:cs="宋体"/>
                <w:sz w:val="24"/>
                <w:szCs w:val="21"/>
                <w:lang w:val="en-US" w:eastAsia="zh-CN"/>
              </w:rPr>
            </w:pPr>
            <w:r>
              <w:rPr>
                <w:rFonts w:hint="eastAsia" w:ascii="Times New Roman" w:hAnsi="Times New Roman" w:eastAsia="宋体" w:cs="宋体"/>
                <w:sz w:val="24"/>
                <w:szCs w:val="21"/>
                <w:lang w:val="en-US" w:eastAsia="zh-CN"/>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9" w:type="dxa"/>
            <w:tcMar>
              <w:top w:w="16" w:type="dxa"/>
              <w:left w:w="16" w:type="dxa"/>
              <w:right w:w="16" w:type="dxa"/>
            </w:tcMar>
            <w:vAlign w:val="center"/>
          </w:tcPr>
          <w:p>
            <w:pPr>
              <w:adjustRightInd w:val="0"/>
              <w:snapToGrid w:val="0"/>
              <w:jc w:val="center"/>
              <w:rPr>
                <w:rFonts w:hint="eastAsia" w:ascii="Times New Roman" w:hAnsi="Times New Roman" w:eastAsia="宋体" w:cs="宋体"/>
                <w:sz w:val="24"/>
                <w:szCs w:val="21"/>
              </w:rPr>
            </w:pPr>
            <w:r>
              <w:rPr>
                <w:rFonts w:hint="eastAsia" w:ascii="Times New Roman" w:hAnsi="Times New Roman" w:eastAsia="宋体" w:cs="宋体"/>
                <w:sz w:val="24"/>
                <w:szCs w:val="21"/>
              </w:rPr>
              <w:t>是否开工建设</w:t>
            </w:r>
          </w:p>
        </w:tc>
        <w:tc>
          <w:tcPr>
            <w:tcW w:w="2280" w:type="dxa"/>
            <w:vAlign w:val="center"/>
          </w:tcPr>
          <w:p>
            <w:pPr>
              <w:adjustRightInd w:val="0"/>
              <w:snapToGrid w:val="0"/>
              <w:rPr>
                <w:rFonts w:ascii="Times New Roman" w:hAnsi="Times New Roman" w:eastAsia="宋体" w:cs="宋体"/>
                <w:sz w:val="24"/>
                <w:szCs w:val="21"/>
              </w:rPr>
            </w:pPr>
            <w:r>
              <w:rPr>
                <w:rFonts w:hint="eastAsia" w:ascii="Times New Roman" w:hAnsi="Times New Roman" w:eastAsia="宋体" w:cs="宋体"/>
                <w:sz w:val="24"/>
                <w:szCs w:val="21"/>
              </w:rPr>
              <w:sym w:font="Wingdings 2" w:char="0052"/>
            </w:r>
            <w:r>
              <w:rPr>
                <w:rFonts w:hint="eastAsia" w:ascii="Times New Roman" w:hAnsi="Times New Roman" w:eastAsia="宋体" w:cs="宋体"/>
                <w:sz w:val="24"/>
                <w:szCs w:val="21"/>
              </w:rPr>
              <w:t>否</w:t>
            </w:r>
          </w:p>
          <w:p>
            <w:pPr>
              <w:adjustRightInd w:val="0"/>
              <w:snapToGrid w:val="0"/>
              <w:rPr>
                <w:rFonts w:ascii="Times New Roman" w:hAnsi="Times New Roman" w:eastAsia="宋体" w:cs="宋体"/>
                <w:sz w:val="24"/>
                <w:szCs w:val="21"/>
              </w:rPr>
            </w:pPr>
            <w:r>
              <w:rPr>
                <w:rFonts w:hint="eastAsia" w:ascii="Times New Roman" w:hAnsi="Times New Roman" w:eastAsia="宋体" w:cs="宋体"/>
                <w:sz w:val="24"/>
                <w:szCs w:val="21"/>
              </w:rPr>
              <w:sym w:font="Wingdings 2" w:char="00A3"/>
            </w:r>
            <w:r>
              <w:rPr>
                <w:rFonts w:hint="eastAsia" w:ascii="Times New Roman" w:hAnsi="Times New Roman" w:eastAsia="宋体" w:cs="宋体"/>
                <w:sz w:val="24"/>
                <w:szCs w:val="21"/>
              </w:rPr>
              <w:t>是：</w:t>
            </w:r>
            <w:r>
              <w:rPr>
                <w:rFonts w:hint="eastAsia" w:ascii="Times New Roman" w:hAnsi="Times New Roman" w:eastAsia="宋体" w:cs="宋体"/>
                <w:sz w:val="24"/>
                <w:szCs w:val="21"/>
                <w:u w:val="single"/>
              </w:rPr>
              <w:t xml:space="preserve">             </w:t>
            </w:r>
          </w:p>
        </w:tc>
        <w:tc>
          <w:tcPr>
            <w:tcW w:w="2212" w:type="dxa"/>
            <w:tcMar>
              <w:top w:w="16" w:type="dxa"/>
              <w:left w:w="16" w:type="dxa"/>
              <w:right w:w="16" w:type="dxa"/>
            </w:tcMar>
            <w:vAlign w:val="center"/>
          </w:tcPr>
          <w:p>
            <w:pPr>
              <w:adjustRightInd w:val="0"/>
              <w:snapToGrid w:val="0"/>
              <w:jc w:val="center"/>
              <w:rPr>
                <w:rFonts w:ascii="Times New Roman" w:hAnsi="Times New Roman" w:eastAsia="宋体" w:cs="宋体"/>
                <w:spacing w:val="-6"/>
                <w:sz w:val="24"/>
                <w:szCs w:val="21"/>
              </w:rPr>
            </w:pPr>
            <w:r>
              <w:rPr>
                <w:rFonts w:hint="eastAsia" w:ascii="Times New Roman" w:hAnsi="Times New Roman" w:eastAsia="宋体" w:cs="宋体"/>
                <w:spacing w:val="-6"/>
                <w:sz w:val="24"/>
                <w:szCs w:val="21"/>
              </w:rPr>
              <w:t>用地（用海）</w:t>
            </w:r>
          </w:p>
          <w:p>
            <w:pPr>
              <w:adjustRightInd w:val="0"/>
              <w:snapToGrid w:val="0"/>
              <w:jc w:val="center"/>
              <w:rPr>
                <w:rFonts w:hint="eastAsia" w:ascii="Times New Roman" w:hAnsi="Times New Roman" w:eastAsia="宋体" w:cs="宋体"/>
                <w:sz w:val="24"/>
                <w:szCs w:val="21"/>
              </w:rPr>
            </w:pPr>
            <w:r>
              <w:rPr>
                <w:rFonts w:hint="eastAsia" w:ascii="Times New Roman" w:hAnsi="Times New Roman" w:eastAsia="宋体" w:cs="宋体"/>
                <w:spacing w:val="-6"/>
                <w:sz w:val="24"/>
                <w:szCs w:val="21"/>
              </w:rPr>
              <w:t>面积（</w:t>
            </w:r>
            <w:r>
              <w:rPr>
                <w:rFonts w:ascii="Times New Roman" w:hAnsi="Times New Roman" w:eastAsia="宋体" w:cs="宋体"/>
                <w:spacing w:val="-6"/>
                <w:sz w:val="24"/>
                <w:szCs w:val="21"/>
              </w:rPr>
              <w:t>m</w:t>
            </w:r>
            <w:r>
              <w:rPr>
                <w:rFonts w:ascii="Times New Roman" w:hAnsi="Times New Roman" w:eastAsia="宋体" w:cs="宋体"/>
                <w:spacing w:val="-6"/>
                <w:sz w:val="24"/>
                <w:szCs w:val="21"/>
                <w:vertAlign w:val="superscript"/>
              </w:rPr>
              <w:t>2</w:t>
            </w:r>
            <w:r>
              <w:rPr>
                <w:rFonts w:hint="eastAsia" w:ascii="Times New Roman" w:hAnsi="Times New Roman" w:eastAsia="宋体" w:cs="宋体"/>
                <w:spacing w:val="-6"/>
                <w:sz w:val="24"/>
                <w:szCs w:val="21"/>
              </w:rPr>
              <w:t>）</w:t>
            </w:r>
          </w:p>
        </w:tc>
        <w:tc>
          <w:tcPr>
            <w:tcW w:w="2639" w:type="dxa"/>
            <w:vAlign w:val="center"/>
          </w:tcPr>
          <w:p>
            <w:pPr>
              <w:adjustRightInd w:val="0"/>
              <w:snapToGrid w:val="0"/>
              <w:jc w:val="center"/>
              <w:rPr>
                <w:rFonts w:hint="default" w:ascii="Times New Roman" w:hAnsi="Times New Roman" w:eastAsia="宋体" w:cs="宋体"/>
                <w:sz w:val="24"/>
                <w:szCs w:val="21"/>
                <w:lang w:val="en-US" w:eastAsia="zh-CN"/>
              </w:rPr>
            </w:pPr>
            <w:r>
              <w:rPr>
                <w:rFonts w:hint="eastAsia" w:ascii="Times New Roman" w:hAnsi="Times New Roman" w:eastAsia="宋体" w:cs="宋体"/>
                <w:sz w:val="24"/>
                <w:szCs w:val="21"/>
                <w:lang w:val="en-US" w:eastAsia="zh-CN"/>
              </w:rPr>
              <w:t>194216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39" w:type="dxa"/>
            <w:vAlign w:val="center"/>
          </w:tcPr>
          <w:p>
            <w:pPr>
              <w:autoSpaceDE w:val="0"/>
              <w:autoSpaceDN w:val="0"/>
              <w:adjustRightInd w:val="0"/>
              <w:snapToGrid w:val="0"/>
              <w:jc w:val="center"/>
              <w:rPr>
                <w:rFonts w:ascii="Times New Roman" w:hAnsi="Times New Roman" w:eastAsia="宋体" w:cs="宋体"/>
                <w:kern w:val="0"/>
                <w:sz w:val="24"/>
                <w:szCs w:val="21"/>
              </w:rPr>
            </w:pPr>
            <w:r>
              <w:rPr>
                <w:rFonts w:hint="eastAsia" w:ascii="Times New Roman" w:hAnsi="Times New Roman" w:eastAsia="宋体" w:cs="宋体"/>
                <w:kern w:val="0"/>
                <w:sz w:val="24"/>
                <w:szCs w:val="21"/>
              </w:rPr>
              <w:t>专项评价设置情况</w:t>
            </w:r>
          </w:p>
        </w:tc>
        <w:tc>
          <w:tcPr>
            <w:tcW w:w="7131" w:type="dxa"/>
            <w:gridSpan w:val="3"/>
            <w:vAlign w:val="center"/>
          </w:tcPr>
          <w:p>
            <w:pPr>
              <w:autoSpaceDE w:val="0"/>
              <w:autoSpaceDN w:val="0"/>
              <w:adjustRightInd w:val="0"/>
              <w:snapToGrid w:val="0"/>
              <w:jc w:val="center"/>
              <w:rPr>
                <w:rFonts w:hint="default" w:ascii="Times New Roman" w:hAnsi="Times New Roman" w:eastAsia="宋体" w:cs="宋体"/>
                <w:kern w:val="0"/>
                <w:sz w:val="24"/>
                <w:szCs w:val="21"/>
                <w:lang w:val="en-US" w:eastAsia="zh-CN"/>
              </w:rPr>
            </w:pPr>
            <w:r>
              <w:rPr>
                <w:rFonts w:hint="eastAsia" w:ascii="Times New Roman" w:hAnsi="Times New Roman" w:eastAsia="宋体" w:cs="宋体"/>
                <w:kern w:val="0"/>
                <w:sz w:val="24"/>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39" w:type="dxa"/>
            <w:vAlign w:val="center"/>
          </w:tcPr>
          <w:p>
            <w:pPr>
              <w:autoSpaceDE w:val="0"/>
              <w:autoSpaceDN w:val="0"/>
              <w:adjustRightInd w:val="0"/>
              <w:snapToGrid w:val="0"/>
              <w:jc w:val="center"/>
              <w:rPr>
                <w:rFonts w:hint="eastAsia" w:ascii="Times New Roman" w:hAnsi="Times New Roman" w:eastAsia="宋体" w:cs="宋体"/>
                <w:kern w:val="0"/>
                <w:sz w:val="24"/>
                <w:szCs w:val="21"/>
              </w:rPr>
            </w:pPr>
            <w:r>
              <w:rPr>
                <w:rFonts w:hint="eastAsia" w:ascii="Times New Roman" w:hAnsi="Times New Roman" w:eastAsia="宋体" w:cs="宋体"/>
                <w:sz w:val="24"/>
                <w:szCs w:val="21"/>
              </w:rPr>
              <w:t>规划情况</w:t>
            </w:r>
          </w:p>
        </w:tc>
        <w:tc>
          <w:tcPr>
            <w:tcW w:w="7131" w:type="dxa"/>
            <w:gridSpan w:val="3"/>
            <w:vAlign w:val="center"/>
          </w:tcPr>
          <w:p>
            <w:pPr>
              <w:autoSpaceDE w:val="0"/>
              <w:autoSpaceDN w:val="0"/>
              <w:adjustRightInd w:val="0"/>
              <w:snapToGrid w:val="0"/>
              <w:rPr>
                <w:rFonts w:hint="default"/>
                <w:lang w:val="en-US" w:eastAsia="zh-CN"/>
              </w:rPr>
            </w:pPr>
            <w:r>
              <w:rPr>
                <w:rFonts w:hint="eastAsia" w:ascii="Times New Roman" w:hAnsi="Times New Roman" w:eastAsia="宋体" w:cs="宋体"/>
                <w:kern w:val="0"/>
                <w:sz w:val="24"/>
                <w:szCs w:val="21"/>
                <w:lang w:eastAsia="zh-CN"/>
              </w:rPr>
              <w:t>《</w:t>
            </w:r>
            <w:r>
              <w:rPr>
                <w:rFonts w:hint="eastAsia" w:ascii="Times New Roman" w:hAnsi="Times New Roman" w:eastAsia="宋体" w:cs="宋体"/>
                <w:kern w:val="0"/>
                <w:sz w:val="24"/>
                <w:szCs w:val="21"/>
                <w:lang w:val="en-US" w:eastAsia="zh-CN"/>
              </w:rPr>
              <w:t>黑龙江省城乡固体废物分类治理布局规划</w:t>
            </w:r>
            <w:r>
              <w:rPr>
                <w:rFonts w:hint="eastAsia" w:ascii="Times New Roman" w:hAnsi="Times New Roman" w:eastAsia="宋体" w:cs="宋体"/>
                <w:kern w:val="0"/>
                <w:sz w:val="24"/>
                <w:szCs w:val="21"/>
                <w:lang w:eastAsia="zh-CN"/>
              </w:rPr>
              <w:t>（</w:t>
            </w:r>
            <w:r>
              <w:rPr>
                <w:rFonts w:hint="eastAsia" w:ascii="Times New Roman" w:hAnsi="Times New Roman" w:eastAsia="宋体" w:cs="宋体"/>
                <w:kern w:val="0"/>
                <w:sz w:val="24"/>
                <w:szCs w:val="21"/>
                <w:lang w:val="en-US" w:eastAsia="zh-CN"/>
              </w:rPr>
              <w:t>2019-2035</w:t>
            </w:r>
            <w:r>
              <w:rPr>
                <w:rFonts w:hint="eastAsia" w:ascii="Times New Roman" w:hAnsi="Times New Roman" w:eastAsia="宋体" w:cs="宋体"/>
                <w:kern w:val="0"/>
                <w:sz w:val="24"/>
                <w:szCs w:val="21"/>
                <w:lang w:eastAsia="zh-CN"/>
              </w:rPr>
              <w:t>）</w:t>
            </w:r>
            <w:r>
              <w:rPr>
                <w:rFonts w:hint="eastAsia" w:cs="宋体"/>
                <w:kern w:val="0"/>
                <w:sz w:val="24"/>
                <w:szCs w:val="21"/>
                <w:lang w:val="en-US" w:eastAsia="zh-CN"/>
              </w:rPr>
              <w:t>2021年修订版》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39" w:type="dxa"/>
            <w:vAlign w:val="center"/>
          </w:tcPr>
          <w:p>
            <w:pPr>
              <w:adjustRightInd w:val="0"/>
              <w:snapToGrid w:val="0"/>
              <w:jc w:val="center"/>
              <w:rPr>
                <w:rFonts w:ascii="Times New Roman" w:hAnsi="Times New Roman" w:eastAsia="宋体" w:cs="宋体"/>
                <w:sz w:val="24"/>
                <w:szCs w:val="21"/>
              </w:rPr>
            </w:pPr>
            <w:r>
              <w:rPr>
                <w:rFonts w:hint="eastAsia" w:ascii="Times New Roman" w:hAnsi="Times New Roman" w:eastAsia="宋体" w:cs="宋体"/>
                <w:sz w:val="24"/>
                <w:szCs w:val="21"/>
              </w:rPr>
              <w:t>规划环境影响</w:t>
            </w:r>
          </w:p>
          <w:p>
            <w:pPr>
              <w:adjustRightInd w:val="0"/>
              <w:snapToGrid w:val="0"/>
              <w:jc w:val="center"/>
              <w:rPr>
                <w:rFonts w:hint="eastAsia" w:ascii="Times New Roman" w:hAnsi="Times New Roman" w:eastAsia="宋体" w:cs="宋体"/>
                <w:kern w:val="0"/>
                <w:sz w:val="24"/>
                <w:szCs w:val="21"/>
              </w:rPr>
            </w:pPr>
            <w:r>
              <w:rPr>
                <w:rFonts w:hint="eastAsia" w:ascii="Times New Roman" w:hAnsi="Times New Roman" w:eastAsia="宋体" w:cs="宋体"/>
                <w:sz w:val="24"/>
                <w:szCs w:val="21"/>
              </w:rPr>
              <w:t>评价情况</w:t>
            </w:r>
          </w:p>
        </w:tc>
        <w:tc>
          <w:tcPr>
            <w:tcW w:w="7131" w:type="dxa"/>
            <w:gridSpan w:val="3"/>
            <w:vAlign w:val="center"/>
          </w:tcPr>
          <w:p>
            <w:pPr>
              <w:autoSpaceDE w:val="0"/>
              <w:autoSpaceDN w:val="0"/>
              <w:adjustRightInd w:val="0"/>
              <w:snapToGrid w:val="0"/>
              <w:jc w:val="center"/>
              <w:rPr>
                <w:rFonts w:hint="eastAsia" w:ascii="Times New Roman" w:hAnsi="Times New Roman" w:eastAsia="宋体" w:cs="宋体"/>
                <w:kern w:val="0"/>
                <w:sz w:val="24"/>
                <w:szCs w:val="21"/>
                <w:lang w:val="en-US" w:eastAsia="zh-CN"/>
              </w:rPr>
            </w:pPr>
            <w:r>
              <w:rPr>
                <w:rFonts w:hint="eastAsia" w:ascii="Times New Roman" w:hAnsi="Times New Roman" w:eastAsia="宋体" w:cs="宋体"/>
                <w:kern w:val="0"/>
                <w:sz w:val="24"/>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39" w:type="dxa"/>
            <w:vAlign w:val="center"/>
          </w:tcPr>
          <w:p>
            <w:pPr>
              <w:autoSpaceDE w:val="0"/>
              <w:autoSpaceDN w:val="0"/>
              <w:adjustRightInd w:val="0"/>
              <w:snapToGrid w:val="0"/>
              <w:jc w:val="center"/>
              <w:rPr>
                <w:rFonts w:hint="eastAsia" w:ascii="Times New Roman" w:hAnsi="Times New Roman" w:eastAsia="宋体" w:cs="宋体"/>
                <w:kern w:val="0"/>
                <w:sz w:val="24"/>
                <w:szCs w:val="21"/>
              </w:rPr>
            </w:pPr>
            <w:r>
              <w:rPr>
                <w:rFonts w:hint="eastAsia" w:ascii="Times New Roman" w:hAnsi="Times New Roman" w:eastAsia="宋体" w:cs="宋体"/>
                <w:kern w:val="0"/>
                <w:sz w:val="24"/>
                <w:szCs w:val="21"/>
              </w:rPr>
              <w:t>规划及规划环境</w:t>
            </w:r>
          </w:p>
          <w:p>
            <w:pPr>
              <w:autoSpaceDE w:val="0"/>
              <w:autoSpaceDN w:val="0"/>
              <w:adjustRightInd w:val="0"/>
              <w:snapToGrid w:val="0"/>
              <w:jc w:val="center"/>
              <w:rPr>
                <w:rFonts w:ascii="Times New Roman" w:hAnsi="Times New Roman" w:eastAsia="宋体" w:cs="宋体"/>
                <w:kern w:val="0"/>
                <w:sz w:val="24"/>
                <w:szCs w:val="21"/>
              </w:rPr>
            </w:pPr>
            <w:r>
              <w:rPr>
                <w:rFonts w:hint="eastAsia" w:ascii="Times New Roman" w:hAnsi="Times New Roman" w:eastAsia="宋体" w:cs="宋体"/>
                <w:kern w:val="0"/>
                <w:sz w:val="24"/>
                <w:szCs w:val="21"/>
              </w:rPr>
              <w:t>影响评价符合性分析</w:t>
            </w:r>
          </w:p>
        </w:tc>
        <w:tc>
          <w:tcPr>
            <w:tcW w:w="7131"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宋体"/>
                <w:b/>
                <w:bCs/>
                <w:kern w:val="0"/>
                <w:sz w:val="24"/>
                <w:szCs w:val="21"/>
                <w:lang w:val="en-US" w:eastAsia="zh-CN"/>
              </w:rPr>
            </w:pPr>
            <w:r>
              <w:rPr>
                <w:rFonts w:hint="eastAsia" w:ascii="Times New Roman" w:hAnsi="Times New Roman" w:eastAsia="宋体" w:cs="宋体"/>
                <w:b/>
                <w:bCs/>
                <w:kern w:val="0"/>
                <w:sz w:val="24"/>
                <w:szCs w:val="21"/>
                <w:lang w:val="en-US" w:eastAsia="zh-CN"/>
              </w:rPr>
              <w:t>与《黑龙江省城乡固体废物分类治理布局规划（2019-2035）</w:t>
            </w:r>
            <w:r>
              <w:rPr>
                <w:rFonts w:hint="eastAsia" w:cs="宋体"/>
                <w:b/>
                <w:bCs/>
                <w:kern w:val="0"/>
                <w:sz w:val="24"/>
                <w:szCs w:val="21"/>
                <w:lang w:val="en-US" w:eastAsia="zh-CN"/>
              </w:rPr>
              <w:t>2021年修订版》</w:t>
            </w:r>
            <w:r>
              <w:rPr>
                <w:rFonts w:hint="eastAsia" w:ascii="Times New Roman" w:hAnsi="Times New Roman" w:eastAsia="宋体" w:cs="宋体"/>
                <w:b/>
                <w:bCs/>
                <w:kern w:val="0"/>
                <w:sz w:val="24"/>
                <w:szCs w:val="21"/>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宋体"/>
                <w:color w:val="000000"/>
                <w:kern w:val="0"/>
                <w:sz w:val="24"/>
                <w:szCs w:val="24"/>
                <w:lang w:val="en-US" w:eastAsia="zh-CN"/>
              </w:rPr>
            </w:pPr>
            <w:r>
              <w:rPr>
                <w:rFonts w:hint="eastAsia" w:ascii="Times New Roman" w:hAnsi="Times New Roman" w:eastAsia="宋体" w:cs="宋体"/>
                <w:color w:val="auto"/>
                <w:kern w:val="0"/>
                <w:sz w:val="24"/>
                <w:szCs w:val="28"/>
                <w:highlight w:val="none"/>
                <w:lang w:val="en-US" w:eastAsia="zh-CN"/>
              </w:rPr>
              <w:t>根据《黑龙江省城乡固体废物分类治理布局规划（2019-2035）2021年修订版》，了解到黑龙江省建筑垃圾现状：黑龙江</w:t>
            </w:r>
            <w:r>
              <w:rPr>
                <w:rFonts w:hint="eastAsia" w:ascii="Times New Roman" w:hAnsi="Times New Roman" w:eastAsia="宋体" w:cs="宋体"/>
                <w:color w:val="000000"/>
                <w:kern w:val="0"/>
                <w:sz w:val="24"/>
                <w:szCs w:val="24"/>
                <w:lang w:val="en-US" w:eastAsia="zh-CN"/>
              </w:rPr>
              <w:t>省建筑垃圾产量达到</w:t>
            </w:r>
            <w:r>
              <w:rPr>
                <w:rFonts w:hint="default" w:ascii="Times New Roman" w:hAnsi="Times New Roman" w:eastAsia="宋体" w:cs="Times New Roman"/>
                <w:color w:val="000000"/>
                <w:kern w:val="0"/>
                <w:sz w:val="24"/>
                <w:szCs w:val="24"/>
                <w:lang w:val="en-US" w:eastAsia="zh-CN"/>
              </w:rPr>
              <w:t>1770</w:t>
            </w:r>
            <w:r>
              <w:rPr>
                <w:rFonts w:hint="eastAsia" w:ascii="Times New Roman" w:hAnsi="Times New Roman" w:eastAsia="宋体" w:cs="宋体"/>
                <w:color w:val="000000"/>
                <w:kern w:val="0"/>
                <w:sz w:val="24"/>
                <w:szCs w:val="24"/>
                <w:lang w:val="en-US" w:eastAsia="zh-CN"/>
              </w:rPr>
              <w:t>万吨</w:t>
            </w:r>
            <w:r>
              <w:rPr>
                <w:rFonts w:hint="default" w:ascii="Times New Roman" w:hAnsi="Times New Roman" w:eastAsia="宋体" w:cs="Times New Roman"/>
                <w:color w:val="000000"/>
                <w:kern w:val="0"/>
                <w:sz w:val="24"/>
                <w:szCs w:val="24"/>
                <w:lang w:val="en-US" w:eastAsia="zh-CN"/>
              </w:rPr>
              <w:t>/</w:t>
            </w:r>
            <w:r>
              <w:rPr>
                <w:rFonts w:hint="eastAsia" w:ascii="Times New Roman" w:hAnsi="Times New Roman" w:eastAsia="宋体" w:cs="宋体"/>
                <w:color w:val="000000"/>
                <w:kern w:val="0"/>
                <w:sz w:val="24"/>
                <w:szCs w:val="24"/>
                <w:lang w:val="en-US" w:eastAsia="zh-CN"/>
              </w:rPr>
              <w:t>年，主要用于筑路施工、桩基填料、地基基础等，其余的处理方式以简易填埋为主。虽然佳木斯、大庆、绥化等个别地区在建筑垃圾治理上进行了一些尝试，但我省绝大部分市县均未建有正规的建筑垃圾回收利用或建筑垃圾消纳设施。该《规划》就是在此基础上提出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宋体"/>
                <w:color w:val="auto"/>
                <w:kern w:val="0"/>
                <w:sz w:val="24"/>
                <w:szCs w:val="28"/>
                <w:highlight w:val="none"/>
                <w:lang w:val="en-US" w:eastAsia="zh-CN"/>
              </w:rPr>
            </w:pPr>
            <w:r>
              <w:rPr>
                <w:rFonts w:hint="eastAsia" w:cs="宋体"/>
                <w:color w:val="auto"/>
                <w:kern w:val="0"/>
                <w:sz w:val="24"/>
                <w:szCs w:val="28"/>
                <w:highlight w:val="none"/>
                <w:lang w:val="en-US" w:eastAsia="zh-CN"/>
              </w:rPr>
              <w:t>《规划》中，</w:t>
            </w:r>
            <w:r>
              <w:rPr>
                <w:rFonts w:hint="eastAsia" w:ascii="Times New Roman" w:hAnsi="Times New Roman" w:eastAsia="宋体" w:cs="宋体"/>
                <w:color w:val="auto"/>
                <w:kern w:val="0"/>
                <w:sz w:val="24"/>
                <w:szCs w:val="28"/>
                <w:highlight w:val="none"/>
                <w:lang w:val="en-US" w:eastAsia="zh-CN"/>
              </w:rPr>
              <w:t>黑龙江省建筑垃圾处理的基本技术路线为：资源化利用为主、填埋消纳为辅。</w:t>
            </w:r>
            <w:r>
              <w:rPr>
                <w:rFonts w:hint="eastAsia" w:cs="宋体"/>
                <w:color w:val="auto"/>
                <w:kern w:val="0"/>
                <w:sz w:val="24"/>
                <w:szCs w:val="28"/>
                <w:highlight w:val="none"/>
                <w:lang w:val="en-US" w:eastAsia="zh-CN"/>
              </w:rPr>
              <w:t>近期开工建设建筑垃圾资源化利用设施1座，处理能力90万吨/年；中期开工建设建筑垃圾资源化或消纳设施23座，处理能力758万吨/年；远期开工建设建筑垃圾资源化或消纳设施38座，处理能力240万吨/年。七台河市的建筑垃圾处理设施规划在中期，预在七台河市和勃利县投资7200万元建设年处理能力30万吨/年的资源化利用设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eastAsia="宋体"/>
                <w:lang w:val="en-US" w:eastAsia="zh-CN"/>
              </w:rPr>
            </w:pPr>
            <w:r>
              <w:rPr>
                <w:rFonts w:hint="eastAsia" w:ascii="Times New Roman" w:hAnsi="Times New Roman" w:eastAsia="宋体"/>
                <w:color w:val="auto"/>
                <w:sz w:val="24"/>
                <w:highlight w:val="none"/>
              </w:rPr>
              <w:t>本项目</w:t>
            </w:r>
            <w:r>
              <w:rPr>
                <w:rFonts w:hint="eastAsia"/>
                <w:color w:val="auto"/>
                <w:sz w:val="24"/>
                <w:highlight w:val="none"/>
                <w:lang w:val="en-US" w:eastAsia="zh-CN"/>
              </w:rPr>
              <w:t>为建筑垃圾暂存场</w:t>
            </w:r>
            <w:r>
              <w:rPr>
                <w:rFonts w:hint="eastAsia" w:ascii="Times New Roman" w:hAnsi="Times New Roman" w:eastAsia="宋体"/>
                <w:color w:val="auto"/>
                <w:sz w:val="24"/>
                <w:highlight w:val="none"/>
              </w:rPr>
              <w:t>建设</w:t>
            </w:r>
            <w:r>
              <w:rPr>
                <w:rFonts w:hint="eastAsia"/>
                <w:color w:val="auto"/>
                <w:sz w:val="24"/>
                <w:highlight w:val="none"/>
                <w:lang w:val="en-US" w:eastAsia="zh-CN"/>
              </w:rPr>
              <w:t>项目，用于建筑垃圾的中转和暂存，</w:t>
            </w:r>
            <w:r>
              <w:rPr>
                <w:rFonts w:hint="eastAsia" w:ascii="Times New Roman" w:hAnsi="Times New Roman" w:eastAsia="宋体"/>
                <w:color w:val="auto"/>
                <w:sz w:val="24"/>
                <w:highlight w:val="none"/>
              </w:rPr>
              <w:t>符合国家</w:t>
            </w:r>
            <w:r>
              <w:rPr>
                <w:rFonts w:hint="eastAsia"/>
                <w:color w:val="auto"/>
                <w:sz w:val="24"/>
                <w:highlight w:val="none"/>
                <w:lang w:val="en-US" w:eastAsia="zh-CN"/>
              </w:rPr>
              <w:t>和</w:t>
            </w:r>
            <w:r>
              <w:rPr>
                <w:rFonts w:hint="eastAsia" w:ascii="Times New Roman" w:hAnsi="Times New Roman" w:eastAsia="宋体"/>
                <w:color w:val="auto"/>
                <w:sz w:val="24"/>
                <w:highlight w:val="none"/>
              </w:rPr>
              <w:t>省有关经济社会发展规划及2035年远景发展目标，符合</w:t>
            </w:r>
            <w:r>
              <w:rPr>
                <w:rFonts w:hint="eastAsia" w:ascii="Times New Roman" w:hAnsi="Times New Roman" w:eastAsia="宋体"/>
                <w:color w:val="auto"/>
                <w:sz w:val="24"/>
                <w:highlight w:val="none"/>
                <w:lang w:val="en-US" w:eastAsia="zh-CN"/>
              </w:rPr>
              <w:t>《黑龙江省城乡固体废弃物治理布局规划》</w:t>
            </w:r>
            <w:r>
              <w:rPr>
                <w:rFonts w:hint="eastAsia" w:ascii="Times New Roman" w:hAnsi="Times New Roman" w:eastAsia="宋体"/>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39" w:type="dxa"/>
            <w:vAlign w:val="center"/>
          </w:tcPr>
          <w:p>
            <w:pPr>
              <w:autoSpaceDE w:val="0"/>
              <w:autoSpaceDN w:val="0"/>
              <w:adjustRightInd w:val="0"/>
              <w:snapToGrid w:val="0"/>
              <w:jc w:val="center"/>
              <w:rPr>
                <w:rFonts w:hint="eastAsia" w:ascii="Times New Roman" w:hAnsi="Times New Roman" w:eastAsia="宋体" w:cs="宋体"/>
                <w:kern w:val="0"/>
                <w:sz w:val="24"/>
                <w:szCs w:val="21"/>
              </w:rPr>
            </w:pPr>
            <w:r>
              <w:rPr>
                <w:rFonts w:hint="eastAsia" w:ascii="Times New Roman" w:hAnsi="Times New Roman" w:eastAsia="宋体" w:cs="宋体"/>
                <w:kern w:val="0"/>
                <w:sz w:val="24"/>
                <w:szCs w:val="21"/>
              </w:rPr>
              <w:t>其他符合性分析</w:t>
            </w:r>
          </w:p>
        </w:tc>
        <w:tc>
          <w:tcPr>
            <w:tcW w:w="7131"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宋体"/>
                <w:b/>
                <w:bCs/>
                <w:kern w:val="0"/>
                <w:sz w:val="24"/>
                <w:szCs w:val="21"/>
                <w:lang w:val="en-US" w:eastAsia="zh-CN"/>
              </w:rPr>
            </w:pPr>
            <w:r>
              <w:rPr>
                <w:rFonts w:hint="eastAsia" w:ascii="Times New Roman" w:hAnsi="Times New Roman" w:eastAsia="宋体" w:cs="宋体"/>
                <w:b/>
                <w:bCs/>
                <w:kern w:val="0"/>
                <w:sz w:val="24"/>
                <w:szCs w:val="21"/>
                <w:lang w:val="en-US" w:eastAsia="zh-CN"/>
              </w:rPr>
              <w:t>1 产业政策符合性分析：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b w:val="0"/>
                <w:bCs w:val="0"/>
                <w:color w:val="auto"/>
                <w:sz w:val="24"/>
                <w:lang w:eastAsia="zh-CN"/>
              </w:rPr>
              <w:t>根据《产业结构调整指导目录（2019年本）》及《产业结构调整指导目录（2019年本）》（2021修改），</w:t>
            </w:r>
            <w:r>
              <w:rPr>
                <w:rFonts w:hint="eastAsia" w:ascii="Times New Roman" w:hAnsi="Times New Roman" w:eastAsia="宋体" w:cs="Times New Roman"/>
                <w:kern w:val="0"/>
                <w:sz w:val="24"/>
                <w:szCs w:val="24"/>
                <w:lang w:val="en-US" w:eastAsia="zh-CN"/>
              </w:rPr>
              <w:t>本项目属于鼓励类“四十三、环境保护与资源节约综合利用”中“20、城镇垃圾、农村生活垃圾、农村生活污水、污泥及其他固体废弃物减量化、资源化、无害化处理和综合利用工程”项目。本项目符合政策。</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b/>
                <w:bCs/>
                <w:kern w:val="0"/>
                <w:sz w:val="24"/>
                <w:szCs w:val="24"/>
                <w:highlight w:val="none"/>
                <w:shd w:val="clear" w:color="auto" w:fill="auto"/>
                <w:lang w:val="en-US" w:eastAsia="zh-CN"/>
              </w:rPr>
            </w:pPr>
            <w:r>
              <w:rPr>
                <w:rFonts w:hint="eastAsia" w:ascii="Times New Roman" w:hAnsi="Times New Roman" w:eastAsia="宋体" w:cs="Times New Roman"/>
                <w:b/>
                <w:bCs/>
                <w:kern w:val="0"/>
                <w:sz w:val="24"/>
                <w:szCs w:val="24"/>
                <w:highlight w:val="none"/>
                <w:shd w:val="clear" w:color="auto" w:fill="auto"/>
                <w:lang w:val="en-US" w:eastAsia="zh-CN"/>
              </w:rPr>
              <w:t>2 “三线一单”符合性分析：</w:t>
            </w:r>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pacing w:val="0"/>
                <w:sz w:val="24"/>
                <w:szCs w:val="24"/>
                <w:shd w:val="clear" w:color="auto" w:fill="auto"/>
                <w:lang w:eastAsia="zh-CN"/>
              </w:rPr>
            </w:pPr>
            <w:r>
              <w:rPr>
                <w:rFonts w:ascii="宋体" w:hAnsi="宋体" w:eastAsia="宋体" w:cs="宋体"/>
                <w:spacing w:val="0"/>
                <w:sz w:val="24"/>
                <w:szCs w:val="24"/>
                <w:shd w:val="clear" w:color="auto" w:fill="auto"/>
              </w:rPr>
              <w:t>根据《黑龙江省人民政府关于实施“三线一单”生态环境分区管控的意见》(黑政发[2020]14号文件)和</w:t>
            </w:r>
            <w:r>
              <w:rPr>
                <w:rFonts w:hint="eastAsia" w:ascii="宋体" w:hAnsi="宋体" w:eastAsia="宋体" w:cs="宋体"/>
                <w:color w:val="auto"/>
                <w:spacing w:val="0"/>
                <w:sz w:val="24"/>
                <w:szCs w:val="24"/>
                <w:shd w:val="clear" w:color="auto" w:fill="auto"/>
              </w:rPr>
              <w:t>《关于发布&lt;七台河市生态环境准入清单（2023年版）&gt;的通知》</w:t>
            </w:r>
            <w:r>
              <w:rPr>
                <w:rFonts w:ascii="宋体" w:hAnsi="宋体" w:eastAsia="宋体" w:cs="宋体"/>
                <w:color w:val="auto"/>
                <w:spacing w:val="0"/>
                <w:sz w:val="24"/>
                <w:szCs w:val="24"/>
                <w:shd w:val="clear" w:color="auto" w:fill="auto"/>
              </w:rPr>
              <w:t>(七政发(202</w:t>
            </w:r>
            <w:r>
              <w:rPr>
                <w:rFonts w:hint="eastAsia" w:ascii="宋体" w:hAnsi="宋体" w:eastAsia="宋体" w:cs="宋体"/>
                <w:color w:val="auto"/>
                <w:spacing w:val="0"/>
                <w:sz w:val="24"/>
                <w:szCs w:val="24"/>
                <w:shd w:val="clear" w:color="auto" w:fill="auto"/>
                <w:lang w:val="en-US" w:eastAsia="zh-CN"/>
              </w:rPr>
              <w:t>3</w:t>
            </w:r>
            <w:r>
              <w:rPr>
                <w:rFonts w:ascii="宋体" w:hAnsi="宋体" w:eastAsia="宋体" w:cs="宋体"/>
                <w:color w:val="auto"/>
                <w:spacing w:val="0"/>
                <w:sz w:val="24"/>
                <w:szCs w:val="24"/>
                <w:shd w:val="clear" w:color="auto" w:fill="auto"/>
              </w:rPr>
              <w:t>)</w:t>
            </w:r>
            <w:r>
              <w:rPr>
                <w:rFonts w:hint="eastAsia" w:ascii="宋体" w:hAnsi="宋体" w:eastAsia="宋体" w:cs="宋体"/>
                <w:color w:val="auto"/>
                <w:spacing w:val="0"/>
                <w:sz w:val="24"/>
                <w:szCs w:val="24"/>
                <w:shd w:val="clear" w:color="auto" w:fill="auto"/>
                <w:lang w:val="en-US" w:eastAsia="zh-CN"/>
              </w:rPr>
              <w:t>9</w:t>
            </w:r>
            <w:r>
              <w:rPr>
                <w:rFonts w:ascii="宋体" w:hAnsi="宋体" w:eastAsia="宋体" w:cs="宋体"/>
                <w:color w:val="auto"/>
                <w:spacing w:val="0"/>
                <w:sz w:val="24"/>
                <w:szCs w:val="24"/>
                <w:shd w:val="clear" w:color="auto" w:fill="auto"/>
              </w:rPr>
              <w:t>号)</w:t>
            </w:r>
            <w:r>
              <w:rPr>
                <w:rFonts w:ascii="宋体" w:hAnsi="宋体" w:eastAsia="宋体" w:cs="宋体"/>
                <w:spacing w:val="0"/>
                <w:sz w:val="24"/>
                <w:szCs w:val="24"/>
                <w:shd w:val="clear" w:color="auto" w:fill="auto"/>
              </w:rPr>
              <w:t>，本项目</w:t>
            </w:r>
            <w:r>
              <w:rPr>
                <w:rFonts w:ascii="宋体" w:hAnsi="宋体" w:eastAsia="宋体" w:cs="宋体"/>
                <w:spacing w:val="0"/>
                <w:kern w:val="0"/>
                <w:sz w:val="24"/>
                <w:szCs w:val="24"/>
                <w:shd w:val="clear" w:color="auto" w:fill="auto"/>
              </w:rPr>
              <w:t>不在生态保护红线内，项目位于重点管控单元，本项目与七台河市环境</w:t>
            </w:r>
            <w:r>
              <w:rPr>
                <w:rFonts w:ascii="宋体" w:hAnsi="宋体" w:eastAsia="宋体" w:cs="宋体"/>
                <w:spacing w:val="0"/>
                <w:sz w:val="24"/>
                <w:szCs w:val="24"/>
                <w:shd w:val="clear" w:color="auto" w:fill="auto"/>
              </w:rPr>
              <w:t>管控单元位置关系详见附图1</w:t>
            </w:r>
            <w:r>
              <w:rPr>
                <w:rFonts w:hint="eastAsia" w:ascii="宋体" w:hAnsi="宋体" w:eastAsia="宋体" w:cs="宋体"/>
                <w:spacing w:val="0"/>
                <w:sz w:val="24"/>
                <w:szCs w:val="24"/>
                <w:shd w:val="clear" w:color="auto" w:fill="auto"/>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宋体"/>
                <w:b/>
                <w:bCs/>
                <w:kern w:val="0"/>
                <w:sz w:val="21"/>
                <w:szCs w:val="21"/>
                <w:lang w:val="en-US" w:eastAsia="zh-CN"/>
              </w:rPr>
            </w:pPr>
            <w:r>
              <w:rPr>
                <w:rFonts w:hint="eastAsia" w:ascii="Times New Roman" w:hAnsi="Times New Roman" w:eastAsia="宋体" w:cs="宋体"/>
                <w:b/>
                <w:bCs/>
                <w:kern w:val="0"/>
                <w:sz w:val="21"/>
                <w:szCs w:val="21"/>
                <w:lang w:val="en-US" w:eastAsia="zh-CN"/>
              </w:rPr>
              <w:t>表1-1 本项目“三线一单”符合性分析</w:t>
            </w:r>
          </w:p>
          <w:tbl>
            <w:tblPr>
              <w:tblStyle w:val="20"/>
              <w:tblW w:w="685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5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748" w:type="dxa"/>
                  <w:tcBorders>
                    <w:top w:val="single" w:color="auto" w:sz="12" w:space="0"/>
                    <w:bottom w:val="single" w:color="auto" w:sz="12" w:space="0"/>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pacing w:val="0"/>
                      <w:sz w:val="21"/>
                      <w:vertAlign w:val="baseline"/>
                      <w:lang w:val="en-US" w:eastAsia="zh-CN"/>
                    </w:rPr>
                  </w:pPr>
                  <w:r>
                    <w:rPr>
                      <w:rFonts w:hint="eastAsia" w:ascii="Times New Roman" w:hAnsi="Times New Roman" w:eastAsia="宋体"/>
                      <w:spacing w:val="0"/>
                      <w:sz w:val="21"/>
                      <w:vertAlign w:val="baseline"/>
                      <w:lang w:val="en-US" w:eastAsia="zh-CN"/>
                    </w:rPr>
                    <w:t>内容</w:t>
                  </w:r>
                </w:p>
              </w:tc>
              <w:tc>
                <w:tcPr>
                  <w:tcW w:w="5111" w:type="dxa"/>
                  <w:tcBorders>
                    <w:top w:val="single" w:color="auto" w:sz="12" w:space="0"/>
                    <w:left w:val="single" w:color="auto" w:sz="4" w:space="0"/>
                    <w:bottom w:val="single" w:color="auto" w:sz="12" w:space="0"/>
                  </w:tcBorders>
                  <w:vAlign w:val="center"/>
                </w:tcPr>
                <w:p>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pacing w:val="0"/>
                      <w:sz w:val="21"/>
                      <w:vertAlign w:val="baseline"/>
                      <w:lang w:val="en-US" w:eastAsia="zh-CN"/>
                    </w:rPr>
                  </w:pPr>
                  <w:r>
                    <w:rPr>
                      <w:rFonts w:hint="eastAsia" w:ascii="Times New Roman" w:hAnsi="Times New Roman" w:eastAsia="宋体"/>
                      <w:spacing w:val="0"/>
                      <w:sz w:val="21"/>
                      <w:vertAlign w:val="baseline"/>
                      <w:lang w:val="en-US"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1748" w:type="dxa"/>
                  <w:tcBorders>
                    <w:top w:val="single" w:color="auto" w:sz="12" w:space="0"/>
                    <w:bottom w:val="single" w:color="auto" w:sz="4" w:space="0"/>
                    <w:right w:val="single" w:color="auto" w:sz="4" w:space="0"/>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pacing w:val="0"/>
                      <w:sz w:val="21"/>
                      <w:vertAlign w:val="baseline"/>
                      <w:lang w:val="en-US" w:eastAsia="zh-CN"/>
                    </w:rPr>
                  </w:pPr>
                  <w:r>
                    <w:rPr>
                      <w:rFonts w:ascii="Times New Roman" w:hAnsi="Times New Roman" w:eastAsia="宋体" w:cs="宋体"/>
                      <w:sz w:val="21"/>
                      <w:szCs w:val="24"/>
                    </w:rPr>
                    <w:t>生态保护红线</w:t>
                  </w:r>
                </w:p>
              </w:tc>
              <w:tc>
                <w:tcPr>
                  <w:tcW w:w="5111" w:type="dxa"/>
                  <w:tcBorders>
                    <w:top w:val="single" w:color="auto" w:sz="12" w:space="0"/>
                    <w:left w:val="single" w:color="auto" w:sz="4" w:space="0"/>
                    <w:bottom w:val="single" w:color="auto" w:sz="4" w:space="0"/>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pacing w:val="0"/>
                      <w:sz w:val="21"/>
                      <w:vertAlign w:val="baseline"/>
                      <w:lang w:val="en-US" w:eastAsia="zh-CN"/>
                    </w:rPr>
                  </w:pPr>
                  <w:r>
                    <w:rPr>
                      <w:rFonts w:ascii="Times New Roman" w:hAnsi="Times New Roman" w:eastAsia="宋体" w:cs="宋体"/>
                      <w:sz w:val="21"/>
                      <w:szCs w:val="24"/>
                    </w:rPr>
                    <w:t>本项目不涉及自然保护区、饮用水源保护区等环境保护目标，项目位于七台河市新兴区，</w:t>
                  </w:r>
                  <w:r>
                    <w:rPr>
                      <w:rFonts w:hint="eastAsia" w:ascii="Times New Roman" w:hAnsi="Times New Roman" w:eastAsia="宋体" w:cs="宋体"/>
                      <w:sz w:val="21"/>
                      <w:szCs w:val="24"/>
                      <w:lang w:val="en-US" w:eastAsia="zh-CN"/>
                    </w:rPr>
                    <w:t>用地类型为建设用地</w:t>
                  </w:r>
                  <w:r>
                    <w:rPr>
                      <w:rFonts w:ascii="Times New Roman" w:hAnsi="Times New Roman" w:eastAsia="宋体" w:cs="宋体"/>
                      <w:sz w:val="21"/>
                      <w:szCs w:val="24"/>
                    </w:rPr>
                    <w:t>，符合生态保护红线要求。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748" w:type="dxa"/>
                  <w:tcBorders>
                    <w:top w:val="single" w:color="auto" w:sz="4" w:space="0"/>
                    <w:bottom w:val="single" w:color="auto" w:sz="4" w:space="0"/>
                    <w:right w:val="single" w:color="auto" w:sz="4" w:space="0"/>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pacing w:val="0"/>
                      <w:sz w:val="21"/>
                      <w:vertAlign w:val="baseline"/>
                      <w:lang w:val="en-US" w:eastAsia="zh-CN"/>
                    </w:rPr>
                  </w:pPr>
                  <w:r>
                    <w:rPr>
                      <w:rFonts w:ascii="Times New Roman" w:hAnsi="Times New Roman" w:eastAsia="宋体" w:cs="宋体"/>
                      <w:sz w:val="21"/>
                      <w:szCs w:val="24"/>
                    </w:rPr>
                    <w:t>资源利用上线</w:t>
                  </w:r>
                </w:p>
              </w:tc>
              <w:tc>
                <w:tcPr>
                  <w:tcW w:w="5111" w:type="dxa"/>
                  <w:tcBorders>
                    <w:top w:val="single" w:color="auto" w:sz="4" w:space="0"/>
                    <w:left w:val="single" w:color="auto" w:sz="4" w:space="0"/>
                    <w:bottom w:val="single" w:color="auto" w:sz="4" w:space="0"/>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pacing w:val="0"/>
                      <w:sz w:val="21"/>
                      <w:vertAlign w:val="baseline"/>
                      <w:lang w:val="en-US" w:eastAsia="zh-CN"/>
                    </w:rPr>
                  </w:pPr>
                  <w:r>
                    <w:rPr>
                      <w:rFonts w:ascii="Times New Roman" w:hAnsi="Times New Roman" w:eastAsia="宋体" w:cs="宋体"/>
                      <w:color w:val="auto"/>
                      <w:sz w:val="21"/>
                      <w:szCs w:val="24"/>
                    </w:rPr>
                    <w:t>项目在运营过程中消耗一定量的电源、水资源，</w:t>
                  </w:r>
                  <w:r>
                    <w:rPr>
                      <w:rFonts w:hint="eastAsia" w:eastAsia="宋体" w:cs="宋体"/>
                      <w:color w:val="auto"/>
                      <w:sz w:val="21"/>
                      <w:szCs w:val="24"/>
                      <w:lang w:val="en-US" w:eastAsia="zh-CN"/>
                    </w:rPr>
                    <w:t>电源主要依靠</w:t>
                  </w:r>
                  <w:r>
                    <w:rPr>
                      <w:rFonts w:hint="eastAsia" w:eastAsia="宋体" w:cs="宋体"/>
                      <w:b w:val="0"/>
                      <w:bCs w:val="0"/>
                      <w:color w:val="auto"/>
                      <w:spacing w:val="-6"/>
                      <w:kern w:val="0"/>
                      <w:sz w:val="21"/>
                      <w:szCs w:val="21"/>
                      <w:vertAlign w:val="baseline"/>
                      <w:lang w:val="en-US" w:eastAsia="zh-CN"/>
                    </w:rPr>
                    <w:t>暂存场附近</w:t>
                  </w:r>
                  <w:r>
                    <w:rPr>
                      <w:rFonts w:hint="default" w:ascii="Times New Roman" w:hAnsi="Times New Roman" w:eastAsia="宋体" w:cs="Times New Roman"/>
                      <w:bCs/>
                      <w:color w:val="auto"/>
                      <w:spacing w:val="-6"/>
                      <w:sz w:val="21"/>
                      <w:szCs w:val="21"/>
                      <w:highlight w:val="none"/>
                      <w:vertAlign w:val="baseline"/>
                      <w:lang w:val="en-US" w:eastAsia="zh-CN"/>
                    </w:rPr>
                    <w:t>设有</w:t>
                  </w:r>
                  <w:r>
                    <w:rPr>
                      <w:rFonts w:hint="eastAsia" w:eastAsia="宋体" w:cs="Times New Roman"/>
                      <w:bCs/>
                      <w:color w:val="auto"/>
                      <w:spacing w:val="-6"/>
                      <w:sz w:val="21"/>
                      <w:szCs w:val="21"/>
                      <w:highlight w:val="none"/>
                      <w:vertAlign w:val="baseline"/>
                      <w:lang w:val="en-US" w:eastAsia="zh-CN"/>
                    </w:rPr>
                    <w:t>的</w:t>
                  </w:r>
                  <w:r>
                    <w:rPr>
                      <w:rFonts w:hint="default" w:ascii="Times New Roman" w:hAnsi="Times New Roman" w:eastAsia="宋体" w:cs="Times New Roman"/>
                      <w:bCs/>
                      <w:color w:val="auto"/>
                      <w:spacing w:val="-6"/>
                      <w:sz w:val="21"/>
                      <w:szCs w:val="21"/>
                      <w:highlight w:val="none"/>
                      <w:vertAlign w:val="baseline"/>
                      <w:lang w:val="en-US" w:eastAsia="zh-CN"/>
                    </w:rPr>
                    <w:t>10kV</w:t>
                  </w:r>
                  <w:r>
                    <w:rPr>
                      <w:rFonts w:hint="eastAsia" w:eastAsia="宋体" w:cs="Times New Roman"/>
                      <w:bCs/>
                      <w:color w:val="auto"/>
                      <w:spacing w:val="-6"/>
                      <w:sz w:val="21"/>
                      <w:szCs w:val="21"/>
                      <w:highlight w:val="none"/>
                      <w:vertAlign w:val="baseline"/>
                      <w:lang w:val="en-US" w:eastAsia="zh-CN"/>
                    </w:rPr>
                    <w:t>终端杆通过变压器降压后供给；水资源</w:t>
                  </w:r>
                  <w:r>
                    <w:rPr>
                      <w:rFonts w:hint="eastAsia" w:eastAsia="宋体" w:cs="宋体"/>
                      <w:b w:val="0"/>
                      <w:bCs w:val="0"/>
                      <w:color w:val="auto"/>
                      <w:kern w:val="0"/>
                      <w:sz w:val="21"/>
                      <w:szCs w:val="21"/>
                      <w:vertAlign w:val="baseline"/>
                      <w:lang w:val="en-US" w:eastAsia="zh-CN"/>
                    </w:rPr>
                    <w:t>接取园区管道，日常用水量约为8.2t/d。项目占地为废弃学校校址。综上所述，</w:t>
                  </w:r>
                  <w:r>
                    <w:rPr>
                      <w:rFonts w:ascii="Times New Roman" w:hAnsi="Times New Roman" w:eastAsia="宋体" w:cs="宋体"/>
                      <w:color w:val="auto"/>
                      <w:sz w:val="21"/>
                      <w:szCs w:val="24"/>
                    </w:rPr>
                    <w:t>资源消耗量相对于区域资源利用总量较小，符合资源利用上线要求。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8" w:hRule="atLeast"/>
              </w:trPr>
              <w:tc>
                <w:tcPr>
                  <w:tcW w:w="1748" w:type="dxa"/>
                  <w:tcBorders>
                    <w:top w:val="single" w:color="auto" w:sz="4" w:space="0"/>
                    <w:bottom w:val="single" w:color="auto" w:sz="4" w:space="0"/>
                    <w:right w:val="single" w:color="auto" w:sz="4" w:space="0"/>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pacing w:val="0"/>
                      <w:sz w:val="21"/>
                      <w:vertAlign w:val="baseline"/>
                      <w:lang w:val="en-US" w:eastAsia="zh-CN"/>
                    </w:rPr>
                  </w:pPr>
                  <w:r>
                    <w:rPr>
                      <w:rFonts w:ascii="Times New Roman" w:hAnsi="Times New Roman" w:eastAsia="宋体" w:cs="宋体"/>
                      <w:sz w:val="21"/>
                      <w:szCs w:val="24"/>
                    </w:rPr>
                    <w:t>环境质量底线</w:t>
                  </w:r>
                </w:p>
              </w:tc>
              <w:tc>
                <w:tcPr>
                  <w:tcW w:w="5111" w:type="dxa"/>
                  <w:tcBorders>
                    <w:top w:val="single" w:color="auto" w:sz="4" w:space="0"/>
                    <w:left w:val="single" w:color="auto" w:sz="4" w:space="0"/>
                    <w:bottom w:val="single" w:color="auto" w:sz="4" w:space="0"/>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pacing w:val="0"/>
                      <w:sz w:val="21"/>
                      <w:vertAlign w:val="baseline"/>
                      <w:lang w:val="en-US" w:eastAsia="zh-CN"/>
                    </w:rPr>
                  </w:pPr>
                  <w:r>
                    <w:rPr>
                      <w:rFonts w:ascii="Times New Roman" w:hAnsi="Times New Roman" w:eastAsia="宋体" w:cs="宋体"/>
                      <w:sz w:val="21"/>
                      <w:szCs w:val="24"/>
                    </w:rPr>
                    <w:t>根据《2021年黑龙江省生态环境质量现状》中七台河市环境质量状况数据，2021年七台河市空气质量级别达二级标准。项目所在区域为环境空气质量达标区。本项目所在区域地表水体为倭肯河，根据《全国重要江河湖泊水功能区划（2011-2030）》，该段无水质目标，类型划分为排污水体，按Ⅳ类水体管理，应满足《地表水环境质量标准》（GB3838-2002）Ⅳ类水体功能标准，根据《2021年黑龙江生态环境质量状况报告》2021年倭肯河该段水体指标可满足Ⅳ类水体功能标准。本项目生产过程中无废水排放，工程运行后排放的各类污染物经本评价提出环保措施处理后可以稳定达标排放，本项目建设后不会改变周围环境的功能属性，符合环境质量底线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9" w:hRule="atLeast"/>
              </w:trPr>
              <w:tc>
                <w:tcPr>
                  <w:tcW w:w="1748" w:type="dxa"/>
                  <w:tcBorders>
                    <w:top w:val="single" w:color="auto" w:sz="4" w:space="0"/>
                    <w:bottom w:val="single" w:color="auto" w:sz="12" w:space="0"/>
                    <w:right w:val="single" w:color="auto" w:sz="4" w:space="0"/>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pacing w:val="0"/>
                      <w:sz w:val="21"/>
                      <w:vertAlign w:val="baseline"/>
                      <w:lang w:val="en-US" w:eastAsia="zh-CN"/>
                    </w:rPr>
                  </w:pPr>
                  <w:r>
                    <w:rPr>
                      <w:rFonts w:ascii="Times New Roman" w:hAnsi="Times New Roman" w:eastAsia="宋体" w:cs="宋体"/>
                      <w:sz w:val="21"/>
                      <w:szCs w:val="24"/>
                    </w:rPr>
                    <w:t>生态环境准入清单</w:t>
                  </w:r>
                </w:p>
              </w:tc>
              <w:tc>
                <w:tcPr>
                  <w:tcW w:w="5111" w:type="dxa"/>
                  <w:tcBorders>
                    <w:top w:val="single" w:color="auto" w:sz="4" w:space="0"/>
                    <w:left w:val="single" w:color="auto" w:sz="4" w:space="0"/>
                    <w:bottom w:val="single" w:color="auto" w:sz="12" w:space="0"/>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pacing w:val="0"/>
                      <w:sz w:val="21"/>
                      <w:vertAlign w:val="baseline"/>
                      <w:lang w:val="en-US" w:eastAsia="zh-CN"/>
                    </w:rPr>
                  </w:pPr>
                  <w:r>
                    <w:rPr>
                      <w:rFonts w:ascii="Times New Roman" w:hAnsi="Times New Roman" w:eastAsia="宋体" w:cs="宋体"/>
                      <w:sz w:val="21"/>
                      <w:szCs w:val="24"/>
                    </w:rPr>
                    <w:t>本项目属于《产业结构调整指导目录(2019年本》中</w:t>
                  </w:r>
                  <w:r>
                    <w:rPr>
                      <w:rFonts w:hint="eastAsia" w:ascii="Times New Roman" w:hAnsi="Times New Roman" w:eastAsia="宋体" w:cs="宋体"/>
                      <w:sz w:val="21"/>
                      <w:szCs w:val="24"/>
                      <w:lang w:eastAsia="zh-CN"/>
                    </w:rPr>
                    <w:t>“</w:t>
                  </w:r>
                  <w:r>
                    <w:rPr>
                      <w:rFonts w:ascii="Times New Roman" w:hAnsi="Times New Roman" w:eastAsia="宋体" w:cs="宋体"/>
                      <w:sz w:val="21"/>
                      <w:szCs w:val="24"/>
                    </w:rPr>
                    <w:t>鼓励类</w:t>
                  </w:r>
                  <w:r>
                    <w:rPr>
                      <w:rFonts w:hint="eastAsia" w:ascii="Times New Roman" w:hAnsi="Times New Roman" w:eastAsia="宋体" w:cs="宋体"/>
                      <w:sz w:val="21"/>
                      <w:szCs w:val="24"/>
                      <w:lang w:eastAsia="zh-CN"/>
                    </w:rPr>
                    <w:t>，</w:t>
                  </w:r>
                  <w:r>
                    <w:rPr>
                      <w:rFonts w:hint="eastAsia" w:ascii="Times New Roman" w:hAnsi="Times New Roman" w:eastAsia="宋体" w:cs="宋体"/>
                      <w:sz w:val="21"/>
                      <w:szCs w:val="24"/>
                      <w:lang w:val="en-US" w:eastAsia="zh-CN"/>
                    </w:rPr>
                    <w:t>四十三</w:t>
                  </w:r>
                  <w:r>
                    <w:rPr>
                      <w:rFonts w:ascii="Times New Roman" w:hAnsi="Times New Roman" w:eastAsia="宋体" w:cs="宋体"/>
                      <w:sz w:val="21"/>
                      <w:szCs w:val="24"/>
                    </w:rPr>
                    <w:t>，</w:t>
                  </w:r>
                  <w:r>
                    <w:rPr>
                      <w:rFonts w:hint="eastAsia" w:ascii="Times New Roman" w:hAnsi="Times New Roman" w:eastAsia="宋体" w:cs="宋体"/>
                      <w:sz w:val="21"/>
                      <w:szCs w:val="24"/>
                      <w:lang w:val="en-US" w:eastAsia="zh-CN"/>
                    </w:rPr>
                    <w:t>20、城镇垃圾、农村生活垃圾、农村生活污水、污泥及其他固体废弃物减量化、资源化、无害化处理和综合利用工程”，</w:t>
                  </w:r>
                  <w:r>
                    <w:rPr>
                      <w:rFonts w:ascii="Times New Roman" w:hAnsi="Times New Roman" w:eastAsia="宋体" w:cs="宋体"/>
                      <w:sz w:val="21"/>
                      <w:szCs w:val="24"/>
                    </w:rPr>
                    <w:t>符合国家产业政策，不在负面清单范围内。本项目不属于《黑龙江省重点生态功能区产业准入负面清单（试行版）》和《七台河市生态环境准入清单（2023年发布版）》名单内的产业。因此本项目建设符合环境准入要求。</w:t>
                  </w:r>
                </w:p>
              </w:tc>
            </w:tr>
          </w:tbl>
          <w:p>
            <w:pPr>
              <w:pStyle w:val="15"/>
              <w:rPr>
                <w:rFonts w:hint="default"/>
                <w:lang w:val="en-US" w:eastAsia="zh-CN"/>
              </w:rPr>
            </w:pPr>
          </w:p>
          <w:p>
            <w:pPr>
              <w:jc w:val="center"/>
              <w:rPr>
                <w:rFonts w:hint="eastAsia"/>
                <w:b/>
                <w:bCs/>
                <w:lang w:val="en-US" w:eastAsia="zh-CN"/>
              </w:rPr>
            </w:pPr>
            <w:r>
              <w:rPr>
                <w:rFonts w:hint="eastAsia"/>
                <w:b/>
                <w:bCs/>
                <w:lang w:val="en-US" w:eastAsia="zh-CN"/>
              </w:rPr>
              <w:t>表1-2 本项目与七台河市新兴区城镇空间重点管控单元生态环境准入符合性分析</w:t>
            </w:r>
          </w:p>
          <w:tbl>
            <w:tblPr>
              <w:tblStyle w:val="20"/>
              <w:tblW w:w="68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638"/>
              <w:gridCol w:w="653"/>
              <w:gridCol w:w="400"/>
              <w:gridCol w:w="2230"/>
              <w:gridCol w:w="1605"/>
              <w:gridCol w:w="6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660" w:type="dxa"/>
                  <w:tcBorders>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宋体"/>
                      <w:b w:val="0"/>
                      <w:bCs w:val="0"/>
                      <w:kern w:val="0"/>
                      <w:sz w:val="21"/>
                      <w:szCs w:val="21"/>
                      <w:vertAlign w:val="baseline"/>
                      <w:lang w:val="en-US" w:eastAsia="zh-CN"/>
                    </w:rPr>
                    <w:t>环境管控单元编码</w:t>
                  </w:r>
                </w:p>
              </w:tc>
              <w:tc>
                <w:tcPr>
                  <w:tcW w:w="638" w:type="dxa"/>
                  <w:tcBorders>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宋体"/>
                      <w:b w:val="0"/>
                      <w:bCs w:val="0"/>
                      <w:kern w:val="0"/>
                      <w:sz w:val="21"/>
                      <w:szCs w:val="21"/>
                      <w:vertAlign w:val="baseline"/>
                      <w:lang w:val="en-US" w:eastAsia="zh-CN"/>
                    </w:rPr>
                    <w:t>环境管控单元名称</w:t>
                  </w:r>
                </w:p>
              </w:tc>
              <w:tc>
                <w:tcPr>
                  <w:tcW w:w="653" w:type="dxa"/>
                  <w:tcBorders>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宋体"/>
                      <w:b w:val="0"/>
                      <w:bCs w:val="0"/>
                      <w:kern w:val="0"/>
                      <w:sz w:val="21"/>
                      <w:szCs w:val="21"/>
                      <w:vertAlign w:val="baseline"/>
                      <w:lang w:val="en-US" w:eastAsia="zh-CN"/>
                    </w:rPr>
                    <w:t>管控单元类别</w:t>
                  </w:r>
                </w:p>
              </w:tc>
              <w:tc>
                <w:tcPr>
                  <w:tcW w:w="2630" w:type="dxa"/>
                  <w:gridSpan w:val="2"/>
                  <w:tcBorders>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宋体"/>
                      <w:b w:val="0"/>
                      <w:bCs w:val="0"/>
                      <w:kern w:val="0"/>
                      <w:sz w:val="21"/>
                      <w:szCs w:val="21"/>
                      <w:vertAlign w:val="baseline"/>
                      <w:lang w:val="en-US" w:eastAsia="zh-CN"/>
                    </w:rPr>
                    <w:t>管控要求</w:t>
                  </w:r>
                </w:p>
              </w:tc>
              <w:tc>
                <w:tcPr>
                  <w:tcW w:w="1605" w:type="dxa"/>
                  <w:tcBorders>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宋体"/>
                      <w:b w:val="0"/>
                      <w:bCs w:val="0"/>
                      <w:kern w:val="0"/>
                      <w:sz w:val="21"/>
                      <w:szCs w:val="21"/>
                      <w:vertAlign w:val="baseline"/>
                      <w:lang w:val="en-US" w:eastAsia="zh-CN"/>
                    </w:rPr>
                    <w:t>本项目</w:t>
                  </w:r>
                </w:p>
              </w:tc>
              <w:tc>
                <w:tcPr>
                  <w:tcW w:w="671" w:type="dxa"/>
                  <w:tcBorders>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Times New Roman" w:hAnsi="Times New Roman" w:eastAsia="宋体" w:cs="宋体"/>
                      <w:b w:val="0"/>
                      <w:bCs w:val="0"/>
                      <w:kern w:val="0"/>
                      <w:sz w:val="21"/>
                      <w:szCs w:val="21"/>
                      <w:vertAlign w:val="baseline"/>
                      <w:lang w:val="en-US" w:eastAsia="zh-CN" w:bidi="ar-SA"/>
                    </w:rPr>
                  </w:pPr>
                  <w:r>
                    <w:rPr>
                      <w:rFonts w:hint="eastAsia" w:ascii="Times New Roman" w:hAnsi="Times New Roman" w:eastAsia="宋体" w:cs="宋体"/>
                      <w:b w:val="0"/>
                      <w:bCs w:val="0"/>
                      <w:kern w:val="0"/>
                      <w:sz w:val="21"/>
                      <w:szCs w:val="21"/>
                      <w:vertAlign w:val="baseline"/>
                      <w:lang w:val="en-US"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660" w:type="dxa"/>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default" w:ascii="Times New Roman" w:hAnsi="Times New Roman" w:eastAsia="宋体" w:cs="Times New Roman"/>
                      <w:color w:val="auto"/>
                      <w:sz w:val="21"/>
                      <w:szCs w:val="21"/>
                    </w:rPr>
                    <w:t>ZH23</w:t>
                  </w:r>
                  <w:r>
                    <w:rPr>
                      <w:rFonts w:hint="eastAsia" w:ascii="Times New Roman" w:hAnsi="Times New Roman" w:eastAsia="宋体" w:cs="Times New Roman"/>
                      <w:color w:val="auto"/>
                      <w:sz w:val="21"/>
                      <w:szCs w:val="21"/>
                      <w:lang w:val="en-US" w:eastAsia="zh-CN"/>
                    </w:rPr>
                    <w:t>90220006</w:t>
                  </w:r>
                </w:p>
              </w:tc>
              <w:tc>
                <w:tcPr>
                  <w:tcW w:w="638" w:type="dxa"/>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仿宋_GB2312"/>
                      <w:color w:val="auto"/>
                      <w:kern w:val="0"/>
                      <w:sz w:val="21"/>
                      <w:szCs w:val="21"/>
                      <w:lang w:val="en-US" w:eastAsia="zh-CN"/>
                    </w:rPr>
                    <w:t>新兴区城镇空间</w:t>
                  </w:r>
                </w:p>
              </w:tc>
              <w:tc>
                <w:tcPr>
                  <w:tcW w:w="653" w:type="dxa"/>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仿宋_GB2312"/>
                      <w:color w:val="auto"/>
                      <w:sz w:val="21"/>
                      <w:szCs w:val="21"/>
                    </w:rPr>
                    <w:t>重点管控单元</w:t>
                  </w:r>
                </w:p>
              </w:tc>
              <w:tc>
                <w:tcPr>
                  <w:tcW w:w="400"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仿宋_GB2312"/>
                      <w:color w:val="auto"/>
                      <w:sz w:val="21"/>
                      <w:szCs w:val="21"/>
                    </w:rPr>
                    <w:t>空间布局约束</w:t>
                  </w:r>
                </w:p>
              </w:tc>
              <w:tc>
                <w:tcPr>
                  <w:tcW w:w="2230"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spacing w:beforeAutospacing="0" w:after="0" w:afterAutospacing="0"/>
                    <w:ind w:left="0" w:right="0"/>
                    <w:jc w:val="both"/>
                    <w:textAlignment w:val="auto"/>
                    <w:rPr>
                      <w:rFonts w:hint="eastAsia" w:ascii="Times New Roman" w:hAnsi="Times New Roman" w:eastAsia="宋体" w:cs="仿宋_GB2312"/>
                      <w:color w:val="auto"/>
                      <w:spacing w:val="-3"/>
                      <w:kern w:val="0"/>
                      <w:sz w:val="21"/>
                      <w:szCs w:val="21"/>
                      <w:lang w:val="zh-CN" w:bidi="zh-CN"/>
                    </w:rPr>
                  </w:pPr>
                  <w:r>
                    <w:rPr>
                      <w:rFonts w:hint="eastAsia" w:ascii="Times New Roman" w:hAnsi="Times New Roman" w:eastAsia="宋体" w:cs="仿宋_GB2312"/>
                      <w:color w:val="auto"/>
                      <w:spacing w:val="-3"/>
                      <w:kern w:val="0"/>
                      <w:sz w:val="21"/>
                      <w:szCs w:val="21"/>
                      <w:lang w:val="en-US" w:bidi="zh-CN"/>
                    </w:rPr>
                    <w:t>1、</w:t>
                  </w:r>
                  <w:r>
                    <w:rPr>
                      <w:rFonts w:hint="eastAsia" w:ascii="Times New Roman" w:hAnsi="Times New Roman" w:eastAsia="宋体" w:cs="仿宋_GB2312"/>
                      <w:color w:val="auto"/>
                      <w:spacing w:val="-3"/>
                      <w:kern w:val="0"/>
                      <w:sz w:val="21"/>
                      <w:szCs w:val="21"/>
                      <w:lang w:val="zh-CN" w:bidi="zh-CN"/>
                    </w:rPr>
                    <w:t>严禁在人口密集区新建危险化学品生产项目，城镇人口密集区危险化学品生产企业应搬迁改造。</w:t>
                  </w:r>
                </w:p>
                <w:p>
                  <w:pPr>
                    <w:keepNext w:val="0"/>
                    <w:keepLines w:val="0"/>
                    <w:pageBreakBefore w:val="0"/>
                    <w:widowControl w:val="0"/>
                    <w:kinsoku/>
                    <w:wordWrap/>
                    <w:overflowPunct/>
                    <w:topLinePunct w:val="0"/>
                    <w:autoSpaceDE/>
                    <w:autoSpaceDN/>
                    <w:bidi w:val="0"/>
                    <w:spacing w:beforeAutospacing="0" w:after="0" w:afterAutospacing="0"/>
                    <w:ind w:left="0" w:right="0"/>
                    <w:jc w:val="both"/>
                    <w:textAlignment w:val="auto"/>
                    <w:rPr>
                      <w:rFonts w:hint="eastAsia" w:ascii="Times New Roman" w:hAnsi="Times New Roman" w:eastAsia="宋体" w:cs="仿宋_GB2312"/>
                      <w:color w:val="auto"/>
                      <w:spacing w:val="-3"/>
                      <w:kern w:val="0"/>
                      <w:sz w:val="21"/>
                      <w:szCs w:val="21"/>
                      <w:lang w:val="zh-CN" w:bidi="zh-CN"/>
                    </w:rPr>
                  </w:pPr>
                  <w:r>
                    <w:rPr>
                      <w:rFonts w:hint="eastAsia" w:ascii="Times New Roman" w:hAnsi="Times New Roman" w:eastAsia="宋体" w:cs="仿宋_GB2312"/>
                      <w:color w:val="auto"/>
                      <w:spacing w:val="-3"/>
                      <w:kern w:val="0"/>
                      <w:sz w:val="21"/>
                      <w:szCs w:val="21"/>
                      <w:lang w:val="en-US" w:bidi="zh-CN"/>
                    </w:rPr>
                    <w:t>2、</w:t>
                  </w:r>
                  <w:r>
                    <w:rPr>
                      <w:rFonts w:hint="eastAsia" w:ascii="Times New Roman" w:hAnsi="Times New Roman" w:eastAsia="宋体" w:cs="仿宋_GB2312"/>
                      <w:color w:val="auto"/>
                      <w:spacing w:val="-3"/>
                      <w:kern w:val="0"/>
                      <w:sz w:val="21"/>
                      <w:szCs w:val="21"/>
                      <w:lang w:val="zh-CN" w:bidi="zh-CN"/>
                    </w:rPr>
                    <w:t>禁止在城镇居民区、文化教育科学研究区等人口集中区域建设畜禽养殖场、养殖小区。</w:t>
                  </w:r>
                </w:p>
                <w:p>
                  <w:pPr>
                    <w:keepNext w:val="0"/>
                    <w:keepLines w:val="0"/>
                    <w:pageBreakBefore w:val="0"/>
                    <w:widowControl w:val="0"/>
                    <w:kinsoku/>
                    <w:wordWrap/>
                    <w:overflowPunct/>
                    <w:topLinePunct w:val="0"/>
                    <w:bidi w:val="0"/>
                    <w:spacing w:beforeAutospacing="0" w:after="0" w:afterAutospacing="0"/>
                    <w:ind w:left="0" w:right="0"/>
                    <w:jc w:val="both"/>
                    <w:textAlignment w:val="auto"/>
                    <w:rPr>
                      <w:rFonts w:hint="eastAsia" w:ascii="Times New Roman" w:hAnsi="Times New Roman" w:eastAsia="宋体" w:cs="仿宋_GB2312"/>
                      <w:color w:val="auto"/>
                      <w:sz w:val="21"/>
                      <w:szCs w:val="21"/>
                      <w:lang w:bidi="zh-CN"/>
                    </w:rPr>
                  </w:pPr>
                  <w:r>
                    <w:rPr>
                      <w:rFonts w:hint="eastAsia" w:ascii="Times New Roman" w:hAnsi="Times New Roman" w:eastAsia="宋体" w:cs="仿宋_GB2312"/>
                      <w:color w:val="auto"/>
                      <w:spacing w:val="-3"/>
                      <w:kern w:val="0"/>
                      <w:sz w:val="21"/>
                      <w:szCs w:val="21"/>
                      <w:lang w:val="en-US" w:bidi="zh-CN"/>
                    </w:rPr>
                    <w:t>3.</w:t>
                  </w:r>
                  <w:r>
                    <w:rPr>
                      <w:rFonts w:hint="eastAsia" w:ascii="Times New Roman" w:hAnsi="Times New Roman" w:eastAsia="宋体" w:cs="仿宋_GB2312"/>
                      <w:color w:val="auto"/>
                      <w:sz w:val="21"/>
                      <w:szCs w:val="21"/>
                      <w:lang w:bidi="zh-CN"/>
                    </w:rPr>
                    <w:t>科学划定畜禽养殖区。</w:t>
                  </w:r>
                </w:p>
                <w:p>
                  <w:pPr>
                    <w:keepNext w:val="0"/>
                    <w:keepLines w:val="0"/>
                    <w:pageBreakBefore w:val="0"/>
                    <w:widowControl w:val="0"/>
                    <w:tabs>
                      <w:tab w:val="left" w:pos="265"/>
                    </w:tabs>
                    <w:kinsoku/>
                    <w:wordWrap/>
                    <w:overflowPunct/>
                    <w:topLinePunct w:val="0"/>
                    <w:autoSpaceDE w:val="0"/>
                    <w:autoSpaceDN w:val="0"/>
                    <w:bidi w:val="0"/>
                    <w:spacing w:beforeAutospacing="0" w:after="0" w:afterAutospacing="0"/>
                    <w:ind w:left="0" w:right="0"/>
                    <w:jc w:val="both"/>
                    <w:textAlignment w:val="auto"/>
                    <w:rPr>
                      <w:rFonts w:hint="eastAsia" w:ascii="Times New Roman" w:hAnsi="Times New Roman" w:eastAsia="宋体" w:cs="仿宋_GB2312"/>
                      <w:color w:val="auto"/>
                      <w:sz w:val="21"/>
                      <w:szCs w:val="21"/>
                      <w:lang w:bidi="zh-CN"/>
                    </w:rPr>
                  </w:pPr>
                  <w:r>
                    <w:rPr>
                      <w:rFonts w:hint="eastAsia" w:ascii="Times New Roman" w:hAnsi="Times New Roman" w:eastAsia="宋体" w:cs="仿宋_GB2312"/>
                      <w:color w:val="auto"/>
                      <w:sz w:val="21"/>
                      <w:szCs w:val="21"/>
                      <w:lang w:val="en-US" w:bidi="zh-CN"/>
                    </w:rPr>
                    <w:t>4.</w:t>
                  </w:r>
                  <w:r>
                    <w:rPr>
                      <w:rFonts w:hint="eastAsia" w:ascii="Times New Roman" w:hAnsi="Times New Roman" w:eastAsia="宋体" w:cs="仿宋_GB2312"/>
                      <w:color w:val="auto"/>
                      <w:sz w:val="21"/>
                      <w:szCs w:val="21"/>
                      <w:lang w:bidi="zh-CN"/>
                    </w:rPr>
                    <w:t>加快农业结构调整。三江平原地下水易受污染地区优先种植需肥需药量低、环境效益突出的农作物。</w:t>
                  </w:r>
                </w:p>
                <w:p>
                  <w:pPr>
                    <w:keepNext w:val="0"/>
                    <w:keepLines w:val="0"/>
                    <w:pageBreakBefore w:val="0"/>
                    <w:widowControl w:val="0"/>
                    <w:tabs>
                      <w:tab w:val="left" w:pos="265"/>
                    </w:tabs>
                    <w:kinsoku/>
                    <w:wordWrap/>
                    <w:overflowPunct/>
                    <w:topLinePunct w:val="0"/>
                    <w:autoSpaceDE w:val="0"/>
                    <w:autoSpaceDN w:val="0"/>
                    <w:bidi w:val="0"/>
                    <w:spacing w:beforeAutospacing="0" w:after="0" w:afterAutospacing="0"/>
                    <w:ind w:left="0" w:right="0"/>
                    <w:jc w:val="both"/>
                    <w:textAlignment w:val="auto"/>
                    <w:rPr>
                      <w:rFonts w:hint="eastAsia" w:ascii="Times New Roman" w:hAnsi="Times New Roman" w:eastAsia="宋体" w:cs="仿宋_GB2312"/>
                      <w:color w:val="auto"/>
                      <w:spacing w:val="-3"/>
                      <w:sz w:val="21"/>
                      <w:szCs w:val="21"/>
                    </w:rPr>
                  </w:pPr>
                  <w:r>
                    <w:rPr>
                      <w:rFonts w:hint="eastAsia" w:ascii="Times New Roman" w:hAnsi="Times New Roman" w:eastAsia="宋体" w:cs="仿宋_GB2312"/>
                      <w:color w:val="auto"/>
                      <w:spacing w:val="-3"/>
                      <w:kern w:val="0"/>
                      <w:sz w:val="21"/>
                      <w:szCs w:val="21"/>
                      <w:lang w:val="en-US" w:bidi="zh-CN"/>
                    </w:rPr>
                    <w:t>5.</w:t>
                  </w:r>
                  <w:r>
                    <w:rPr>
                      <w:rFonts w:hint="eastAsia" w:ascii="Times New Roman" w:hAnsi="Times New Roman" w:eastAsia="宋体" w:cs="仿宋_GB2312"/>
                      <w:color w:val="auto"/>
                      <w:sz w:val="21"/>
                      <w:szCs w:val="21"/>
                    </w:rPr>
                    <w:t>高污染燃料禁燃区</w:t>
                  </w:r>
                  <w:r>
                    <w:rPr>
                      <w:rFonts w:hint="eastAsia" w:ascii="Times New Roman" w:hAnsi="Times New Roman" w:eastAsia="宋体" w:cs="仿宋_GB2312"/>
                      <w:color w:val="auto"/>
                      <w:spacing w:val="-3"/>
                      <w:sz w:val="21"/>
                      <w:szCs w:val="21"/>
                    </w:rPr>
                    <w:t>准入要求:</w:t>
                  </w:r>
                </w:p>
                <w:p>
                  <w:pPr>
                    <w:keepNext w:val="0"/>
                    <w:keepLines w:val="0"/>
                    <w:pageBreakBefore w:val="0"/>
                    <w:widowControl w:val="0"/>
                    <w:numPr>
                      <w:ilvl w:val="0"/>
                      <w:numId w:val="1"/>
                    </w:numPr>
                    <w:tabs>
                      <w:tab w:val="left" w:pos="265"/>
                    </w:tabs>
                    <w:kinsoku/>
                    <w:wordWrap/>
                    <w:overflowPunct/>
                    <w:topLinePunct w:val="0"/>
                    <w:autoSpaceDE w:val="0"/>
                    <w:autoSpaceDN w:val="0"/>
                    <w:bidi w:val="0"/>
                    <w:spacing w:beforeAutospacing="0" w:after="0" w:afterAutospacing="0"/>
                    <w:ind w:left="0" w:right="0"/>
                    <w:jc w:val="both"/>
                    <w:textAlignment w:val="auto"/>
                    <w:rPr>
                      <w:rFonts w:hint="eastAsia" w:ascii="Times New Roman" w:hAnsi="Times New Roman" w:eastAsia="宋体" w:cs="仿宋_GB2312"/>
                      <w:color w:val="auto"/>
                      <w:spacing w:val="-3"/>
                      <w:sz w:val="21"/>
                      <w:szCs w:val="21"/>
                      <w:lang w:val="en-US" w:eastAsia="zh-CN"/>
                    </w:rPr>
                  </w:pPr>
                  <w:r>
                    <w:rPr>
                      <w:rFonts w:hint="eastAsia" w:ascii="Times New Roman" w:hAnsi="Times New Roman" w:eastAsia="宋体" w:cs="仿宋_GB2312"/>
                      <w:color w:val="auto"/>
                      <w:spacing w:val="-3"/>
                      <w:sz w:val="21"/>
                      <w:szCs w:val="21"/>
                      <w:lang w:val="en-US" w:eastAsia="zh-CN"/>
                    </w:rPr>
                    <w:t>禁燃区内禁止散烧原煤及煤焦油、重油、渣油等燃料。</w:t>
                  </w:r>
                </w:p>
                <w:p>
                  <w:pPr>
                    <w:keepNext w:val="0"/>
                    <w:keepLines w:val="0"/>
                    <w:pageBreakBefore w:val="0"/>
                    <w:widowControl w:val="0"/>
                    <w:numPr>
                      <w:ilvl w:val="0"/>
                      <w:numId w:val="1"/>
                    </w:numPr>
                    <w:tabs>
                      <w:tab w:val="left" w:pos="265"/>
                    </w:tabs>
                    <w:kinsoku/>
                    <w:wordWrap/>
                    <w:overflowPunct/>
                    <w:topLinePunct w:val="0"/>
                    <w:autoSpaceDE w:val="0"/>
                    <w:autoSpaceDN w:val="0"/>
                    <w:bidi w:val="0"/>
                    <w:spacing w:beforeAutospacing="0" w:after="0" w:afterAutospacing="0"/>
                    <w:ind w:left="0" w:right="0"/>
                    <w:jc w:val="both"/>
                    <w:textAlignment w:val="auto"/>
                    <w:rPr>
                      <w:rFonts w:hint="eastAsia" w:ascii="Times New Roman" w:hAnsi="Times New Roman" w:eastAsia="宋体" w:cs="仿宋_GB2312"/>
                      <w:color w:val="auto"/>
                      <w:spacing w:val="-3"/>
                      <w:kern w:val="0"/>
                      <w:sz w:val="21"/>
                      <w:szCs w:val="21"/>
                      <w:lang w:val="zh-CN" w:bidi="zh-CN"/>
                    </w:rPr>
                  </w:pPr>
                  <w:r>
                    <w:rPr>
                      <w:rFonts w:hint="eastAsia" w:ascii="Times New Roman" w:hAnsi="Times New Roman" w:eastAsia="宋体" w:cs="仿宋_GB2312"/>
                      <w:color w:val="auto"/>
                      <w:spacing w:val="-3"/>
                      <w:kern w:val="0"/>
                      <w:sz w:val="21"/>
                      <w:szCs w:val="21"/>
                      <w:lang w:val="zh-CN" w:bidi="zh-CN"/>
                    </w:rPr>
                    <w:t>禁止燃烧各种可燃废物。</w:t>
                  </w:r>
                </w:p>
                <w:p>
                  <w:pPr>
                    <w:keepNext w:val="0"/>
                    <w:keepLines w:val="0"/>
                    <w:pageBreakBefore w:val="0"/>
                    <w:widowControl w:val="0"/>
                    <w:numPr>
                      <w:ilvl w:val="0"/>
                      <w:numId w:val="1"/>
                    </w:numPr>
                    <w:tabs>
                      <w:tab w:val="left" w:pos="265"/>
                    </w:tabs>
                    <w:kinsoku/>
                    <w:wordWrap/>
                    <w:overflowPunct/>
                    <w:topLinePunct w:val="0"/>
                    <w:autoSpaceDE w:val="0"/>
                    <w:autoSpaceDN w:val="0"/>
                    <w:bidi w:val="0"/>
                    <w:spacing w:beforeAutospacing="0" w:after="0" w:afterAutospacing="0"/>
                    <w:ind w:left="0" w:right="0"/>
                    <w:jc w:val="both"/>
                    <w:textAlignment w:val="auto"/>
                    <w:rPr>
                      <w:rFonts w:hint="eastAsia" w:ascii="Times New Roman" w:hAnsi="Times New Roman" w:eastAsia="宋体" w:cs="仿宋_GB2312"/>
                      <w:color w:val="auto"/>
                      <w:spacing w:val="-3"/>
                      <w:kern w:val="0"/>
                      <w:sz w:val="21"/>
                      <w:szCs w:val="21"/>
                      <w:lang w:val="zh-CN" w:bidi="zh-CN"/>
                    </w:rPr>
                  </w:pPr>
                  <w:r>
                    <w:rPr>
                      <w:rFonts w:hint="eastAsia" w:ascii="Times New Roman" w:hAnsi="Times New Roman" w:eastAsia="宋体" w:cs="仿宋_GB2312"/>
                      <w:color w:val="auto"/>
                      <w:spacing w:val="-3"/>
                      <w:kern w:val="0"/>
                      <w:sz w:val="21"/>
                      <w:szCs w:val="21"/>
                      <w:lang w:val="zh-CN" w:bidi="zh-CN"/>
                    </w:rPr>
                    <w:t>禁止燃用污染物含量超过国家规定限制的柴油、煤油等高污染燃料。</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仿宋_GB2312"/>
                      <w:color w:val="auto"/>
                      <w:spacing w:val="-3"/>
                      <w:kern w:val="0"/>
                      <w:sz w:val="21"/>
                      <w:szCs w:val="21"/>
                      <w:lang w:val="zh-CN" w:bidi="zh-CN"/>
                    </w:rPr>
                    <w:t>（</w:t>
                  </w:r>
                  <w:r>
                    <w:rPr>
                      <w:rFonts w:hint="eastAsia" w:ascii="Times New Roman" w:hAnsi="Times New Roman" w:eastAsia="宋体" w:cs="仿宋_GB2312"/>
                      <w:color w:val="auto"/>
                      <w:spacing w:val="-3"/>
                      <w:kern w:val="0"/>
                      <w:sz w:val="21"/>
                      <w:szCs w:val="21"/>
                      <w:lang w:val="en-US" w:bidi="zh-CN"/>
                    </w:rPr>
                    <w:t>4）</w:t>
                  </w:r>
                  <w:r>
                    <w:rPr>
                      <w:rFonts w:hint="eastAsia" w:ascii="Times New Roman" w:hAnsi="Times New Roman" w:eastAsia="宋体" w:cs="仿宋_GB2312"/>
                      <w:color w:val="auto"/>
                      <w:spacing w:val="-3"/>
                      <w:kern w:val="0"/>
                      <w:sz w:val="21"/>
                      <w:szCs w:val="21"/>
                      <w:lang w:val="zh-CN" w:bidi="zh-CN"/>
                    </w:rPr>
                    <w:t>禁燃区内使用高污染燃料的燃煤锅炉及各类炉窑、炉灶等燃烧设施的单位，应当改用天然气、液化石油气、电或者其他清洁能源。</w:t>
                  </w:r>
                </w:p>
              </w:tc>
              <w:tc>
                <w:tcPr>
                  <w:tcW w:w="1605"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宋体"/>
                      <w:b w:val="0"/>
                      <w:bCs w:val="0"/>
                      <w:kern w:val="0"/>
                      <w:sz w:val="21"/>
                      <w:szCs w:val="21"/>
                      <w:vertAlign w:val="baseline"/>
                      <w:lang w:val="en-US" w:eastAsia="zh-CN"/>
                    </w:rPr>
                    <w:t>本项目为建筑垃圾临时暂存场项目，不涉及危险化学品；项目不涉及养殖；不涉及农作物；不涉及高污染燃料。符合空间布局约束。</w:t>
                  </w:r>
                </w:p>
              </w:tc>
              <w:tc>
                <w:tcPr>
                  <w:tcW w:w="671"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Times New Roman" w:hAnsi="Times New Roman" w:eastAsia="宋体" w:cs="宋体"/>
                      <w:b w:val="0"/>
                      <w:bCs w:val="0"/>
                      <w:kern w:val="0"/>
                      <w:sz w:val="21"/>
                      <w:szCs w:val="21"/>
                      <w:vertAlign w:val="baseline"/>
                      <w:lang w:val="en-US" w:eastAsia="zh-CN" w:bidi="ar-SA"/>
                    </w:rPr>
                  </w:pPr>
                  <w:r>
                    <w:rPr>
                      <w:rFonts w:hint="eastAsia" w:ascii="Times New Roman" w:hAnsi="Times New Roman" w:eastAsia="宋体" w:cs="宋体"/>
                      <w:b w:val="0"/>
                      <w:bCs w:val="0"/>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2" w:hRule="atLeast"/>
                <w:jc w:val="center"/>
              </w:trPr>
              <w:tc>
                <w:tcPr>
                  <w:tcW w:w="6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p>
              </w:tc>
              <w:tc>
                <w:tcPr>
                  <w:tcW w:w="63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p>
              </w:tc>
              <w:tc>
                <w:tcPr>
                  <w:tcW w:w="65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p>
              </w:tc>
              <w:tc>
                <w:tcPr>
                  <w:tcW w:w="4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仿宋_GB2312"/>
                      <w:color w:val="auto"/>
                      <w:sz w:val="21"/>
                      <w:szCs w:val="21"/>
                    </w:rPr>
                    <w:t>污染物排放管控</w:t>
                  </w:r>
                </w:p>
              </w:tc>
              <w:tc>
                <w:tcPr>
                  <w:tcW w:w="2230" w:type="dxa"/>
                  <w:tcBorders>
                    <w:tl2br w:val="nil"/>
                    <w:tr2bl w:val="nil"/>
                  </w:tcBorders>
                  <w:vAlign w:val="center"/>
                </w:tcPr>
                <w:p>
                  <w:pPr>
                    <w:keepNext w:val="0"/>
                    <w:keepLines w:val="0"/>
                    <w:pageBreakBefore w:val="0"/>
                    <w:widowControl w:val="0"/>
                    <w:kinsoku/>
                    <w:wordWrap/>
                    <w:overflowPunct/>
                    <w:topLinePunct w:val="0"/>
                    <w:bidi w:val="0"/>
                    <w:spacing w:beforeAutospacing="0" w:after="0" w:afterAutospacing="0"/>
                    <w:ind w:left="0" w:right="0"/>
                    <w:jc w:val="both"/>
                    <w:textAlignment w:val="auto"/>
                    <w:rPr>
                      <w:rFonts w:hint="default" w:ascii="Times New Roman" w:hAnsi="Times New Roman" w:eastAsia="宋体" w:cs="Times New Roman"/>
                      <w:color w:val="000000"/>
                      <w:spacing w:val="-3"/>
                      <w:kern w:val="0"/>
                      <w:sz w:val="21"/>
                      <w:szCs w:val="21"/>
                      <w:highlight w:val="none"/>
                      <w:lang w:val="zh-CN" w:bidi="zh-CN"/>
                    </w:rPr>
                  </w:pPr>
                  <w:r>
                    <w:rPr>
                      <w:rFonts w:hint="default" w:ascii="Times New Roman" w:hAnsi="Times New Roman" w:eastAsia="宋体" w:cs="Times New Roman"/>
                      <w:color w:val="000000"/>
                      <w:spacing w:val="-3"/>
                      <w:kern w:val="0"/>
                      <w:sz w:val="21"/>
                      <w:szCs w:val="21"/>
                      <w:highlight w:val="none"/>
                      <w:lang w:val="zh-CN" w:bidi="zh-CN"/>
                    </w:rPr>
                    <w:t>1.</w:t>
                  </w:r>
                  <w:r>
                    <w:rPr>
                      <w:rFonts w:hint="default" w:ascii="Times New Roman" w:hAnsi="Times New Roman" w:eastAsia="宋体" w:cs="Times New Roman"/>
                      <w:spacing w:val="-3"/>
                      <w:kern w:val="0"/>
                      <w:sz w:val="21"/>
                      <w:szCs w:val="21"/>
                      <w:highlight w:val="none"/>
                      <w:lang w:val="zh-CN" w:bidi="zh-CN"/>
                    </w:rPr>
                    <w:t>鼓励使用电、天然气等清洁能源。</w:t>
                  </w:r>
                  <w:r>
                    <w:rPr>
                      <w:rFonts w:hint="eastAsia" w:ascii="Times New Roman" w:hAnsi="Times New Roman" w:eastAsia="宋体" w:cs="Times New Roman"/>
                      <w:color w:val="000000"/>
                      <w:spacing w:val="-3"/>
                      <w:kern w:val="0"/>
                      <w:sz w:val="21"/>
                      <w:szCs w:val="21"/>
                      <w:highlight w:val="none"/>
                      <w:lang w:val="zh-CN" w:bidi="zh-CN"/>
                    </w:rPr>
                    <w:t>加快燃煤电厂超低排放改造，提高煤电高效清洁利用水平。</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Times New Roman"/>
                      <w:color w:val="000000"/>
                      <w:spacing w:val="-3"/>
                      <w:kern w:val="0"/>
                      <w:sz w:val="21"/>
                      <w:szCs w:val="21"/>
                      <w:highlight w:val="none"/>
                      <w:lang w:val="zh-CN" w:bidi="zh-CN"/>
                    </w:rPr>
                    <w:t>2.施工降水或基坑排水排入市政管网的，应纳入污水排入排水管网许可管理，明确排水接口位置和去向，避免排入城镇污水处理厂。</w:t>
                  </w:r>
                </w:p>
              </w:tc>
              <w:tc>
                <w:tcPr>
                  <w:tcW w:w="16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宋体"/>
                      <w:b w:val="0"/>
                      <w:bCs w:val="0"/>
                      <w:kern w:val="0"/>
                      <w:sz w:val="21"/>
                      <w:szCs w:val="21"/>
                      <w:vertAlign w:val="baseline"/>
                      <w:lang w:val="en-US" w:eastAsia="zh-CN"/>
                    </w:rPr>
                    <w:t>本项目使用清洁能源；项目污水经化粪池，排入城市污水管网，进入</w:t>
                  </w:r>
                  <w:r>
                    <w:rPr>
                      <w:rFonts w:hint="eastAsia" w:ascii="Times New Roman" w:hAnsi="Times New Roman" w:eastAsia="宋体" w:cs="宋体"/>
                      <w:b w:val="0"/>
                      <w:bCs w:val="0"/>
                      <w:kern w:val="0"/>
                      <w:sz w:val="21"/>
                      <w:szCs w:val="21"/>
                      <w:highlight w:val="none"/>
                      <w:vertAlign w:val="baseline"/>
                      <w:lang w:val="en-US" w:eastAsia="zh-CN"/>
                    </w:rPr>
                    <w:t>七台河第</w:t>
                  </w:r>
                  <w:r>
                    <w:rPr>
                      <w:rFonts w:hint="eastAsia" w:cs="宋体"/>
                      <w:b w:val="0"/>
                      <w:bCs w:val="0"/>
                      <w:kern w:val="0"/>
                      <w:sz w:val="21"/>
                      <w:szCs w:val="21"/>
                      <w:highlight w:val="none"/>
                      <w:vertAlign w:val="baseline"/>
                      <w:lang w:val="en-US" w:eastAsia="zh-CN"/>
                    </w:rPr>
                    <w:t>二</w:t>
                  </w:r>
                  <w:r>
                    <w:rPr>
                      <w:rFonts w:hint="eastAsia" w:ascii="Times New Roman" w:hAnsi="Times New Roman" w:eastAsia="宋体" w:cs="宋体"/>
                      <w:b w:val="0"/>
                      <w:bCs w:val="0"/>
                      <w:kern w:val="0"/>
                      <w:sz w:val="21"/>
                      <w:szCs w:val="21"/>
                      <w:highlight w:val="none"/>
                      <w:vertAlign w:val="baseline"/>
                      <w:lang w:val="en-US" w:eastAsia="zh-CN"/>
                    </w:rPr>
                    <w:t>污水处理厂。</w:t>
                  </w:r>
                </w:p>
              </w:tc>
              <w:tc>
                <w:tcPr>
                  <w:tcW w:w="67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Times New Roman" w:hAnsi="Times New Roman" w:eastAsia="宋体" w:cs="宋体"/>
                      <w:b w:val="0"/>
                      <w:bCs w:val="0"/>
                      <w:kern w:val="0"/>
                      <w:sz w:val="21"/>
                      <w:szCs w:val="21"/>
                      <w:vertAlign w:val="baseline"/>
                      <w:lang w:val="en-US" w:eastAsia="zh-CN" w:bidi="ar-SA"/>
                    </w:rPr>
                  </w:pPr>
                  <w:r>
                    <w:rPr>
                      <w:rFonts w:hint="eastAsia" w:ascii="Times New Roman" w:hAnsi="Times New Roman" w:eastAsia="宋体" w:cs="宋体"/>
                      <w:b w:val="0"/>
                      <w:bCs w:val="0"/>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6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p>
              </w:tc>
              <w:tc>
                <w:tcPr>
                  <w:tcW w:w="63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p>
              </w:tc>
              <w:tc>
                <w:tcPr>
                  <w:tcW w:w="65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p>
              </w:tc>
              <w:tc>
                <w:tcPr>
                  <w:tcW w:w="4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仿宋_GB2312"/>
                      <w:color w:val="auto"/>
                      <w:sz w:val="21"/>
                      <w:szCs w:val="21"/>
                    </w:rPr>
                    <w:t>环境风险防控</w:t>
                  </w:r>
                </w:p>
              </w:tc>
              <w:tc>
                <w:tcPr>
                  <w:tcW w:w="22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Times New Roman"/>
                      <w:color w:val="000000"/>
                      <w:spacing w:val="-3"/>
                      <w:kern w:val="0"/>
                      <w:sz w:val="21"/>
                      <w:szCs w:val="21"/>
                      <w:highlight w:val="none"/>
                      <w:lang w:val="zh-CN" w:bidi="zh-CN"/>
                    </w:rPr>
                    <w:t>化工园区与城市建成区、人员密集场所、重要设施、敏感目标等应当保持规定的安全距离，相对封闭，不应保留常住居民，非关联企业和产业要逐步搬迁或退出，妥善防范化解“临避”问题。严禁在松花江干流及一级支流沿岸</w:t>
                  </w:r>
                  <w:r>
                    <w:rPr>
                      <w:rFonts w:hint="eastAsia" w:ascii="Times New Roman" w:hAnsi="Times New Roman" w:eastAsia="宋体" w:cs="Times New Roman"/>
                      <w:color w:val="000000"/>
                      <w:spacing w:val="-3"/>
                      <w:kern w:val="0"/>
                      <w:sz w:val="21"/>
                      <w:szCs w:val="21"/>
                      <w:highlight w:val="none"/>
                      <w:lang w:val="en-US" w:bidi="zh-CN"/>
                    </w:rPr>
                    <w:t>1公里范围内布局化工园区。</w:t>
                  </w:r>
                </w:p>
              </w:tc>
              <w:tc>
                <w:tcPr>
                  <w:tcW w:w="16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宋体"/>
                      <w:b w:val="0"/>
                      <w:bCs w:val="0"/>
                      <w:kern w:val="0"/>
                      <w:sz w:val="21"/>
                      <w:szCs w:val="21"/>
                      <w:vertAlign w:val="baseline"/>
                      <w:lang w:val="en-US" w:eastAsia="zh-CN"/>
                    </w:rPr>
                    <w:t>本项目编制环境风险应急预案，进行应急演练，设有环境风险预警体系，有完善的环境风险防控措施。符合环境风险防控。</w:t>
                  </w:r>
                </w:p>
              </w:tc>
              <w:tc>
                <w:tcPr>
                  <w:tcW w:w="67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Times New Roman" w:hAnsi="Times New Roman" w:eastAsia="宋体" w:cs="宋体"/>
                      <w:b w:val="0"/>
                      <w:bCs w:val="0"/>
                      <w:kern w:val="0"/>
                      <w:sz w:val="21"/>
                      <w:szCs w:val="21"/>
                      <w:vertAlign w:val="baseline"/>
                      <w:lang w:val="en-US" w:eastAsia="zh-CN" w:bidi="ar-SA"/>
                    </w:rPr>
                  </w:pPr>
                  <w:r>
                    <w:rPr>
                      <w:rFonts w:hint="eastAsia" w:ascii="Times New Roman" w:hAnsi="Times New Roman" w:eastAsia="宋体" w:cs="宋体"/>
                      <w:b w:val="0"/>
                      <w:bCs w:val="0"/>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3" w:hRule="atLeast"/>
                <w:jc w:val="center"/>
              </w:trPr>
              <w:tc>
                <w:tcPr>
                  <w:tcW w:w="6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p>
              </w:tc>
              <w:tc>
                <w:tcPr>
                  <w:tcW w:w="63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p>
              </w:tc>
              <w:tc>
                <w:tcPr>
                  <w:tcW w:w="65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p>
              </w:tc>
              <w:tc>
                <w:tcPr>
                  <w:tcW w:w="4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仿宋_GB2312"/>
                      <w:color w:val="auto"/>
                      <w:sz w:val="21"/>
                      <w:szCs w:val="21"/>
                    </w:rPr>
                    <w:t>资源利用效率要求</w:t>
                  </w:r>
                </w:p>
              </w:tc>
              <w:tc>
                <w:tcPr>
                  <w:tcW w:w="2230" w:type="dxa"/>
                  <w:tcBorders>
                    <w:tl2br w:val="nil"/>
                    <w:tr2bl w:val="nil"/>
                  </w:tcBorders>
                  <w:vAlign w:val="center"/>
                </w:tcPr>
                <w:p>
                  <w:pPr>
                    <w:keepNext w:val="0"/>
                    <w:keepLines w:val="0"/>
                    <w:pageBreakBefore w:val="0"/>
                    <w:widowControl w:val="0"/>
                    <w:kinsoku/>
                    <w:wordWrap/>
                    <w:overflowPunct/>
                    <w:topLinePunct w:val="0"/>
                    <w:bidi w:val="0"/>
                    <w:spacing w:beforeAutospacing="0" w:after="0" w:afterAutospacing="0"/>
                    <w:ind w:left="0" w:right="0"/>
                    <w:jc w:val="both"/>
                    <w:textAlignment w:val="auto"/>
                    <w:rPr>
                      <w:rFonts w:hint="default" w:ascii="Times New Roman" w:hAnsi="Times New Roman" w:eastAsia="宋体" w:cs="Times New Roman"/>
                      <w:color w:val="000000"/>
                      <w:spacing w:val="-3"/>
                      <w:kern w:val="0"/>
                      <w:sz w:val="21"/>
                      <w:szCs w:val="21"/>
                      <w:highlight w:val="none"/>
                      <w:lang w:val="zh-CN" w:bidi="zh-CN"/>
                    </w:rPr>
                  </w:pPr>
                  <w:r>
                    <w:rPr>
                      <w:rFonts w:hint="default" w:ascii="Times New Roman" w:hAnsi="Times New Roman" w:eastAsia="宋体" w:cs="Times New Roman"/>
                      <w:color w:val="000000"/>
                      <w:spacing w:val="-3"/>
                      <w:kern w:val="0"/>
                      <w:sz w:val="21"/>
                      <w:szCs w:val="21"/>
                      <w:highlight w:val="none"/>
                      <w:lang w:val="zh-CN" w:bidi="zh-CN"/>
                    </w:rPr>
                    <w:t>1.</w:t>
                  </w:r>
                  <w:r>
                    <w:rPr>
                      <w:rFonts w:hint="eastAsia" w:ascii="Times New Roman" w:hAnsi="Times New Roman" w:eastAsia="宋体" w:cs="Times New Roman"/>
                      <w:color w:val="000000"/>
                      <w:spacing w:val="-3"/>
                      <w:kern w:val="0"/>
                      <w:sz w:val="21"/>
                      <w:szCs w:val="21"/>
                      <w:highlight w:val="none"/>
                      <w:lang w:val="zh-CN" w:bidi="zh-CN"/>
                    </w:rPr>
                    <w:t>推进污水再生利用设施建设。</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auto"/>
                    <w:rPr>
                      <w:rFonts w:hint="default" w:ascii="Times New Roman" w:hAnsi="Times New Roman" w:eastAsia="宋体" w:cs="宋体"/>
                      <w:b w:val="0"/>
                      <w:bCs w:val="0"/>
                      <w:kern w:val="0"/>
                      <w:sz w:val="21"/>
                      <w:szCs w:val="21"/>
                      <w:vertAlign w:val="baseline"/>
                      <w:lang w:val="en-US" w:eastAsia="zh-CN"/>
                    </w:rPr>
                  </w:pPr>
                  <w:r>
                    <w:rPr>
                      <w:rFonts w:hint="default" w:ascii="Times New Roman" w:hAnsi="Times New Roman" w:eastAsia="宋体" w:cs="Times New Roman"/>
                      <w:color w:val="000000"/>
                      <w:spacing w:val="-3"/>
                      <w:kern w:val="0"/>
                      <w:sz w:val="21"/>
                      <w:szCs w:val="21"/>
                      <w:highlight w:val="none"/>
                      <w:lang w:val="zh-CN" w:bidi="zh-CN"/>
                    </w:rPr>
                    <w:t>2.</w:t>
                  </w:r>
                  <w:r>
                    <w:rPr>
                      <w:rFonts w:hint="eastAsia" w:ascii="Times New Roman" w:hAnsi="Times New Roman" w:eastAsia="宋体" w:cs="Times New Roman"/>
                      <w:color w:val="000000"/>
                      <w:spacing w:val="-3"/>
                      <w:kern w:val="0"/>
                      <w:sz w:val="21"/>
                      <w:szCs w:val="21"/>
                      <w:highlight w:val="none"/>
                      <w:lang w:val="zh-CN" w:bidi="zh-CN"/>
                    </w:rPr>
                    <w:t>公共建筑必须采用节水器具，限期淘汰公共建筑中不符合节水标准的水嘴、便器水箱等生活用水器具。</w:t>
                  </w:r>
                </w:p>
              </w:tc>
              <w:tc>
                <w:tcPr>
                  <w:tcW w:w="16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宋体"/>
                      <w:b w:val="0"/>
                      <w:bCs w:val="0"/>
                      <w:kern w:val="0"/>
                      <w:sz w:val="21"/>
                      <w:szCs w:val="21"/>
                      <w:vertAlign w:val="baseline"/>
                      <w:lang w:val="en-US" w:eastAsia="zh-CN"/>
                    </w:rPr>
                  </w:pPr>
                  <w:r>
                    <w:rPr>
                      <w:rFonts w:hint="eastAsia" w:ascii="Times New Roman" w:hAnsi="Times New Roman" w:eastAsia="宋体" w:cs="宋体"/>
                      <w:b w:val="0"/>
                      <w:bCs w:val="0"/>
                      <w:color w:val="auto"/>
                      <w:kern w:val="0"/>
                      <w:sz w:val="21"/>
                      <w:szCs w:val="21"/>
                      <w:vertAlign w:val="baseline"/>
                      <w:lang w:val="en-US" w:eastAsia="zh-CN"/>
                    </w:rPr>
                    <w:t>项目</w:t>
                  </w:r>
                  <w:r>
                    <w:rPr>
                      <w:rFonts w:hint="eastAsia" w:cs="宋体"/>
                      <w:b w:val="0"/>
                      <w:bCs w:val="0"/>
                      <w:color w:val="auto"/>
                      <w:kern w:val="0"/>
                      <w:sz w:val="21"/>
                      <w:szCs w:val="21"/>
                      <w:vertAlign w:val="baseline"/>
                      <w:lang w:val="en-US" w:eastAsia="zh-CN"/>
                    </w:rPr>
                    <w:t>利用废弃学校校址，无新增用地；项目用水接取园区管道，日常用水</w:t>
                  </w:r>
                  <w:r>
                    <w:rPr>
                      <w:rFonts w:hint="eastAsia" w:ascii="Times New Roman" w:hAnsi="Times New Roman" w:eastAsia="宋体" w:cs="宋体"/>
                      <w:b w:val="0"/>
                      <w:bCs w:val="0"/>
                      <w:color w:val="auto"/>
                      <w:kern w:val="0"/>
                      <w:sz w:val="21"/>
                      <w:szCs w:val="21"/>
                      <w:vertAlign w:val="baseline"/>
                      <w:lang w:val="en-US" w:eastAsia="zh-CN"/>
                    </w:rPr>
                    <w:t>产生的废水经化粪池排入污水处理厂</w:t>
                  </w:r>
                  <w:r>
                    <w:rPr>
                      <w:rFonts w:hint="eastAsia" w:cs="宋体"/>
                      <w:b w:val="0"/>
                      <w:bCs w:val="0"/>
                      <w:color w:val="auto"/>
                      <w:kern w:val="0"/>
                      <w:sz w:val="21"/>
                      <w:szCs w:val="21"/>
                      <w:vertAlign w:val="baseline"/>
                      <w:lang w:val="en-US" w:eastAsia="zh-CN"/>
                    </w:rPr>
                    <w:t>；项目用电利用暂存场附近</w:t>
                  </w:r>
                  <w:r>
                    <w:rPr>
                      <w:rFonts w:hint="default" w:ascii="Times New Roman" w:hAnsi="Times New Roman" w:cs="Times New Roman"/>
                      <w:bCs/>
                      <w:color w:val="auto"/>
                      <w:sz w:val="21"/>
                      <w:szCs w:val="21"/>
                      <w:highlight w:val="none"/>
                      <w:vertAlign w:val="baseline"/>
                      <w:lang w:val="en-US" w:eastAsia="zh-CN"/>
                    </w:rPr>
                    <w:t>设有</w:t>
                  </w:r>
                  <w:r>
                    <w:rPr>
                      <w:rFonts w:hint="eastAsia" w:cs="Times New Roman"/>
                      <w:bCs/>
                      <w:color w:val="auto"/>
                      <w:sz w:val="21"/>
                      <w:szCs w:val="21"/>
                      <w:highlight w:val="none"/>
                      <w:vertAlign w:val="baseline"/>
                      <w:lang w:val="en-US" w:eastAsia="zh-CN"/>
                    </w:rPr>
                    <w:t>的</w:t>
                  </w:r>
                  <w:r>
                    <w:rPr>
                      <w:rFonts w:hint="default" w:ascii="Times New Roman" w:hAnsi="Times New Roman" w:cs="Times New Roman"/>
                      <w:bCs/>
                      <w:color w:val="auto"/>
                      <w:sz w:val="21"/>
                      <w:szCs w:val="21"/>
                      <w:highlight w:val="none"/>
                      <w:vertAlign w:val="baseline"/>
                      <w:lang w:val="en-US" w:eastAsia="zh-CN"/>
                    </w:rPr>
                    <w:t>10kV</w:t>
                  </w:r>
                  <w:r>
                    <w:rPr>
                      <w:rFonts w:hint="eastAsia" w:cs="Times New Roman"/>
                      <w:bCs/>
                      <w:color w:val="auto"/>
                      <w:sz w:val="21"/>
                      <w:szCs w:val="21"/>
                      <w:highlight w:val="none"/>
                      <w:vertAlign w:val="baseline"/>
                      <w:lang w:val="en-US" w:eastAsia="zh-CN"/>
                    </w:rPr>
                    <w:t>终端杆通过变压器降压后供给。项目</w:t>
                  </w:r>
                  <w:r>
                    <w:rPr>
                      <w:rFonts w:hint="eastAsia" w:ascii="Times New Roman" w:hAnsi="Times New Roman" w:eastAsia="宋体" w:cs="宋体"/>
                      <w:b w:val="0"/>
                      <w:bCs w:val="0"/>
                      <w:color w:val="auto"/>
                      <w:kern w:val="0"/>
                      <w:sz w:val="21"/>
                      <w:szCs w:val="21"/>
                      <w:vertAlign w:val="baseline"/>
                      <w:lang w:val="en-US" w:eastAsia="zh-CN"/>
                    </w:rPr>
                    <w:t>满足资源利用效率要求。</w:t>
                  </w:r>
                </w:p>
              </w:tc>
              <w:tc>
                <w:tcPr>
                  <w:tcW w:w="67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Times New Roman" w:hAnsi="Times New Roman" w:eastAsia="宋体" w:cs="宋体"/>
                      <w:b w:val="0"/>
                      <w:bCs w:val="0"/>
                      <w:kern w:val="0"/>
                      <w:sz w:val="21"/>
                      <w:szCs w:val="21"/>
                      <w:vertAlign w:val="baseline"/>
                      <w:lang w:val="en-US" w:eastAsia="zh-CN" w:bidi="ar-SA"/>
                    </w:rPr>
                  </w:pPr>
                  <w:r>
                    <w:rPr>
                      <w:rFonts w:hint="eastAsia" w:ascii="Times New Roman" w:hAnsi="Times New Roman" w:eastAsia="宋体" w:cs="宋体"/>
                      <w:b w:val="0"/>
                      <w:bCs w:val="0"/>
                      <w:kern w:val="0"/>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bCs/>
                <w:kern w:val="0"/>
                <w:sz w:val="24"/>
                <w:szCs w:val="24"/>
                <w:lang w:val="en-US" w:eastAsia="zh-CN"/>
              </w:rPr>
              <w:t>3 项目选址合理性分析</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3.1场址比选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通过七台河市相关领导组织城建、规划、环保、土地、自然资源、环卫等有关部门，结合该地区实际情况，拟定了2处选址方案：</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kern w:val="0"/>
                <w:sz w:val="24"/>
                <w:szCs w:val="24"/>
                <w:lang w:val="en-US" w:eastAsia="zh-CN"/>
              </w:rPr>
            </w:pPr>
            <w:bookmarkStart w:id="5" w:name="_Toc10397"/>
            <w:r>
              <w:rPr>
                <w:rFonts w:hint="eastAsia" w:ascii="Times New Roman" w:hAnsi="Times New Roman" w:eastAsia="宋体" w:cs="Times New Roman"/>
                <w:kern w:val="0"/>
                <w:sz w:val="24"/>
                <w:szCs w:val="24"/>
                <w:lang w:val="en-US" w:eastAsia="zh-CN"/>
              </w:rPr>
              <w:t>①比选场址1：位于七台河市老三中</w:t>
            </w:r>
            <w:r>
              <w:rPr>
                <w:rFonts w:hint="eastAsia" w:cs="Times New Roman"/>
                <w:kern w:val="0"/>
                <w:sz w:val="24"/>
                <w:szCs w:val="24"/>
                <w:lang w:val="en-US" w:eastAsia="zh-CN"/>
              </w:rPr>
              <w:t>废弃</w:t>
            </w:r>
            <w:r>
              <w:rPr>
                <w:rFonts w:hint="eastAsia" w:ascii="Times New Roman" w:hAnsi="Times New Roman" w:eastAsia="宋体" w:cs="Times New Roman"/>
                <w:kern w:val="0"/>
                <w:sz w:val="24"/>
                <w:szCs w:val="24"/>
                <w:lang w:val="en-US" w:eastAsia="zh-CN"/>
              </w:rPr>
              <w:t>校址，</w:t>
            </w:r>
            <w:r>
              <w:rPr>
                <w:rFonts w:ascii="Times New Roman" w:hAnsi="Times New Roman" w:eastAsia="宋体" w:cs="Times New Roman"/>
                <w:color w:val="auto"/>
                <w:sz w:val="24"/>
                <w:szCs w:val="28"/>
                <w:highlight w:val="none"/>
              </w:rPr>
              <w:t>占地194216</w:t>
            </w:r>
            <w:r>
              <w:rPr>
                <w:rFonts w:hint="eastAsia" w:ascii="Times New Roman" w:hAnsi="Times New Roman" w:eastAsia="宋体" w:cs="Times New Roman"/>
                <w:color w:val="auto"/>
                <w:sz w:val="24"/>
                <w:szCs w:val="28"/>
                <w:highlight w:val="none"/>
                <w:lang w:val="en-US" w:eastAsia="zh-CN"/>
              </w:rPr>
              <w:t>m</w:t>
            </w:r>
            <w:r>
              <w:rPr>
                <w:rFonts w:hint="eastAsia" w:ascii="Times New Roman" w:hAnsi="Times New Roman" w:eastAsia="宋体" w:cs="Times New Roman"/>
                <w:color w:val="auto"/>
                <w:sz w:val="24"/>
                <w:szCs w:val="28"/>
                <w:highlight w:val="none"/>
                <w:vertAlign w:val="superscript"/>
                <w:lang w:val="en-US" w:eastAsia="zh-CN"/>
              </w:rPr>
              <w:t>2</w:t>
            </w:r>
            <w:r>
              <w:rPr>
                <w:rFonts w:hint="eastAsia" w:ascii="Times New Roman" w:hAnsi="Times New Roman" w:eastAsia="宋体" w:cs="Times New Roman"/>
                <w:kern w:val="0"/>
                <w:sz w:val="24"/>
                <w:szCs w:val="24"/>
                <w:lang w:val="en-US" w:eastAsia="zh-CN"/>
              </w:rPr>
              <w:t>；</w:t>
            </w:r>
            <w:bookmarkEnd w:id="5"/>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②比选场址2：</w:t>
            </w:r>
            <w:r>
              <w:rPr>
                <w:rFonts w:ascii="Times New Roman" w:hAnsi="Times New Roman" w:eastAsia="宋体" w:cs="Times New Roman"/>
                <w:color w:val="auto"/>
                <w:sz w:val="24"/>
                <w:szCs w:val="28"/>
                <w:highlight w:val="none"/>
              </w:rPr>
              <w:t>位于桃山水库西约1.1km处，占地23450</w:t>
            </w:r>
            <w:r>
              <w:rPr>
                <w:rFonts w:hint="eastAsia" w:ascii="Times New Roman" w:hAnsi="Times New Roman" w:eastAsia="宋体" w:cs="Times New Roman"/>
                <w:color w:val="auto"/>
                <w:sz w:val="24"/>
                <w:szCs w:val="28"/>
                <w:highlight w:val="none"/>
                <w:lang w:val="en-US" w:eastAsia="zh-CN"/>
              </w:rPr>
              <w:t>m</w:t>
            </w:r>
            <w:r>
              <w:rPr>
                <w:rFonts w:hint="eastAsia" w:ascii="Times New Roman" w:hAnsi="Times New Roman" w:eastAsia="宋体" w:cs="Times New Roman"/>
                <w:color w:val="auto"/>
                <w:sz w:val="24"/>
                <w:szCs w:val="28"/>
                <w:highlight w:val="none"/>
                <w:vertAlign w:val="superscript"/>
                <w:lang w:val="en-US" w:eastAsia="zh-CN"/>
              </w:rPr>
              <w:t>2</w:t>
            </w:r>
            <w:r>
              <w:rPr>
                <w:rFonts w:hint="eastAsia" w:ascii="Times New Roman" w:hAnsi="Times New Roman" w:eastAsia="宋体" w:cs="Times New Roman"/>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③推荐场址：七台河市老三中</w:t>
            </w:r>
            <w:r>
              <w:rPr>
                <w:rFonts w:hint="eastAsia" w:cs="Times New Roman"/>
                <w:kern w:val="0"/>
                <w:sz w:val="24"/>
                <w:szCs w:val="24"/>
                <w:lang w:val="en-US" w:eastAsia="zh-CN"/>
              </w:rPr>
              <w:t>废弃</w:t>
            </w:r>
            <w:r>
              <w:rPr>
                <w:rFonts w:hint="eastAsia" w:ascii="Times New Roman" w:hAnsi="Times New Roman" w:eastAsia="宋体" w:cs="Times New Roman"/>
                <w:kern w:val="0"/>
                <w:sz w:val="24"/>
                <w:szCs w:val="24"/>
                <w:lang w:val="en-US" w:eastAsia="zh-CN"/>
              </w:rPr>
              <w:t>校址。</w:t>
            </w:r>
          </w:p>
          <w:p>
            <w:pPr>
              <w:pStyle w:val="42"/>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b/>
                <w:bCs/>
                <w:lang w:val="en-US" w:eastAsia="zh-CN"/>
              </w:rPr>
            </w:pPr>
            <w:r>
              <w:rPr>
                <w:rFonts w:hint="eastAsia" w:ascii="Times New Roman" w:hAnsi="Times New Roman" w:eastAsia="宋体" w:cs="Times New Roman"/>
                <w:b/>
                <w:bCs/>
                <w:kern w:val="0"/>
                <w:sz w:val="24"/>
                <w:szCs w:val="24"/>
                <w:lang w:val="en-US" w:eastAsia="zh-CN"/>
              </w:rPr>
              <w:t>3.1.1用地建设条件分析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olor w:val="auto"/>
                <w:kern w:val="28"/>
                <w:sz w:val="24"/>
                <w:highlight w:val="none"/>
              </w:rPr>
            </w:pPr>
            <w:r>
              <w:rPr>
                <w:rFonts w:hint="eastAsia" w:ascii="Times New Roman" w:hAnsi="Times New Roman"/>
                <w:color w:val="auto"/>
                <w:kern w:val="28"/>
                <w:sz w:val="24"/>
                <w:highlight w:val="none"/>
              </w:rPr>
              <w:t>选址一地处七台河市主导风向的侧风向，经现场踏勘并结合周边现状用地情况，对该地块的土地适用性进行评价，选址一范围内以空地为主，地块面积较大</w:t>
            </w:r>
            <w:r>
              <w:rPr>
                <w:rFonts w:hint="eastAsia"/>
                <w:color w:val="auto"/>
                <w:kern w:val="28"/>
                <w:sz w:val="24"/>
                <w:highlight w:val="none"/>
                <w:lang w:eastAsia="zh-CN"/>
              </w:rPr>
              <w:t>；</w:t>
            </w:r>
            <w:r>
              <w:rPr>
                <w:rFonts w:hint="eastAsia"/>
                <w:color w:val="auto"/>
                <w:kern w:val="28"/>
                <w:sz w:val="24"/>
                <w:highlight w:val="none"/>
                <w:lang w:val="en-US" w:eastAsia="zh-CN"/>
              </w:rPr>
              <w:t>周边建筑多为企业，仅有的环境保护目标为老年公寓，通过苫布遮盖、定期洒水等方法，项目运输、堆料对周边影响较小；紧邻正阳街，交通便利；场地土地平整，无需填挖，成本较低。综上所述，</w:t>
            </w:r>
            <w:r>
              <w:rPr>
                <w:rFonts w:hint="eastAsia" w:ascii="Times New Roman" w:hAnsi="Times New Roman"/>
                <w:color w:val="auto"/>
                <w:kern w:val="28"/>
                <w:sz w:val="24"/>
                <w:highlight w:val="none"/>
              </w:rPr>
              <w:t>确定该地块建设用地条件较好，符合建筑垃圾的堆放要求。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28"/>
                <w:sz w:val="24"/>
                <w:highlight w:val="none"/>
                <w:lang w:eastAsia="zh-CN"/>
              </w:rPr>
            </w:pPr>
            <w:r>
              <w:rPr>
                <w:rFonts w:hint="eastAsia" w:ascii="Times New Roman" w:hAnsi="Times New Roman"/>
                <w:color w:val="auto"/>
                <w:kern w:val="28"/>
                <w:sz w:val="24"/>
                <w:highlight w:val="none"/>
              </w:rPr>
              <w:t>而选址二则位于山间低谷，面积较小，不利于远期发展</w:t>
            </w:r>
            <w:r>
              <w:rPr>
                <w:rFonts w:hint="eastAsia"/>
                <w:color w:val="auto"/>
                <w:kern w:val="28"/>
                <w:sz w:val="24"/>
                <w:highlight w:val="none"/>
                <w:lang w:eastAsia="zh-CN"/>
              </w:rPr>
              <w:t>；</w:t>
            </w:r>
            <w:r>
              <w:rPr>
                <w:rFonts w:hint="eastAsia"/>
                <w:color w:val="auto"/>
                <w:kern w:val="28"/>
                <w:sz w:val="24"/>
                <w:highlight w:val="none"/>
                <w:lang w:val="en-US" w:eastAsia="zh-CN"/>
              </w:rPr>
              <w:t>项目距离环城公路较近，交通便利；周边300m无居民区等建筑物，无环境敏感目标；</w:t>
            </w:r>
            <w:r>
              <w:rPr>
                <w:rFonts w:hint="eastAsia" w:ascii="Times New Roman" w:hAnsi="Times New Roman"/>
                <w:color w:val="auto"/>
                <w:kern w:val="28"/>
                <w:sz w:val="24"/>
                <w:highlight w:val="none"/>
              </w:rPr>
              <w:t>该地块已有的建筑垃圾已占据较大的土地面积，继续于该位置新建建筑垃圾</w:t>
            </w:r>
            <w:r>
              <w:rPr>
                <w:rFonts w:hint="eastAsia" w:ascii="Times New Roman" w:hAnsi="Times New Roman"/>
                <w:color w:val="auto"/>
                <w:kern w:val="28"/>
                <w:sz w:val="24"/>
                <w:highlight w:val="none"/>
                <w:lang w:eastAsia="zh-CN"/>
              </w:rPr>
              <w:t>暂存场</w:t>
            </w:r>
            <w:r>
              <w:rPr>
                <w:rFonts w:hint="eastAsia" w:ascii="Times New Roman" w:hAnsi="Times New Roman"/>
                <w:color w:val="auto"/>
                <w:kern w:val="28"/>
                <w:sz w:val="24"/>
                <w:highlight w:val="none"/>
              </w:rPr>
              <w:t>土方工程、开发建设的难度及工程投资成本都较选址一更高</w:t>
            </w:r>
            <w:r>
              <w:rPr>
                <w:rFonts w:hint="eastAsia"/>
                <w:color w:val="auto"/>
                <w:kern w:val="28"/>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lang w:val="en-US" w:eastAsia="zh-CN"/>
              </w:rPr>
            </w:pPr>
            <w:r>
              <w:rPr>
                <w:rFonts w:hint="eastAsia"/>
                <w:color w:val="auto"/>
                <w:kern w:val="28"/>
                <w:sz w:val="24"/>
                <w:highlight w:val="none"/>
                <w:lang w:val="en-US" w:eastAsia="zh-CN"/>
              </w:rPr>
              <w:t>综上所述，相较于选址二，选址一更为合适。</w:t>
            </w:r>
          </w:p>
          <w:p>
            <w:pPr>
              <w:pStyle w:val="42"/>
              <w:jc w:val="center"/>
              <w:rPr>
                <w:rFonts w:hint="default"/>
                <w:b/>
                <w:bCs/>
                <w:sz w:val="21"/>
                <w:szCs w:val="21"/>
                <w:lang w:val="en-US" w:eastAsia="zh-CN"/>
              </w:rPr>
            </w:pPr>
            <w:r>
              <w:rPr>
                <w:rFonts w:hint="eastAsia" w:ascii="Times New Roman" w:hAnsi="Times New Roman" w:eastAsia="宋体" w:cs="Times New Roman"/>
                <w:b/>
                <w:bCs/>
                <w:kern w:val="0"/>
                <w:sz w:val="21"/>
                <w:szCs w:val="21"/>
                <w:lang w:val="en-US" w:eastAsia="zh-CN"/>
              </w:rPr>
              <w:t>表1-3 项目场址比选</w:t>
            </w:r>
          </w:p>
          <w:tbl>
            <w:tblPr>
              <w:tblStyle w:val="20"/>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9"/>
              <w:gridCol w:w="3182"/>
              <w:gridCol w:w="2784"/>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编号</w:t>
                  </w:r>
                </w:p>
              </w:tc>
              <w:tc>
                <w:tcPr>
                  <w:tcW w:w="318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选址一</w:t>
                  </w:r>
                </w:p>
              </w:tc>
              <w:tc>
                <w:tcPr>
                  <w:tcW w:w="27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选址二</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94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优点</w:t>
                  </w:r>
                </w:p>
              </w:tc>
              <w:tc>
                <w:tcPr>
                  <w:tcW w:w="3182" w:type="dxa"/>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周边基础设施配套齐全。</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位于城镇主导风向侧风向。</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紧邻正阳街，交通运输方便</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位于建设用地内，便于更新改造。</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远期发展有一定余地。</w:t>
                  </w:r>
                </w:p>
              </w:tc>
              <w:tc>
                <w:tcPr>
                  <w:tcW w:w="2784" w:type="dxa"/>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1、位于城镇主导风向侧风向。</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2、距离环城公路较近，便于固体废物运输。</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94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不足</w:t>
                  </w:r>
                </w:p>
              </w:tc>
              <w:tc>
                <w:tcPr>
                  <w:tcW w:w="3182" w:type="dxa"/>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距离居民区较近。</w:t>
                  </w:r>
                </w:p>
              </w:tc>
              <w:tc>
                <w:tcPr>
                  <w:tcW w:w="2784" w:type="dxa"/>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新建进场道路较长</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0"/>
                      <w:highlight w:val="none"/>
                    </w:rPr>
                    <w:t>基础设施配套不完善</w:t>
                  </w:r>
                  <w:r>
                    <w:rPr>
                      <w:rFonts w:hint="eastAsia" w:ascii="宋体" w:hAnsi="宋体" w:eastAsia="宋体" w:cs="宋体"/>
                      <w:color w:val="auto"/>
                      <w:sz w:val="21"/>
                      <w:szCs w:val="20"/>
                      <w:highlight w:val="none"/>
                      <w:lang w:eastAsia="zh-CN"/>
                    </w:rPr>
                    <w:t>、</w:t>
                  </w:r>
                  <w:r>
                    <w:rPr>
                      <w:rFonts w:hint="eastAsia" w:ascii="宋体" w:hAnsi="宋体" w:eastAsia="宋体" w:cs="宋体"/>
                      <w:color w:val="auto"/>
                      <w:sz w:val="21"/>
                      <w:szCs w:val="21"/>
                      <w:highlight w:val="none"/>
                    </w:rPr>
                    <w:t>远期发展余地小。</w:t>
                  </w:r>
                </w:p>
              </w:tc>
            </w:tr>
          </w:tbl>
          <w:p>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olor w:val="auto"/>
                <w:kern w:val="28"/>
                <w:sz w:val="24"/>
                <w:highlight w:val="none"/>
              </w:rPr>
            </w:pPr>
            <w:r>
              <w:rPr>
                <w:rFonts w:hint="eastAsia" w:ascii="Times New Roman" w:hAnsi="Times New Roman" w:eastAsia="宋体"/>
                <w:color w:val="auto"/>
                <w:kern w:val="28"/>
                <w:sz w:val="24"/>
                <w:highlight w:val="none"/>
              </w:rPr>
              <w:t>经过方案综合比选分析，选址一虽距离居民区较近，但工程建设条件较好，且选址一相对于选址二基础设施配套十分成熟，项目建设符合城市用地空间发展方向，项目建设条件成熟，故本项目选址建议采用选址一作为</w:t>
            </w:r>
            <w:r>
              <w:rPr>
                <w:rFonts w:hint="eastAsia" w:ascii="Times New Roman" w:hAnsi="Times New Roman" w:eastAsia="宋体"/>
                <w:color w:val="auto"/>
                <w:kern w:val="28"/>
                <w:sz w:val="24"/>
                <w:highlight w:val="none"/>
                <w:lang w:eastAsia="zh-CN"/>
              </w:rPr>
              <w:t>建筑垃圾暂存场项目</w:t>
            </w:r>
            <w:r>
              <w:rPr>
                <w:rFonts w:hint="eastAsia" w:ascii="Times New Roman" w:hAnsi="Times New Roman" w:eastAsia="宋体"/>
                <w:color w:val="auto"/>
                <w:kern w:val="28"/>
                <w:sz w:val="24"/>
                <w:highlight w:val="none"/>
              </w:rPr>
              <w:t>选址。</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olor w:val="auto"/>
                <w:kern w:val="28"/>
                <w:sz w:val="24"/>
                <w:highlight w:val="none"/>
                <w:lang w:val="en-US" w:eastAsia="zh-CN"/>
              </w:rPr>
              <w:t>项目建设地点位于七台河市老三中校址，占地面积194216平方米。</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分析认为，推荐场址作为本次</w:t>
            </w:r>
            <w:r>
              <w:rPr>
                <w:rFonts w:hint="eastAsia" w:ascii="Times New Roman" w:hAnsi="Times New Roman" w:eastAsia="宋体" w:cs="Times New Roman"/>
                <w:color w:val="auto"/>
                <w:sz w:val="24"/>
                <w:szCs w:val="24"/>
                <w:lang w:val="en-US" w:eastAsia="zh-CN"/>
              </w:rPr>
              <w:t>建筑垃圾</w:t>
            </w:r>
            <w:r>
              <w:rPr>
                <w:rFonts w:hint="eastAsia" w:ascii="Times New Roman" w:hAnsi="Times New Roman" w:eastAsia="宋体" w:cs="Times New Roman"/>
                <w:color w:val="auto"/>
                <w:sz w:val="24"/>
                <w:szCs w:val="24"/>
                <w:lang w:eastAsia="zh-CN"/>
              </w:rPr>
              <w:t>暂存场</w:t>
            </w:r>
            <w:r>
              <w:rPr>
                <w:rFonts w:hint="default" w:ascii="Times New Roman" w:hAnsi="Times New Roman" w:eastAsia="宋体" w:cs="Times New Roman"/>
                <w:color w:val="auto"/>
                <w:sz w:val="24"/>
                <w:szCs w:val="24"/>
              </w:rPr>
              <w:t>的拟选场址最为理想。</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3.1.2选址要求符合性分析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本项目为建筑垃圾暂存场项目，</w:t>
            </w:r>
            <w:r>
              <w:rPr>
                <w:rFonts w:hint="eastAsia" w:cs="Times New Roman"/>
                <w:kern w:val="0"/>
                <w:sz w:val="24"/>
                <w:szCs w:val="24"/>
                <w:lang w:val="en-US" w:eastAsia="zh-CN"/>
              </w:rPr>
              <w:t>暂存场中转、暂存的固体废物</w:t>
            </w:r>
            <w:r>
              <w:rPr>
                <w:rFonts w:hint="eastAsia" w:ascii="Times New Roman" w:hAnsi="Times New Roman" w:eastAsia="宋体" w:cs="Times New Roman"/>
                <w:kern w:val="0"/>
                <w:sz w:val="24"/>
                <w:szCs w:val="24"/>
                <w:lang w:val="en-US" w:eastAsia="zh-CN"/>
              </w:rPr>
              <w:t>不属于一般工业固体废物，不适用于《一般工业固体废物贮存和填埋污染控制标准》（GB18599-2020）中相关要求。本工程根据《建筑垃圾处理技术标准》（CJJ/T34-2019）选址相关要求进行符合性分析。</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b/>
                <w:bCs/>
                <w:kern w:val="0"/>
                <w:sz w:val="21"/>
                <w:szCs w:val="21"/>
                <w:highlight w:val="none"/>
                <w:lang w:val="en-US" w:eastAsia="zh-CN"/>
              </w:rPr>
              <w:t>表1-4 场址选址符合性分析一览表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2"/>
              <w:gridCol w:w="2460"/>
              <w:gridCol w:w="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2"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要求</w:t>
                  </w:r>
                </w:p>
              </w:tc>
              <w:tc>
                <w:tcPr>
                  <w:tcW w:w="2460"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本项目情况</w:t>
                  </w:r>
                </w:p>
              </w:tc>
              <w:tc>
                <w:tcPr>
                  <w:tcW w:w="480"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2" w:type="dxa"/>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5.0.1、转运调配场可选择临时用地，宜优先选用废弃的采矿坑。</w:t>
                  </w:r>
                </w:p>
              </w:tc>
              <w:tc>
                <w:tcPr>
                  <w:tcW w:w="2460"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本项目位于</w:t>
                  </w:r>
                  <w:r>
                    <w:rPr>
                      <w:rFonts w:hint="eastAsia" w:ascii="Times New Roman" w:hAnsi="Times New Roman" w:eastAsia="宋体" w:cs="Times New Roman"/>
                      <w:kern w:val="0"/>
                      <w:sz w:val="21"/>
                      <w:szCs w:val="21"/>
                      <w:vertAlign w:val="baseline"/>
                      <w:lang w:val="en-US" w:eastAsia="zh-CN"/>
                    </w:rPr>
                    <w:t>七台河市老三中校址</w:t>
                  </w:r>
                  <w:r>
                    <w:rPr>
                      <w:rFonts w:hint="eastAsia" w:cs="Times New Roman"/>
                      <w:kern w:val="0"/>
                      <w:sz w:val="21"/>
                      <w:szCs w:val="21"/>
                      <w:vertAlign w:val="baseline"/>
                      <w:lang w:val="en-US" w:eastAsia="zh-CN"/>
                    </w:rPr>
                    <w:t>，</w:t>
                  </w:r>
                  <w:r>
                    <w:rPr>
                      <w:rFonts w:hint="eastAsia" w:ascii="Times New Roman" w:hAnsi="Times New Roman" w:eastAsia="宋体" w:cs="Times New Roman"/>
                      <w:kern w:val="0"/>
                      <w:sz w:val="21"/>
                      <w:szCs w:val="21"/>
                      <w:vertAlign w:val="baseline"/>
                      <w:lang w:val="en-US" w:eastAsia="zh-CN"/>
                    </w:rPr>
                    <w:t>交通较为便利，原有土地已多年未利用，</w:t>
                  </w:r>
                  <w:r>
                    <w:rPr>
                      <w:rFonts w:hint="eastAsia" w:cs="Times New Roman"/>
                      <w:kern w:val="0"/>
                      <w:sz w:val="21"/>
                      <w:szCs w:val="21"/>
                      <w:vertAlign w:val="baseline"/>
                      <w:lang w:val="en-US" w:eastAsia="zh-CN"/>
                    </w:rPr>
                    <w:t>作为</w:t>
                  </w:r>
                  <w:r>
                    <w:rPr>
                      <w:rFonts w:hint="eastAsia" w:ascii="Times New Roman" w:hAnsi="Times New Roman" w:eastAsia="宋体" w:cs="Times New Roman"/>
                      <w:kern w:val="0"/>
                      <w:sz w:val="21"/>
                      <w:szCs w:val="21"/>
                      <w:vertAlign w:val="baseline"/>
                      <w:lang w:val="en-US" w:eastAsia="zh-CN"/>
                    </w:rPr>
                    <w:t>临时暂存场，选址在此交通便利便于暂存和后续利用运输</w:t>
                  </w:r>
                  <w:r>
                    <w:rPr>
                      <w:rFonts w:hint="eastAsia" w:cs="Times New Roman"/>
                      <w:kern w:val="0"/>
                      <w:sz w:val="21"/>
                      <w:szCs w:val="21"/>
                      <w:vertAlign w:val="baseline"/>
                      <w:lang w:val="en-US" w:eastAsia="zh-CN"/>
                    </w:rPr>
                    <w:t>。</w:t>
                  </w:r>
                </w:p>
              </w:tc>
              <w:tc>
                <w:tcPr>
                  <w:tcW w:w="480"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2"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5.0.2、</w:t>
                  </w:r>
                  <w:r>
                    <w:rPr>
                      <w:rFonts w:hint="eastAsia" w:cs="Times New Roman"/>
                      <w:kern w:val="0"/>
                      <w:sz w:val="21"/>
                      <w:szCs w:val="21"/>
                      <w:vertAlign w:val="baseline"/>
                      <w:lang w:val="en-US" w:eastAsia="zh-CN"/>
                    </w:rPr>
                    <w:t>堆存</w:t>
                  </w:r>
                  <w:r>
                    <w:rPr>
                      <w:rFonts w:hint="eastAsia" w:ascii="Times New Roman" w:hAnsi="Times New Roman" w:eastAsia="宋体" w:cs="Times New Roman"/>
                      <w:kern w:val="0"/>
                      <w:sz w:val="21"/>
                      <w:szCs w:val="21"/>
                      <w:vertAlign w:val="baseline"/>
                      <w:lang w:val="en-US" w:eastAsia="zh-CN"/>
                    </w:rPr>
                    <w:t>场宜优先选用废弃的采矿坑、滩涂造地等。</w:t>
                  </w:r>
                </w:p>
              </w:tc>
              <w:tc>
                <w:tcPr>
                  <w:tcW w:w="246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本项目位于</w:t>
                  </w:r>
                  <w:r>
                    <w:rPr>
                      <w:rFonts w:hint="eastAsia" w:ascii="Times New Roman" w:hAnsi="Times New Roman" w:eastAsia="宋体" w:cs="Times New Roman"/>
                      <w:kern w:val="0"/>
                      <w:sz w:val="21"/>
                      <w:szCs w:val="21"/>
                      <w:vertAlign w:val="baseline"/>
                      <w:lang w:val="en-US" w:eastAsia="zh-CN"/>
                    </w:rPr>
                    <w:t>七台河市老三中校址</w:t>
                  </w:r>
                  <w:r>
                    <w:rPr>
                      <w:rFonts w:hint="eastAsia" w:cs="Times New Roman"/>
                      <w:kern w:val="0"/>
                      <w:sz w:val="21"/>
                      <w:szCs w:val="21"/>
                      <w:vertAlign w:val="baseline"/>
                      <w:lang w:val="en-US" w:eastAsia="zh-CN"/>
                    </w:rPr>
                    <w:t>，</w:t>
                  </w:r>
                  <w:r>
                    <w:rPr>
                      <w:rFonts w:hint="eastAsia" w:ascii="Times New Roman" w:hAnsi="Times New Roman" w:eastAsia="宋体" w:cs="Times New Roman"/>
                      <w:kern w:val="0"/>
                      <w:sz w:val="21"/>
                      <w:szCs w:val="21"/>
                      <w:vertAlign w:val="baseline"/>
                      <w:lang w:val="en-US" w:eastAsia="zh-CN"/>
                    </w:rPr>
                    <w:t>交通较为便利，原有土地已多年未利用，</w:t>
                  </w:r>
                  <w:r>
                    <w:rPr>
                      <w:rFonts w:hint="eastAsia" w:cs="Times New Roman"/>
                      <w:kern w:val="0"/>
                      <w:sz w:val="21"/>
                      <w:szCs w:val="21"/>
                      <w:vertAlign w:val="baseline"/>
                      <w:lang w:val="en-US" w:eastAsia="zh-CN"/>
                    </w:rPr>
                    <w:t>作为</w:t>
                  </w:r>
                  <w:r>
                    <w:rPr>
                      <w:rFonts w:hint="eastAsia" w:ascii="Times New Roman" w:hAnsi="Times New Roman" w:eastAsia="宋体" w:cs="Times New Roman"/>
                      <w:kern w:val="0"/>
                      <w:sz w:val="21"/>
                      <w:szCs w:val="21"/>
                      <w:vertAlign w:val="baseline"/>
                      <w:lang w:val="en-US" w:eastAsia="zh-CN"/>
                    </w:rPr>
                    <w:t>临时暂存场，选址在此交通便利便于暂存和后续利用运输</w:t>
                  </w:r>
                  <w:r>
                    <w:rPr>
                      <w:rFonts w:hint="eastAsia" w:cs="Times New Roman"/>
                      <w:kern w:val="0"/>
                      <w:sz w:val="21"/>
                      <w:szCs w:val="21"/>
                      <w:vertAlign w:val="baseline"/>
                      <w:lang w:val="en-US" w:eastAsia="zh-CN"/>
                    </w:rPr>
                    <w:t>。</w:t>
                  </w:r>
                </w:p>
              </w:tc>
              <w:tc>
                <w:tcPr>
                  <w:tcW w:w="480"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2"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5.0.3、资源化利用和填埋处置工程选址前应收集、分析下列基础资料：（1）城市总体规划、土地利用规划和环境卫生设施专项规划；（2）土地利用价值及征地费用；（3）附近居住情况与公众反映；（4）资源化利用产品的出路；（5）地形、地貌及相关地形图；（6）工程地质与水文地质条件；（7）道路、交通运输、给排水、供电条件；（8）洪水位、降水量、夏季主导风向及风速、基本风压值；（9）服务范围的建筑垃圾量、性质及收集运输情况。</w:t>
                  </w:r>
                </w:p>
              </w:tc>
              <w:tc>
                <w:tcPr>
                  <w:tcW w:w="246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本项目选址目前不在《</w:t>
                  </w:r>
                  <w:r>
                    <w:rPr>
                      <w:rFonts w:hint="eastAsia" w:ascii="Times New Roman" w:hAnsi="Times New Roman" w:eastAsia="宋体" w:cs="Times New Roman"/>
                      <w:kern w:val="0"/>
                      <w:sz w:val="21"/>
                      <w:szCs w:val="21"/>
                      <w:highlight w:val="none"/>
                      <w:vertAlign w:val="baseline"/>
                      <w:lang w:val="en-US" w:eastAsia="zh-CN"/>
                    </w:rPr>
                    <w:t>七台河市城总体规划</w:t>
                  </w:r>
                  <w:r>
                    <w:rPr>
                      <w:rFonts w:hint="eastAsia" w:ascii="Times New Roman" w:hAnsi="Times New Roman" w:eastAsia="宋体" w:cs="Times New Roman"/>
                      <w:kern w:val="0"/>
                      <w:sz w:val="21"/>
                      <w:szCs w:val="21"/>
                      <w:vertAlign w:val="baseline"/>
                      <w:lang w:val="en-US" w:eastAsia="zh-CN"/>
                    </w:rPr>
                    <w:t>》（2013-2030年）规划用地范围内。七台河市暂未开展环境卫生专业规划相关工作，项目区为废弃的学校校址；项目临近正阳街，距离城镇区较近，交通较为便利，原有土地已多年未利用，</w:t>
                  </w:r>
                  <w:r>
                    <w:rPr>
                      <w:rFonts w:hint="eastAsia" w:cs="Times New Roman"/>
                      <w:kern w:val="0"/>
                      <w:sz w:val="21"/>
                      <w:szCs w:val="21"/>
                      <w:vertAlign w:val="baseline"/>
                      <w:lang w:val="en-US" w:eastAsia="zh-CN"/>
                    </w:rPr>
                    <w:t>作为</w:t>
                  </w:r>
                  <w:r>
                    <w:rPr>
                      <w:rFonts w:hint="eastAsia" w:ascii="Times New Roman" w:hAnsi="Times New Roman" w:eastAsia="宋体" w:cs="Times New Roman"/>
                      <w:kern w:val="0"/>
                      <w:sz w:val="21"/>
                      <w:szCs w:val="21"/>
                      <w:vertAlign w:val="baseline"/>
                      <w:lang w:val="en-US" w:eastAsia="zh-CN"/>
                    </w:rPr>
                    <w:t>临时暂存场，选址在此交通便利便于暂存和后续利用运输</w:t>
                  </w:r>
                  <w:r>
                    <w:rPr>
                      <w:rFonts w:hint="eastAsia" w:cs="Times New Roman"/>
                      <w:kern w:val="0"/>
                      <w:sz w:val="21"/>
                      <w:szCs w:val="21"/>
                      <w:vertAlign w:val="baseline"/>
                      <w:lang w:val="en-US" w:eastAsia="zh-CN"/>
                    </w:rPr>
                    <w:t>。</w:t>
                  </w:r>
                  <w:r>
                    <w:rPr>
                      <w:rFonts w:hint="eastAsia"/>
                      <w:color w:val="auto"/>
                      <w:szCs w:val="21"/>
                    </w:rPr>
                    <w:t>具备良好的电力、给水和排水条件。</w:t>
                  </w:r>
                  <w:r>
                    <w:rPr>
                      <w:rFonts w:hint="eastAsia"/>
                      <w:color w:val="auto"/>
                      <w:szCs w:val="21"/>
                      <w:lang w:val="en-US" w:eastAsia="zh-CN"/>
                    </w:rPr>
                    <w:t>本项目负责临时堆存七台河市的建筑垃圾。</w:t>
                  </w:r>
                </w:p>
              </w:tc>
              <w:tc>
                <w:tcPr>
                  <w:tcW w:w="480"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2"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5.0.4、资源化利用和填埋处置工程选址应符合下列规定：（1）应符合当地城市总体规划、环境卫生设施专项规划以及国家现行有关标准的规定；（2）应与当地的大气防护、水土资源保护、自然保护及生态平衡要求相一致；（3）工程地质与水文地质条件应满足设施建设和运行的要求，不应选在发震断层、滑坡、泥石流、沼泽、流沙及采矿陷落区等地区；（4）</w:t>
                  </w:r>
                  <w:r>
                    <w:rPr>
                      <w:rFonts w:hint="eastAsia" w:ascii="宋体" w:hAnsi="宋体" w:eastAsia="宋体" w:cs="宋体"/>
                      <w:color w:val="000000"/>
                      <w:kern w:val="0"/>
                      <w:sz w:val="21"/>
                      <w:szCs w:val="21"/>
                      <w:lang w:val="en-US" w:eastAsia="zh-CN"/>
                    </w:rPr>
                    <w:t>应交通方便、运距合理，并应综合建筑垃圾处理厂的服务区域、建筑垃圾收集运输能力、产品出路、预留发展等因素；（5）</w:t>
                  </w:r>
                  <w:r>
                    <w:rPr>
                      <w:color w:val="auto"/>
                      <w:szCs w:val="21"/>
                    </w:rPr>
                    <w:t>应有良好的电力、给水和排水条件</w:t>
                  </w:r>
                  <w:r>
                    <w:rPr>
                      <w:rFonts w:hint="eastAsia"/>
                      <w:color w:val="auto"/>
                      <w:szCs w:val="21"/>
                      <w:lang w:eastAsia="zh-CN"/>
                    </w:rPr>
                    <w:t>；（</w:t>
                  </w:r>
                  <w:r>
                    <w:rPr>
                      <w:rFonts w:hint="eastAsia"/>
                      <w:color w:val="auto"/>
                      <w:szCs w:val="21"/>
                      <w:lang w:val="en-US" w:eastAsia="zh-CN"/>
                    </w:rPr>
                    <w:t>6</w:t>
                  </w:r>
                  <w:r>
                    <w:rPr>
                      <w:rFonts w:hint="eastAsia"/>
                      <w:color w:val="auto"/>
                      <w:szCs w:val="21"/>
                      <w:lang w:eastAsia="zh-CN"/>
                    </w:rPr>
                    <w:t>）</w:t>
                  </w:r>
                  <w:r>
                    <w:rPr>
                      <w:rFonts w:hint="eastAsia" w:ascii="宋体" w:hAnsi="宋体" w:eastAsia="宋体" w:cs="宋体"/>
                      <w:color w:val="000000"/>
                      <w:kern w:val="0"/>
                      <w:sz w:val="21"/>
                      <w:szCs w:val="21"/>
                      <w:lang w:val="en-US" w:eastAsia="zh-CN"/>
                    </w:rPr>
                    <w:t>应位于地下水贫乏地区、环境保护目标区域的地下水流向的下游地区，及夏季主导风向下风向；（7）厂址不应受洪水、潮水或内涝的威胁。当必须建在该类地区时，应有可靠的防洪、排涝措施，其防洪标准应符合现行国家标准《防洪标准》（GB50201）的有关规定</w:t>
                  </w:r>
                </w:p>
              </w:tc>
              <w:tc>
                <w:tcPr>
                  <w:tcW w:w="246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本工程为七台河市建筑垃圾临时暂存场建设项目，符合七台河市整体发展要求，项目区为废弃的学校校址；项目区临近正阳街，距离城镇区较近，交通较为便利，原有土地已多年未利用，</w:t>
                  </w:r>
                  <w:r>
                    <w:rPr>
                      <w:rFonts w:hint="eastAsia" w:cs="Times New Roman"/>
                      <w:kern w:val="0"/>
                      <w:sz w:val="21"/>
                      <w:szCs w:val="21"/>
                      <w:vertAlign w:val="baseline"/>
                      <w:lang w:val="en-US" w:eastAsia="zh-CN"/>
                    </w:rPr>
                    <w:t>作为</w:t>
                  </w:r>
                  <w:r>
                    <w:rPr>
                      <w:rFonts w:hint="eastAsia" w:ascii="Times New Roman" w:hAnsi="Times New Roman" w:eastAsia="宋体" w:cs="Times New Roman"/>
                      <w:kern w:val="0"/>
                      <w:sz w:val="21"/>
                      <w:szCs w:val="21"/>
                      <w:vertAlign w:val="baseline"/>
                      <w:lang w:val="en-US" w:eastAsia="zh-CN"/>
                    </w:rPr>
                    <w:t>临时暂存场，选址在此交通便利便于暂存和后续利用运输</w:t>
                  </w:r>
                  <w:r>
                    <w:rPr>
                      <w:rFonts w:hint="eastAsia" w:cs="Times New Roman"/>
                      <w:kern w:val="0"/>
                      <w:sz w:val="21"/>
                      <w:szCs w:val="21"/>
                      <w:vertAlign w:val="baseline"/>
                      <w:lang w:val="en-US" w:eastAsia="zh-CN"/>
                    </w:rPr>
                    <w:t>。</w:t>
                  </w:r>
                  <w:r>
                    <w:rPr>
                      <w:rFonts w:hint="eastAsia"/>
                      <w:color w:val="auto"/>
                      <w:szCs w:val="21"/>
                    </w:rPr>
                    <w:t>具备良好的电力、给水和排水条件。</w:t>
                  </w:r>
                  <w:r>
                    <w:rPr>
                      <w:rFonts w:hint="eastAsia" w:ascii="Times New Roman" w:hAnsi="Times New Roman" w:eastAsia="宋体" w:cs="Times New Roman"/>
                      <w:kern w:val="0"/>
                      <w:sz w:val="21"/>
                      <w:szCs w:val="21"/>
                      <w:vertAlign w:val="baseline"/>
                      <w:lang w:val="en-US" w:eastAsia="zh-CN"/>
                    </w:rPr>
                    <w:t>根据设计资料本场各功能单元均符合要求，</w:t>
                  </w:r>
                  <w:r>
                    <w:rPr>
                      <w:rFonts w:hint="eastAsia" w:ascii="Times New Roman" w:hAnsi="Times New Roman" w:eastAsia="宋体" w:cs="Times New Roman"/>
                      <w:kern w:val="0"/>
                      <w:sz w:val="21"/>
                      <w:szCs w:val="21"/>
                      <w:highlight w:val="none"/>
                      <w:vertAlign w:val="baseline"/>
                      <w:lang w:val="en-US" w:eastAsia="zh-CN"/>
                    </w:rPr>
                    <w:t>在地下水流向的下游设置监测水井；本工程暂存场防洪标准为50年一遇设计，100年校核；其防洪工程满足《防洪标准》（GB50201）的有关规定。</w:t>
                  </w:r>
                </w:p>
              </w:tc>
              <w:tc>
                <w:tcPr>
                  <w:tcW w:w="480"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2"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5.0.5、转运调配、资源化利用、填埋处置工程宜与其他固体废物处理设施或建筑材料利用设施同址建设。</w:t>
                  </w:r>
                </w:p>
              </w:tc>
              <w:tc>
                <w:tcPr>
                  <w:tcW w:w="246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本项目为建筑垃圾暂存场项目，建筑垃圾处理方式主要为</w:t>
                  </w:r>
                  <w:r>
                    <w:rPr>
                      <w:rFonts w:hint="eastAsia" w:cs="Times New Roman"/>
                      <w:kern w:val="0"/>
                      <w:sz w:val="21"/>
                      <w:szCs w:val="21"/>
                      <w:highlight w:val="none"/>
                      <w:vertAlign w:val="baseline"/>
                      <w:lang w:val="en-US" w:eastAsia="zh-CN"/>
                    </w:rPr>
                    <w:t>堆存</w:t>
                  </w:r>
                  <w:r>
                    <w:rPr>
                      <w:rFonts w:hint="eastAsia" w:ascii="Times New Roman" w:hAnsi="Times New Roman" w:eastAsia="宋体" w:cs="Times New Roman"/>
                      <w:kern w:val="0"/>
                      <w:sz w:val="21"/>
                      <w:szCs w:val="21"/>
                      <w:vertAlign w:val="baseline"/>
                      <w:lang w:val="en-US" w:eastAsia="zh-CN"/>
                    </w:rPr>
                    <w:t>，无其他固体废物处理设施。</w:t>
                  </w:r>
                </w:p>
              </w:tc>
              <w:tc>
                <w:tcPr>
                  <w:tcW w:w="480"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2" w:type="dxa"/>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5.0.6、转运调配、资源化利用、填埋处置工程选址应按下列顺序进行：（1）应在全面调查与分析的基础上，初定3个或3个以上候选厂（场）址，并应通过对候选厂（场）址新疆踏勘，对场地的地形、地貌、植被、地质、水文、气象、供电、给排水、交通运输及场址周围人群居住情况等进行对比分析，推荐2个或2个以上预选厂（场）址；（2）应对预选厂（场）址方案进行技术、经济、社会及环境比较后，推荐一个拟定厂（场）址，并应再对拟定厂（场）址进行地形测量、初步勘察和初步工艺方案设计，完成选址报告或可行性研究报告，通过审查确定厂（场）址。</w:t>
                  </w:r>
                </w:p>
              </w:tc>
              <w:tc>
                <w:tcPr>
                  <w:tcW w:w="2460"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本项目为建筑垃圾暂存场项目，建筑垃圾处理方式主要为</w:t>
                  </w:r>
                  <w:r>
                    <w:rPr>
                      <w:rFonts w:hint="eastAsia" w:cs="Times New Roman"/>
                      <w:kern w:val="0"/>
                      <w:sz w:val="21"/>
                      <w:szCs w:val="21"/>
                      <w:highlight w:val="none"/>
                      <w:vertAlign w:val="baseline"/>
                      <w:lang w:val="en-US" w:eastAsia="zh-CN"/>
                    </w:rPr>
                    <w:t>堆存</w:t>
                  </w:r>
                  <w:r>
                    <w:rPr>
                      <w:rFonts w:hint="eastAsia" w:ascii="Times New Roman" w:hAnsi="Times New Roman" w:eastAsia="宋体" w:cs="Times New Roman"/>
                      <w:kern w:val="0"/>
                      <w:sz w:val="21"/>
                      <w:szCs w:val="21"/>
                      <w:vertAlign w:val="baseline"/>
                      <w:lang w:val="en-US" w:eastAsia="zh-CN"/>
                    </w:rPr>
                    <w:t>，经建设单位提供可行性研究报告，</w:t>
                  </w:r>
                  <w:r>
                    <w:rPr>
                      <w:rFonts w:hint="eastAsia" w:cs="Times New Roman"/>
                      <w:kern w:val="0"/>
                      <w:sz w:val="21"/>
                      <w:szCs w:val="21"/>
                      <w:vertAlign w:val="baseline"/>
                      <w:lang w:val="en-US" w:eastAsia="zh-CN"/>
                    </w:rPr>
                    <w:t>报告中通过对2处选址的优缺点对比，最终</w:t>
                  </w:r>
                  <w:r>
                    <w:rPr>
                      <w:rFonts w:hint="eastAsia" w:ascii="Times New Roman" w:hAnsi="Times New Roman" w:eastAsia="宋体" w:cs="Times New Roman"/>
                      <w:kern w:val="0"/>
                      <w:sz w:val="21"/>
                      <w:szCs w:val="21"/>
                      <w:vertAlign w:val="baseline"/>
                      <w:lang w:val="en-US" w:eastAsia="zh-CN"/>
                    </w:rPr>
                    <w:t>确定本项目的选址。</w:t>
                  </w:r>
                </w:p>
              </w:tc>
              <w:tc>
                <w:tcPr>
                  <w:tcW w:w="480"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bCs/>
                <w:kern w:val="0"/>
                <w:sz w:val="24"/>
                <w:szCs w:val="24"/>
                <w:lang w:val="en-US" w:eastAsia="zh-CN"/>
              </w:rPr>
              <w:t>3.1.3工程选址的环境合理性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本项目位于七台河市老三中校址，项目区四周为学校、</w:t>
            </w:r>
            <w:r>
              <w:rPr>
                <w:rFonts w:hint="eastAsia" w:ascii="Times New Roman" w:hAnsi="Times New Roman" w:eastAsia="宋体" w:cs="Times New Roman"/>
                <w:b w:val="0"/>
                <w:bCs w:val="0"/>
                <w:kern w:val="0"/>
                <w:sz w:val="24"/>
                <w:szCs w:val="24"/>
                <w:highlight w:val="none"/>
                <w:lang w:val="en-US" w:eastAsia="zh-CN"/>
              </w:rPr>
              <w:t>居民区</w:t>
            </w:r>
            <w:r>
              <w:rPr>
                <w:rFonts w:hint="eastAsia" w:ascii="Times New Roman" w:hAnsi="Times New Roman" w:eastAsia="宋体" w:cs="Times New Roman"/>
                <w:b w:val="0"/>
                <w:bCs w:val="0"/>
                <w:kern w:val="0"/>
                <w:sz w:val="24"/>
                <w:szCs w:val="24"/>
                <w:lang w:val="en-US" w:eastAsia="zh-CN"/>
              </w:rPr>
              <w:t>。项目所在地主导风向为西北风，居民聚集区位于项目所在地侧风向，项目废气采取治理措施后不会对居民聚集区产生不利影响；项目污水和固体废物在正常工况下不会对项目区周边土壤和地下水造成不利影响。综上所述，项目建设对周围环境影响不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本项目的建设不扰动周边农田，项目不在生态保护红线范围内，周边1000m范围内无区控重点河流、高速公路、铁路干线及重要地下管网以及其他需严防污染的食品、药品等企业，满足</w:t>
            </w:r>
            <w:r>
              <w:rPr>
                <w:rFonts w:hint="eastAsia" w:ascii="Times New Roman" w:hAnsi="Times New Roman" w:eastAsia="宋体" w:cs="Times New Roman"/>
                <w:kern w:val="0"/>
                <w:sz w:val="24"/>
                <w:szCs w:val="24"/>
                <w:lang w:val="en-US" w:eastAsia="zh-CN"/>
              </w:rPr>
              <w:t>《建筑垃圾处理技术标准》（CJJ/T34-2019）</w:t>
            </w:r>
            <w:r>
              <w:rPr>
                <w:rFonts w:hint="eastAsia" w:ascii="Times New Roman" w:hAnsi="Times New Roman" w:eastAsia="宋体" w:cs="Times New Roman"/>
                <w:b w:val="0"/>
                <w:bCs w:val="0"/>
                <w:kern w:val="0"/>
                <w:sz w:val="24"/>
                <w:szCs w:val="24"/>
                <w:lang w:val="en-US" w:eastAsia="zh-CN"/>
              </w:rPr>
              <w:t>选址要求。本项目为建筑垃圾临时暂存场建设项目，项目不属于国土资源部与国家发展和改革委员会联合发布的《关于发布实施《限制用地项目目录（2012年本）》和《禁止用地项目目录（2012年本）》的通知》（国土资发〔2012〕98号）中规定的限制和禁止用地类型项目。项目周边无自然保护区、风景名胜区和集中饮用水水源地等环境敏感点。因此，本项目选址合理可行。</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bCs/>
                <w:kern w:val="0"/>
                <w:sz w:val="24"/>
                <w:szCs w:val="24"/>
                <w:lang w:val="en-US" w:eastAsia="zh-CN"/>
              </w:rPr>
              <w:t>4 与《中华人民共和国固体废物污染环境防治法》的符合性分析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项目与《中华人民共和国固体废物污染环境防治法》的符合性分析见表1-2。</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bCs/>
                <w:kern w:val="0"/>
                <w:sz w:val="21"/>
                <w:szCs w:val="21"/>
                <w:lang w:val="en-US" w:eastAsia="zh-CN"/>
              </w:rPr>
              <w:t>表1-5 与《中华人民共和国固体废物污染环境防治法》的符合性分析</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79"/>
              <w:gridCol w:w="2681"/>
              <w:gridCol w:w="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9"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固体废物污染环境防治法</w:t>
                  </w:r>
                </w:p>
              </w:tc>
              <w:tc>
                <w:tcPr>
                  <w:tcW w:w="2681"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本项目</w:t>
                  </w:r>
                </w:p>
              </w:tc>
              <w:tc>
                <w:tcPr>
                  <w:tcW w:w="752"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9" w:type="dxa"/>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第十七条：建设产生、贮存、利用、处置固体废物的项目，应当依法进行环境影响评价，并遵守国家有关建设项目环境保护管理的规定。</w:t>
                  </w:r>
                </w:p>
              </w:tc>
              <w:tc>
                <w:tcPr>
                  <w:tcW w:w="2681"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本项目属于固体废物处置项目，依法开展了本次环境影响评价工作。</w:t>
                  </w:r>
                </w:p>
              </w:tc>
              <w:tc>
                <w:tcPr>
                  <w:tcW w:w="752"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9"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第十八条：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p>
              </w:tc>
              <w:tc>
                <w:tcPr>
                  <w:tcW w:w="268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本项目固废污染防治设施包括防渗措施、雨水渗水收集措施及截排水措施，均为处理场前期施工内容，完成以上措施后，处理场方可运行，符合三同时要求。已开展了初步设计，落实了相关污染环境及破坏生态的防治措施及投资概算。</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9"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第二十条：产生、收集、贮存、运输、利用、处置固体废物的单位和其他生产经营者，应当采取防扬散、防流失、防渗漏或者其他防止污染环境的措施，不得擅自倾倒、堆放、丢弃、遗撒固体废物。禁止任何单位或者个人向江河、湖泊、运河、渠道、水库及其最高水位线以下的滩地和岸坡以及法律法规规定的其他地点倾倒、堆放、贮存固体废物。</w:t>
                  </w:r>
                </w:p>
              </w:tc>
              <w:tc>
                <w:tcPr>
                  <w:tcW w:w="268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建筑垃圾使用专用车辆运输，车辆采取降尘、苫盖、控制车速等防扬散、防流失措施。项目周边无地表水体分布，不在地表径流汇流区最高水位线以下。</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9"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第二十一条：在生态保护红线区域、永久基本农田集中区域和其他需要特别保护的区域内，禁止建设工业固体废物、危险废物集中贮存、利用、处置的设施、场所和</w:t>
                  </w:r>
                  <w:r>
                    <w:rPr>
                      <w:rFonts w:hint="eastAsia" w:cs="Times New Roman"/>
                      <w:kern w:val="0"/>
                      <w:sz w:val="21"/>
                      <w:szCs w:val="21"/>
                      <w:vertAlign w:val="baseline"/>
                      <w:lang w:val="en-US" w:eastAsia="zh-CN"/>
                    </w:rPr>
                    <w:t>七台河市垃圾处理场</w:t>
                  </w:r>
                  <w:r>
                    <w:rPr>
                      <w:rFonts w:hint="eastAsia" w:ascii="Times New Roman" w:hAnsi="Times New Roman" w:eastAsia="宋体" w:cs="Times New Roman"/>
                      <w:kern w:val="0"/>
                      <w:sz w:val="21"/>
                      <w:szCs w:val="21"/>
                      <w:vertAlign w:val="baseline"/>
                      <w:lang w:val="en-US" w:eastAsia="zh-CN"/>
                    </w:rPr>
                    <w:t>。</w:t>
                  </w:r>
                </w:p>
              </w:tc>
              <w:tc>
                <w:tcPr>
                  <w:tcW w:w="268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本项目</w:t>
                  </w:r>
                  <w:r>
                    <w:rPr>
                      <w:rFonts w:hint="eastAsia" w:cs="Times New Roman"/>
                      <w:kern w:val="0"/>
                      <w:sz w:val="21"/>
                      <w:szCs w:val="21"/>
                      <w:vertAlign w:val="baseline"/>
                      <w:lang w:val="en-US" w:eastAsia="zh-CN"/>
                    </w:rPr>
                    <w:t>堆存</w:t>
                  </w:r>
                  <w:r>
                    <w:rPr>
                      <w:rFonts w:hint="eastAsia" w:ascii="Times New Roman" w:hAnsi="Times New Roman" w:eastAsia="宋体" w:cs="Times New Roman"/>
                      <w:kern w:val="0"/>
                      <w:sz w:val="21"/>
                      <w:szCs w:val="21"/>
                      <w:vertAlign w:val="baseline"/>
                      <w:lang w:val="en-US" w:eastAsia="zh-CN"/>
                    </w:rPr>
                    <w:t>物非工业固体废物、危险废物，不涉及生态保护红线区域和其他需要特别保护的区域，项目为建筑垃圾暂存场，对于项目周边的农田，有完善的防范措施。</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9"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第六十条：国家鼓励采用先进技术、工艺、设备和管理措施，推进建筑垃圾源头减量，建立建筑垃圾回收利用体系。</w:t>
                  </w:r>
                </w:p>
              </w:tc>
              <w:tc>
                <w:tcPr>
                  <w:tcW w:w="268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本项目</w:t>
                  </w:r>
                  <w:r>
                    <w:rPr>
                      <w:rFonts w:hint="eastAsia" w:cs="Times New Roman"/>
                      <w:kern w:val="0"/>
                      <w:sz w:val="21"/>
                      <w:szCs w:val="21"/>
                      <w:vertAlign w:val="baseline"/>
                      <w:lang w:val="en-US" w:eastAsia="zh-CN"/>
                    </w:rPr>
                    <w:t>堆存</w:t>
                  </w:r>
                  <w:r>
                    <w:rPr>
                      <w:rFonts w:hint="eastAsia" w:ascii="Times New Roman" w:hAnsi="Times New Roman" w:eastAsia="宋体" w:cs="Times New Roman"/>
                      <w:kern w:val="0"/>
                      <w:sz w:val="21"/>
                      <w:szCs w:val="21"/>
                      <w:vertAlign w:val="baseline"/>
                      <w:lang w:val="en-US" w:eastAsia="zh-CN"/>
                    </w:rPr>
                    <w:t>物属于建筑垃圾，建筑垃圾进场后，无法利用部分运至处理场进行</w:t>
                  </w:r>
                  <w:r>
                    <w:rPr>
                      <w:rFonts w:hint="eastAsia" w:cs="Times New Roman"/>
                      <w:kern w:val="0"/>
                      <w:sz w:val="21"/>
                      <w:szCs w:val="21"/>
                      <w:vertAlign w:val="baseline"/>
                      <w:lang w:val="en-US" w:eastAsia="zh-CN"/>
                    </w:rPr>
                    <w:t>堆存</w:t>
                  </w:r>
                  <w:r>
                    <w:rPr>
                      <w:rFonts w:hint="eastAsia" w:ascii="Times New Roman" w:hAnsi="Times New Roman" w:eastAsia="宋体" w:cs="Times New Roman"/>
                      <w:kern w:val="0"/>
                      <w:sz w:val="21"/>
                      <w:szCs w:val="21"/>
                      <w:vertAlign w:val="baseline"/>
                      <w:lang w:val="en-US" w:eastAsia="zh-CN"/>
                    </w:rPr>
                    <w:t>处置。</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9" w:type="dxa"/>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第六十二条：县级以上地方人民政府环境卫生主管部门负责建筑垃圾污染环境防治工作，建立建筑垃圾全过程管理制度，规范建筑垃圾产生、收集、贮存、运输、利用、处置行为，推进综合利用，加强建筑垃圾处置设施、场所建设，保障处置安全，防止污染环境。</w:t>
                  </w:r>
                </w:p>
              </w:tc>
              <w:tc>
                <w:tcPr>
                  <w:tcW w:w="2681"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七台河市住建局经与七台河市政府及有关部门在实地踏勘调研，项目实施后可实现对建筑垃圾处理后固废进行管理，做到规范建筑垃圾贮存处置行为，加强建筑垃圾处置设施、场所建设，保障处置安全，防止污染环境。</w:t>
                  </w:r>
                </w:p>
              </w:tc>
              <w:tc>
                <w:tcPr>
                  <w:tcW w:w="752"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b/>
                <w:bCs/>
                <w:kern w:val="0"/>
                <w:sz w:val="24"/>
                <w:szCs w:val="24"/>
                <w:lang w:val="en-US" w:eastAsia="zh-CN"/>
              </w:rPr>
              <w:t>5 与《建筑垃圾处理技术标准》（CJJ/T34-2019）的符合性分析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本项目</w:t>
            </w:r>
            <w:r>
              <w:rPr>
                <w:rFonts w:hint="default" w:ascii="Times New Roman" w:hAnsi="Times New Roman" w:eastAsia="宋体" w:cs="Times New Roman"/>
                <w:kern w:val="0"/>
                <w:sz w:val="24"/>
                <w:szCs w:val="24"/>
                <w:lang w:val="en-US" w:eastAsia="zh-CN"/>
              </w:rPr>
              <w:t>建设基本符合《建筑垃圾处理技术标准》（CJJ/T34-2019）中的处理</w:t>
            </w:r>
            <w:r>
              <w:rPr>
                <w:rFonts w:hint="eastAsia" w:ascii="Times New Roman" w:hAnsi="Times New Roman" w:eastAsia="宋体" w:cs="Times New Roman"/>
                <w:kern w:val="0"/>
                <w:sz w:val="24"/>
                <w:szCs w:val="24"/>
                <w:lang w:val="en-US" w:eastAsia="zh-CN"/>
              </w:rPr>
              <w:t>技术</w:t>
            </w:r>
            <w:r>
              <w:rPr>
                <w:rFonts w:hint="default" w:ascii="Times New Roman" w:hAnsi="Times New Roman" w:eastAsia="宋体" w:cs="Times New Roman"/>
                <w:kern w:val="0"/>
                <w:sz w:val="24"/>
                <w:szCs w:val="24"/>
                <w:lang w:val="en-US" w:eastAsia="zh-CN"/>
              </w:rPr>
              <w:t>要求，具体分析情况如下表所示。</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kern w:val="0"/>
                <w:sz w:val="21"/>
                <w:szCs w:val="21"/>
                <w:highlight w:val="yellow"/>
                <w:lang w:val="en-US" w:eastAsia="zh-CN"/>
              </w:rPr>
            </w:pPr>
            <w:r>
              <w:rPr>
                <w:rFonts w:hint="eastAsia" w:ascii="Times New Roman" w:hAnsi="Times New Roman" w:eastAsia="宋体" w:cs="Times New Roman"/>
                <w:b/>
                <w:bCs/>
                <w:kern w:val="0"/>
                <w:sz w:val="21"/>
                <w:szCs w:val="21"/>
                <w:highlight w:val="none"/>
                <w:lang w:val="en-US" w:eastAsia="zh-CN"/>
              </w:rPr>
              <w:t>表1-6 项目处理技术情况分析一览表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
              <w:gridCol w:w="2949"/>
              <w:gridCol w:w="2729"/>
              <w:gridCol w:w="7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序号</w:t>
                  </w:r>
                </w:p>
              </w:tc>
              <w:tc>
                <w:tcPr>
                  <w:tcW w:w="2949"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要求</w:t>
                  </w:r>
                </w:p>
              </w:tc>
              <w:tc>
                <w:tcPr>
                  <w:tcW w:w="2729"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本项目情况</w:t>
                  </w:r>
                </w:p>
              </w:tc>
              <w:tc>
                <w:tcPr>
                  <w:tcW w:w="727"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dxa"/>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1</w:t>
                  </w:r>
                </w:p>
              </w:tc>
              <w:tc>
                <w:tcPr>
                  <w:tcW w:w="2949"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建筑垃圾应从源头分类。按照工程渣土、工程泥浆、工程垃圾、拆除垃圾和装修垃圾，应分类收集、分类运输、分类处理处置</w:t>
                  </w:r>
                </w:p>
              </w:tc>
              <w:tc>
                <w:tcPr>
                  <w:tcW w:w="2729"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本项目</w:t>
                  </w:r>
                  <w:r>
                    <w:rPr>
                      <w:rFonts w:hint="eastAsia" w:cs="Times New Roman"/>
                      <w:kern w:val="0"/>
                      <w:sz w:val="21"/>
                      <w:szCs w:val="21"/>
                      <w:vertAlign w:val="baseline"/>
                      <w:lang w:val="en-US" w:eastAsia="zh-CN"/>
                    </w:rPr>
                    <w:t>堆存</w:t>
                  </w:r>
                  <w:r>
                    <w:rPr>
                      <w:rFonts w:hint="eastAsia" w:ascii="Times New Roman" w:hAnsi="Times New Roman" w:eastAsia="宋体" w:cs="Times New Roman"/>
                      <w:kern w:val="0"/>
                      <w:sz w:val="21"/>
                      <w:szCs w:val="21"/>
                      <w:vertAlign w:val="baseline"/>
                      <w:lang w:val="en-US" w:eastAsia="zh-CN"/>
                    </w:rPr>
                    <w:t>建筑垃圾包括建筑施工垃圾、装修垃圾及拆除垃圾等</w:t>
                  </w:r>
                  <w:r>
                    <w:rPr>
                      <w:rFonts w:hint="eastAsia" w:cs="Times New Roman"/>
                      <w:kern w:val="0"/>
                      <w:sz w:val="21"/>
                      <w:szCs w:val="21"/>
                      <w:vertAlign w:val="baseline"/>
                      <w:lang w:val="en-US" w:eastAsia="zh-CN"/>
                    </w:rPr>
                    <w:t>，经分类收集后运输到暂存场，分别进行处理</w:t>
                  </w:r>
                </w:p>
              </w:tc>
              <w:tc>
                <w:tcPr>
                  <w:tcW w:w="727"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2</w:t>
                  </w:r>
                </w:p>
              </w:tc>
              <w:tc>
                <w:tcPr>
                  <w:tcW w:w="294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建筑垃圾收运、处理全过程不得混入生活垃圾、河道疏浚底泥、工业垃圾和危险废物等</w:t>
                  </w:r>
                </w:p>
              </w:tc>
              <w:tc>
                <w:tcPr>
                  <w:tcW w:w="272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项目处理的为建筑垃圾，垃圾中不包括生活垃圾、河道疏浚底泥、工业垃圾和危险废物</w:t>
                  </w:r>
                </w:p>
              </w:tc>
              <w:tc>
                <w:tcPr>
                  <w:tcW w:w="72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3</w:t>
                  </w:r>
                </w:p>
              </w:tc>
              <w:tc>
                <w:tcPr>
                  <w:tcW w:w="294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进场物料粒径宜小于0.3m，大粒径物料宜先进行破碎预处理且</w:t>
                  </w:r>
                  <w:r>
                    <w:rPr>
                      <w:rFonts w:hint="eastAsia" w:ascii="Times New Roman" w:hAnsi="Times New Roman" w:eastAsia="宋体" w:cs="Times New Roman"/>
                      <w:kern w:val="0"/>
                      <w:sz w:val="21"/>
                      <w:szCs w:val="21"/>
                      <w:highlight w:val="none"/>
                      <w:vertAlign w:val="baseline"/>
                      <w:lang w:val="en-US" w:eastAsia="zh-CN"/>
                    </w:rPr>
                    <w:t>级配合理方可填埋处置</w:t>
                  </w:r>
                  <w:r>
                    <w:rPr>
                      <w:rFonts w:hint="eastAsia" w:ascii="Times New Roman" w:hAnsi="Times New Roman" w:eastAsia="宋体" w:cs="Times New Roman"/>
                      <w:kern w:val="0"/>
                      <w:sz w:val="21"/>
                      <w:szCs w:val="21"/>
                      <w:vertAlign w:val="baseline"/>
                      <w:lang w:val="en-US" w:eastAsia="zh-CN"/>
                    </w:rPr>
                    <w:t>，尖锐物宜进行打磨后填埋处理</w:t>
                  </w:r>
                </w:p>
              </w:tc>
              <w:tc>
                <w:tcPr>
                  <w:tcW w:w="272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根据设计资料，工程入场前垃圾粒径均小于0.3m，</w:t>
                  </w:r>
                  <w:r>
                    <w:rPr>
                      <w:rFonts w:hint="eastAsia" w:ascii="Times New Roman" w:hAnsi="Times New Roman" w:eastAsia="宋体" w:cs="Times New Roman"/>
                      <w:color w:val="auto"/>
                      <w:kern w:val="0"/>
                      <w:sz w:val="21"/>
                      <w:szCs w:val="21"/>
                      <w:vertAlign w:val="baseline"/>
                      <w:lang w:val="en-US" w:eastAsia="zh-CN"/>
                    </w:rPr>
                    <w:t>场地不设破碎处理</w:t>
                  </w:r>
                </w:p>
              </w:tc>
              <w:tc>
                <w:tcPr>
                  <w:tcW w:w="72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w:t>
                  </w:r>
                </w:p>
              </w:tc>
              <w:tc>
                <w:tcPr>
                  <w:tcW w:w="294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填埋处置工程应以填埋库区为重点进行布置，填埋库区占地面积宜为总面积的70%~90%，不得小于60%。</w:t>
                  </w:r>
                </w:p>
              </w:tc>
              <w:tc>
                <w:tcPr>
                  <w:tcW w:w="272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项目堆料区总占地面积约</w:t>
                  </w:r>
                  <w:r>
                    <w:rPr>
                      <w:rFonts w:hint="eastAsia" w:ascii="宋体" w:hAnsi="宋体" w:cs="宋体"/>
                      <w:i w:val="0"/>
                      <w:iCs w:val="0"/>
                      <w:color w:val="000000"/>
                      <w:kern w:val="0"/>
                      <w:sz w:val="22"/>
                      <w:szCs w:val="22"/>
                      <w:u w:val="none"/>
                      <w:lang w:val="en-US" w:eastAsia="zh-CN"/>
                    </w:rPr>
                    <w:t>174794.99</w:t>
                  </w:r>
                  <w:r>
                    <w:rPr>
                      <w:rFonts w:hint="eastAsia" w:ascii="Times New Roman" w:hAnsi="Times New Roman" w:eastAsia="宋体" w:cs="Times New Roman"/>
                      <w:color w:val="auto"/>
                      <w:kern w:val="0"/>
                      <w:sz w:val="21"/>
                      <w:szCs w:val="21"/>
                      <w:vertAlign w:val="baseline"/>
                      <w:lang w:val="en-US" w:eastAsia="zh-CN"/>
                    </w:rPr>
                    <w:t>m</w:t>
                  </w:r>
                  <w:r>
                    <w:rPr>
                      <w:rFonts w:hint="eastAsia" w:ascii="Times New Roman" w:hAnsi="Times New Roman" w:eastAsia="宋体" w:cs="Times New Roman"/>
                      <w:color w:val="auto"/>
                      <w:kern w:val="0"/>
                      <w:sz w:val="21"/>
                      <w:szCs w:val="21"/>
                      <w:vertAlign w:val="superscript"/>
                      <w:lang w:val="en-US" w:eastAsia="zh-CN"/>
                    </w:rPr>
                    <w:t>2</w:t>
                  </w:r>
                  <w:r>
                    <w:rPr>
                      <w:rFonts w:hint="eastAsia" w:ascii="Times New Roman" w:hAnsi="Times New Roman" w:eastAsia="宋体" w:cs="Times New Roman"/>
                      <w:color w:val="auto"/>
                      <w:kern w:val="0"/>
                      <w:sz w:val="21"/>
                      <w:szCs w:val="21"/>
                      <w:vertAlign w:val="baseline"/>
                      <w:lang w:val="en-US" w:eastAsia="zh-CN"/>
                    </w:rPr>
                    <w:t>，占总面积的</w:t>
                  </w:r>
                  <w:r>
                    <w:rPr>
                      <w:rFonts w:hint="eastAsia" w:ascii="Times New Roman" w:hAnsi="Times New Roman" w:eastAsia="宋体" w:cs="Times New Roman"/>
                      <w:color w:val="auto"/>
                      <w:kern w:val="0"/>
                      <w:sz w:val="21"/>
                      <w:szCs w:val="21"/>
                      <w:highlight w:val="none"/>
                      <w:vertAlign w:val="baseline"/>
                      <w:lang w:val="en-US" w:eastAsia="zh-CN"/>
                    </w:rPr>
                    <w:t>90%</w:t>
                  </w:r>
                </w:p>
              </w:tc>
              <w:tc>
                <w:tcPr>
                  <w:tcW w:w="72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w:t>
                  </w:r>
                </w:p>
              </w:tc>
              <w:tc>
                <w:tcPr>
                  <w:tcW w:w="294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建筑垃圾运输宜采用密闭厢式车辆，运输工具应容貌整洁、标志齐全，车厢、集装箱、车辆底盘、车轮无大块泥沙等附着物</w:t>
                  </w:r>
                </w:p>
              </w:tc>
              <w:tc>
                <w:tcPr>
                  <w:tcW w:w="272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工程车辆运输过程中严格限制超载，车辆加盖苫布，减速慢行，同时对场内道路进行混凝土硬化，出口设置洗车平台</w:t>
                  </w:r>
                </w:p>
              </w:tc>
              <w:tc>
                <w:tcPr>
                  <w:tcW w:w="72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w:t>
                  </w:r>
                </w:p>
              </w:tc>
              <w:tc>
                <w:tcPr>
                  <w:tcW w:w="294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当天然基础层饱和渗透系数小于1.0×10</w:t>
                  </w:r>
                  <w:r>
                    <w:rPr>
                      <w:rFonts w:hint="eastAsia" w:ascii="Times New Roman" w:hAnsi="Times New Roman" w:eastAsia="宋体" w:cs="Times New Roman"/>
                      <w:kern w:val="0"/>
                      <w:sz w:val="21"/>
                      <w:szCs w:val="21"/>
                      <w:vertAlign w:val="superscript"/>
                      <w:lang w:val="en-US" w:eastAsia="zh-CN"/>
                    </w:rPr>
                    <w:t>-7</w:t>
                  </w:r>
                  <w:r>
                    <w:rPr>
                      <w:rFonts w:hint="eastAsia" w:ascii="Times New Roman" w:hAnsi="Times New Roman" w:eastAsia="宋体" w:cs="Times New Roman"/>
                      <w:kern w:val="0"/>
                      <w:sz w:val="21"/>
                      <w:szCs w:val="21"/>
                      <w:vertAlign w:val="baseline"/>
                      <w:lang w:val="en-US" w:eastAsia="zh-CN"/>
                    </w:rPr>
                    <w:t>cm/s，且场地及四壁衬里厚度不小于2m时，可采用天然黏土类衬里为防渗结构</w:t>
                  </w:r>
                </w:p>
              </w:tc>
              <w:tc>
                <w:tcPr>
                  <w:tcW w:w="272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库区的防渗系数达不到国家规定的天然黏土类衬里的防渗要求，需要采用人工防渗措施。工程采取以1.5mm厚HDPE防渗膜为主的水平防渗与侧壁防渗相结合的防渗结构</w:t>
                  </w:r>
                </w:p>
              </w:tc>
              <w:tc>
                <w:tcPr>
                  <w:tcW w:w="72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dxa"/>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7</w:t>
                  </w:r>
                </w:p>
              </w:tc>
              <w:tc>
                <w:tcPr>
                  <w:tcW w:w="2949"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填埋处置工程应包括计量设施、预处理系统、垃圾坝、地基处理、防渗系统、防洪及雨污分流系统、地下水导排系统、污水收集与处理系统、场区道路、封场工程</w:t>
                  </w:r>
                  <w:r>
                    <w:rPr>
                      <w:rFonts w:hint="eastAsia" w:ascii="Times New Roman" w:hAnsi="Times New Roman" w:eastAsia="宋体" w:cs="Times New Roman"/>
                      <w:kern w:val="0"/>
                      <w:sz w:val="21"/>
                      <w:szCs w:val="21"/>
                      <w:highlight w:val="none"/>
                      <w:vertAlign w:val="baseline"/>
                      <w:lang w:val="en-US" w:eastAsia="zh-CN"/>
                    </w:rPr>
                    <w:t>及监测井</w:t>
                  </w:r>
                  <w:r>
                    <w:rPr>
                      <w:rFonts w:hint="eastAsia" w:ascii="Times New Roman" w:hAnsi="Times New Roman" w:eastAsia="宋体" w:cs="Times New Roman"/>
                      <w:kern w:val="0"/>
                      <w:sz w:val="21"/>
                      <w:szCs w:val="21"/>
                      <w:vertAlign w:val="baseline"/>
                      <w:lang w:val="en-US" w:eastAsia="zh-CN"/>
                    </w:rPr>
                    <w:t>等</w:t>
                  </w:r>
                </w:p>
              </w:tc>
              <w:tc>
                <w:tcPr>
                  <w:tcW w:w="2729"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工程设计为计量设施、预处理系统（人工分拣）、挡土坝、地基处理、防渗系统、防洪及雨污分流系统、地下水导排系统、污水收集与处理系统、场区道路、封场工程</w:t>
                  </w:r>
                  <w:r>
                    <w:rPr>
                      <w:rFonts w:hint="eastAsia" w:ascii="Times New Roman" w:hAnsi="Times New Roman" w:eastAsia="宋体" w:cs="Times New Roman"/>
                      <w:kern w:val="0"/>
                      <w:sz w:val="21"/>
                      <w:szCs w:val="21"/>
                      <w:highlight w:val="none"/>
                      <w:vertAlign w:val="baseline"/>
                      <w:lang w:val="en-US" w:eastAsia="zh-CN"/>
                    </w:rPr>
                    <w:t>及监测井</w:t>
                  </w:r>
                  <w:r>
                    <w:rPr>
                      <w:rFonts w:hint="eastAsia" w:ascii="Times New Roman" w:hAnsi="Times New Roman" w:eastAsia="宋体" w:cs="Times New Roman"/>
                      <w:kern w:val="0"/>
                      <w:sz w:val="21"/>
                      <w:szCs w:val="21"/>
                      <w:vertAlign w:val="baseline"/>
                      <w:lang w:val="en-US" w:eastAsia="zh-CN"/>
                    </w:rPr>
                    <w:t>等</w:t>
                  </w:r>
                </w:p>
              </w:tc>
              <w:tc>
                <w:tcPr>
                  <w:tcW w:w="727"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宋体"/>
                <w:b/>
                <w:bCs/>
                <w:kern w:val="0"/>
                <w:sz w:val="24"/>
                <w:szCs w:val="21"/>
                <w:lang w:val="en-US" w:eastAsia="zh-CN"/>
              </w:rPr>
            </w:pPr>
          </w:p>
        </w:tc>
      </w:tr>
    </w:tbl>
    <w:p>
      <w:pPr>
        <w:spacing w:line="360" w:lineRule="auto"/>
        <w:outlineLvl w:val="9"/>
        <w:rPr>
          <w:rFonts w:eastAsia="黑体"/>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8"/>
        <w:jc w:val="center"/>
        <w:outlineLvl w:val="0"/>
        <w:rPr>
          <w:rFonts w:ascii="黑体" w:hAnsi="黑体" w:eastAsia="黑体"/>
          <w:snapToGrid w:val="0"/>
          <w:sz w:val="30"/>
          <w:szCs w:val="30"/>
        </w:rPr>
      </w:pPr>
      <w:bookmarkStart w:id="6" w:name="_Toc13079"/>
      <w:r>
        <w:rPr>
          <w:rFonts w:hint="eastAsia" w:ascii="黑体" w:hAnsi="黑体" w:eastAsia="黑体"/>
          <w:snapToGrid w:val="0"/>
          <w:sz w:val="30"/>
          <w:szCs w:val="30"/>
        </w:rPr>
        <w:t>二、建设项目工程分析</w:t>
      </w:r>
      <w:bookmarkEnd w:id="6"/>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23" w:type="dxa"/>
            <w:vAlign w:val="center"/>
          </w:tcPr>
          <w:p>
            <w:pPr>
              <w:pStyle w:val="18"/>
              <w:adjustRightInd w:val="0"/>
              <w:snapToGrid w:val="0"/>
              <w:spacing w:before="0" w:beforeAutospacing="0" w:after="0" w:afterAutospacing="0"/>
              <w:jc w:val="center"/>
              <w:rPr>
                <w:rFonts w:ascii="Times New Roman" w:hAnsi="Times New Roman" w:cs="宋体"/>
                <w:sz w:val="24"/>
                <w:szCs w:val="21"/>
              </w:rPr>
            </w:pPr>
            <w:r>
              <w:rPr>
                <w:rFonts w:hint="eastAsia" w:ascii="Times New Roman" w:hAnsi="Times New Roman" w:cs="宋体"/>
                <w:sz w:val="24"/>
                <w:szCs w:val="21"/>
              </w:rPr>
              <w:t>建设内容</w:t>
            </w:r>
          </w:p>
        </w:tc>
        <w:tc>
          <w:tcPr>
            <w:tcW w:w="8161" w:type="dxa"/>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1 项目背景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8"/>
                <w:highlight w:val="none"/>
              </w:rPr>
            </w:pPr>
            <w:bookmarkStart w:id="7" w:name="_Toc10213188"/>
            <w:r>
              <w:rPr>
                <w:rFonts w:hint="eastAsia" w:ascii="Times New Roman" w:hAnsi="Times New Roman" w:cs="宋体"/>
                <w:color w:val="auto"/>
                <w:kern w:val="0"/>
                <w:sz w:val="24"/>
                <w:szCs w:val="28"/>
                <w:highlight w:val="none"/>
              </w:rPr>
              <w:t>国家</w:t>
            </w:r>
            <w:r>
              <w:rPr>
                <w:rFonts w:hint="eastAsia" w:ascii="Times New Roman" w:hAnsi="Times New Roman" w:cs="宋体"/>
                <w:color w:val="auto"/>
                <w:kern w:val="0"/>
                <w:sz w:val="24"/>
                <w:szCs w:val="28"/>
                <w:highlight w:val="none"/>
                <w:lang w:eastAsia="zh-CN"/>
              </w:rPr>
              <w:t>“</w:t>
            </w:r>
            <w:r>
              <w:rPr>
                <w:rFonts w:hint="eastAsia" w:ascii="Times New Roman" w:hAnsi="Times New Roman" w:cs="宋体"/>
                <w:color w:val="auto"/>
                <w:kern w:val="0"/>
                <w:sz w:val="24"/>
                <w:szCs w:val="28"/>
                <w:highlight w:val="none"/>
              </w:rPr>
              <w:t>十</w:t>
            </w:r>
            <w:r>
              <w:rPr>
                <w:rFonts w:hint="eastAsia" w:ascii="Times New Roman" w:hAnsi="Times New Roman" w:cs="宋体"/>
                <w:color w:val="auto"/>
                <w:kern w:val="0"/>
                <w:sz w:val="24"/>
                <w:szCs w:val="28"/>
                <w:highlight w:val="none"/>
                <w:lang w:val="en-US" w:eastAsia="zh-CN"/>
              </w:rPr>
              <w:t>四</w:t>
            </w:r>
            <w:r>
              <w:rPr>
                <w:rFonts w:hint="eastAsia" w:ascii="Times New Roman" w:hAnsi="Times New Roman" w:cs="宋体"/>
                <w:color w:val="auto"/>
                <w:kern w:val="0"/>
                <w:sz w:val="24"/>
                <w:szCs w:val="28"/>
                <w:highlight w:val="none"/>
              </w:rPr>
              <w:t>五</w:t>
            </w:r>
            <w:r>
              <w:rPr>
                <w:rFonts w:hint="eastAsia" w:ascii="Times New Roman" w:hAnsi="Times New Roman" w:cs="宋体"/>
                <w:color w:val="auto"/>
                <w:kern w:val="0"/>
                <w:sz w:val="24"/>
                <w:szCs w:val="28"/>
                <w:highlight w:val="none"/>
                <w:lang w:eastAsia="zh-CN"/>
              </w:rPr>
              <w:t>”</w:t>
            </w:r>
            <w:r>
              <w:rPr>
                <w:rFonts w:hint="eastAsia" w:ascii="Times New Roman" w:hAnsi="Times New Roman" w:cs="宋体"/>
                <w:color w:val="auto"/>
                <w:kern w:val="0"/>
                <w:sz w:val="24"/>
                <w:szCs w:val="28"/>
                <w:highlight w:val="none"/>
              </w:rPr>
              <w:t>规划中</w:t>
            </w:r>
            <w:r>
              <w:rPr>
                <w:rFonts w:hint="eastAsia" w:ascii="Times New Roman" w:hAnsi="Times New Roman" w:cs="宋体"/>
                <w:color w:val="auto"/>
                <w:kern w:val="0"/>
                <w:sz w:val="24"/>
                <w:szCs w:val="28"/>
                <w:highlight w:val="none"/>
                <w:lang w:val="en-US" w:eastAsia="zh-CN"/>
              </w:rPr>
              <w:t>第十一篇，第三十八章的第二节</w:t>
            </w:r>
            <w:r>
              <w:rPr>
                <w:rFonts w:hint="eastAsia" w:ascii="Times New Roman" w:hAnsi="Times New Roman" w:eastAsia="宋体" w:cs="宋体"/>
                <w:color w:val="auto"/>
                <w:kern w:val="0"/>
                <w:sz w:val="24"/>
                <w:szCs w:val="28"/>
                <w:highlight w:val="none"/>
                <w:lang w:val="en-US" w:eastAsia="zh-CN"/>
              </w:rPr>
              <w:t>：</w:t>
            </w:r>
            <w:r>
              <w:rPr>
                <w:rFonts w:hint="eastAsia" w:ascii="Times New Roman" w:hAnsi="Times New Roman" w:eastAsia="宋体" w:cs="宋体"/>
                <w:i w:val="0"/>
                <w:iCs w:val="0"/>
                <w:caps w:val="0"/>
                <w:color w:val="auto"/>
                <w:spacing w:val="0"/>
                <w:sz w:val="24"/>
                <w:szCs w:val="24"/>
                <w:shd w:val="clear" w:color="auto" w:fill="FFFFFF"/>
              </w:rPr>
              <w:t>构建集污水、垃圾、固废、危废、医废处理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建设分类投放、分类收集、分类运输、分类处理的生活垃圾处理系统。以主要产业基地为重点布局危险废弃物集中利用处置设施。加快建设地级及以上城市医疗废弃物集中处理设施，健全县域医疗废弃物收集转运处置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color w:val="auto"/>
                <w:kern w:val="0"/>
                <w:sz w:val="24"/>
                <w:szCs w:val="28"/>
                <w:highlight w:val="none"/>
              </w:rPr>
            </w:pPr>
            <w:r>
              <w:rPr>
                <w:rFonts w:hint="eastAsia" w:ascii="Times New Roman" w:hAnsi="Times New Roman" w:cs="宋体"/>
                <w:color w:val="auto"/>
                <w:kern w:val="0"/>
                <w:sz w:val="24"/>
                <w:szCs w:val="28"/>
                <w:highlight w:val="none"/>
              </w:rPr>
              <w:t>近些年，</w:t>
            </w:r>
            <w:r>
              <w:rPr>
                <w:rFonts w:hint="eastAsia" w:ascii="Times New Roman" w:hAnsi="Times New Roman" w:cs="宋体"/>
                <w:color w:val="auto"/>
                <w:kern w:val="0"/>
                <w:sz w:val="24"/>
                <w:szCs w:val="28"/>
                <w:highlight w:val="none"/>
                <w:lang w:val="en-US" w:eastAsia="zh-CN"/>
              </w:rPr>
              <w:t>七台河市</w:t>
            </w:r>
            <w:r>
              <w:rPr>
                <w:rFonts w:hint="eastAsia" w:ascii="Times New Roman" w:hAnsi="Times New Roman" w:cs="宋体"/>
                <w:color w:val="auto"/>
                <w:kern w:val="0"/>
                <w:sz w:val="24"/>
                <w:szCs w:val="28"/>
                <w:highlight w:val="none"/>
              </w:rPr>
              <w:t>中心城区的城市建设发展迅速，人民生活水平不断提高，城市人口逐渐增加，拆迁和建设的过程中产生建筑垃圾也逐年增多。建筑垃圾未经无害化处理，裸露堆置，致使其中有害成分对周围大气、水体、土壤造成严重污染，不仅破坏了城市及周边地区的生态环境、影响了城市的整体形象，而且严重危害了人民群众的身体健康，不利于城镇的可持续发展。建筑垃圾是放错地方的资源，未充分利用现有资源。对此，七台河市政府十分重视，为解决建筑垃圾的污染问题、改善城市环境，</w:t>
            </w:r>
            <w:r>
              <w:rPr>
                <w:rFonts w:hint="eastAsia" w:ascii="Times New Roman" w:hAnsi="Times New Roman" w:cs="宋体"/>
                <w:color w:val="auto"/>
                <w:kern w:val="0"/>
                <w:sz w:val="24"/>
                <w:szCs w:val="28"/>
                <w:highlight w:val="none"/>
                <w:lang w:val="en-US" w:eastAsia="zh-CN"/>
              </w:rPr>
              <w:t>提出建设</w:t>
            </w:r>
            <w:r>
              <w:rPr>
                <w:rFonts w:hint="eastAsia" w:ascii="Times New Roman" w:hAnsi="Times New Roman" w:cs="宋体"/>
                <w:color w:val="auto"/>
                <w:kern w:val="0"/>
                <w:sz w:val="24"/>
                <w:szCs w:val="28"/>
                <w:highlight w:val="none"/>
              </w:rPr>
              <w:t>七台河市建筑垃圾资源化综合利用项目</w:t>
            </w:r>
            <w:r>
              <w:rPr>
                <w:rFonts w:hint="eastAsia" w:ascii="Times New Roman" w:hAnsi="Times New Roman" w:cs="宋体"/>
                <w:color w:val="auto"/>
                <w:kern w:val="0"/>
                <w:sz w:val="24"/>
                <w:szCs w:val="28"/>
                <w:highlight w:val="none"/>
                <w:lang w:eastAsia="zh-CN"/>
              </w:rPr>
              <w:t>，</w:t>
            </w:r>
            <w:r>
              <w:rPr>
                <w:rFonts w:hint="eastAsia" w:ascii="Times New Roman" w:hAnsi="Times New Roman" w:cs="宋体"/>
                <w:color w:val="auto"/>
                <w:kern w:val="0"/>
                <w:sz w:val="24"/>
                <w:szCs w:val="28"/>
                <w:highlight w:val="none"/>
              </w:rPr>
              <w:t>该项目建</w:t>
            </w:r>
            <w:r>
              <w:rPr>
                <w:rFonts w:hint="eastAsia" w:ascii="Times New Roman" w:hAnsi="Times New Roman" w:cs="宋体"/>
                <w:color w:val="auto"/>
                <w:kern w:val="0"/>
                <w:sz w:val="24"/>
                <w:szCs w:val="28"/>
                <w:highlight w:val="none"/>
                <w:lang w:val="en-US" w:eastAsia="zh-CN"/>
              </w:rPr>
              <w:t>成之前，城市</w:t>
            </w:r>
            <w:r>
              <w:rPr>
                <w:rFonts w:hint="eastAsia" w:ascii="Times New Roman" w:hAnsi="Times New Roman" w:cs="宋体"/>
                <w:color w:val="auto"/>
                <w:kern w:val="0"/>
                <w:sz w:val="24"/>
                <w:szCs w:val="28"/>
                <w:highlight w:val="none"/>
              </w:rPr>
              <w:t>建筑垃圾仍需进行暂存。</w:t>
            </w:r>
          </w:p>
          <w:bookmarkEnd w:id="7"/>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olor w:val="auto"/>
                <w:sz w:val="24"/>
                <w:highlight w:val="none"/>
                <w:lang w:val="en-US"/>
              </w:rPr>
            </w:pPr>
            <w:r>
              <w:rPr>
                <w:rFonts w:hint="eastAsia" w:ascii="Times New Roman" w:hAnsi="Times New Roman" w:cs="宋体"/>
                <w:color w:val="auto"/>
                <w:kern w:val="0"/>
                <w:sz w:val="24"/>
                <w:szCs w:val="28"/>
                <w:highlight w:val="none"/>
                <w:lang w:val="en-US" w:eastAsia="zh-CN"/>
              </w:rPr>
              <w:t>本</w:t>
            </w:r>
            <w:r>
              <w:rPr>
                <w:rFonts w:hint="eastAsia" w:ascii="Times New Roman" w:hAnsi="Times New Roman" w:cs="宋体"/>
                <w:color w:val="auto"/>
                <w:kern w:val="0"/>
                <w:sz w:val="24"/>
                <w:szCs w:val="28"/>
                <w:highlight w:val="none"/>
                <w:lang w:eastAsia="zh-CN"/>
              </w:rPr>
              <w:t>项目即</w:t>
            </w:r>
            <w:r>
              <w:rPr>
                <w:rFonts w:hint="eastAsia" w:ascii="Times New Roman" w:hAnsi="Times New Roman" w:cs="宋体"/>
                <w:color w:val="auto"/>
                <w:kern w:val="0"/>
                <w:sz w:val="24"/>
                <w:szCs w:val="28"/>
                <w:highlight w:val="none"/>
                <w:lang w:val="en-US" w:eastAsia="zh-CN"/>
              </w:rPr>
              <w:t>是</w:t>
            </w:r>
            <w:r>
              <w:rPr>
                <w:rFonts w:hint="eastAsia" w:ascii="Times New Roman" w:hAnsi="Times New Roman" w:cs="宋体"/>
                <w:color w:val="auto"/>
                <w:kern w:val="0"/>
                <w:sz w:val="24"/>
                <w:szCs w:val="28"/>
                <w:highlight w:val="none"/>
                <w:lang w:eastAsia="zh-CN"/>
              </w:rPr>
              <w:t>在以上背景下提出</w:t>
            </w:r>
            <w:r>
              <w:rPr>
                <w:rFonts w:hint="eastAsia" w:cs="宋体"/>
                <w:color w:val="auto"/>
                <w:kern w:val="0"/>
                <w:sz w:val="24"/>
                <w:szCs w:val="28"/>
                <w:highlight w:val="none"/>
                <w:lang w:eastAsia="zh-CN"/>
              </w:rPr>
              <w:t>，</w:t>
            </w:r>
            <w:r>
              <w:rPr>
                <w:rFonts w:hint="eastAsia" w:cs="宋体"/>
                <w:color w:val="auto"/>
                <w:kern w:val="0"/>
                <w:sz w:val="24"/>
                <w:szCs w:val="28"/>
                <w:highlight w:val="none"/>
                <w:lang w:val="en-US" w:eastAsia="zh-CN"/>
              </w:rPr>
              <w:t>以防止建设工程结束后的乱堆乱放，规范建筑垃圾的堆存管理。</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 项目建设内容</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2.1 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项目名称：</w:t>
            </w:r>
            <w:r>
              <w:rPr>
                <w:rFonts w:hint="eastAsia" w:ascii="Times New Roman" w:hAnsi="Times New Roman"/>
                <w:color w:val="auto"/>
                <w:kern w:val="28"/>
                <w:sz w:val="24"/>
                <w:highlight w:val="none"/>
                <w:lang w:eastAsia="zh-CN"/>
              </w:rPr>
              <w:t>黑龙江省七台河市建筑垃圾暂存场项目</w:t>
            </w:r>
            <w:r>
              <w:rPr>
                <w:rFonts w:hint="eastAsia" w:ascii="Times New Roman" w:hAnsi="Times New Roman" w:cs="Times New Roman"/>
                <w:bCs/>
                <w:sz w:val="24"/>
                <w:szCs w:val="24"/>
                <w:lang w:val="en-US" w:eastAsia="zh-CN"/>
              </w:rPr>
              <w:t>；</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建设单位：</w:t>
            </w:r>
            <w:r>
              <w:rPr>
                <w:rFonts w:hint="eastAsia" w:ascii="宋体" w:hAnsi="宋体"/>
                <w:color w:val="auto"/>
                <w:kern w:val="28"/>
                <w:sz w:val="24"/>
                <w:szCs w:val="24"/>
                <w:highlight w:val="none"/>
                <w:lang w:eastAsia="zh-CN"/>
              </w:rPr>
              <w:t>七台河市市容环境卫生事业发展中心</w:t>
            </w:r>
            <w:r>
              <w:rPr>
                <w:rFonts w:hint="eastAsia" w:ascii="Times New Roman" w:hAnsi="Times New Roman" w:cs="Times New Roman"/>
                <w:bCs/>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建设性质：新建；</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建设地点：</w:t>
            </w:r>
            <w:r>
              <w:rPr>
                <w:rFonts w:hint="eastAsia" w:ascii="宋体" w:hAnsi="宋体"/>
                <w:color w:val="auto"/>
                <w:kern w:val="28"/>
                <w:sz w:val="24"/>
                <w:szCs w:val="24"/>
                <w:highlight w:val="none"/>
                <w:lang w:val="en-US" w:eastAsia="zh-CN"/>
              </w:rPr>
              <w:t>本项目建设地点位于七台河市老三中校址处，占地面积194216平方米</w:t>
            </w:r>
            <w:r>
              <w:rPr>
                <w:rFonts w:hint="eastAsia" w:ascii="Times New Roman" w:hAnsi="Times New Roman" w:cs="Times New Roman"/>
                <w:bCs/>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建设内容及规模：本工程为七台河市建筑垃圾暂存场建设项目，本项目新建建筑垃圾暂存场、堆料区、管理站及附属设施建设，项目区总占地面积194216m</w:t>
            </w:r>
            <w:r>
              <w:rPr>
                <w:rFonts w:hint="eastAsia" w:ascii="Times New Roman" w:hAnsi="Times New Roman" w:cs="Times New Roman"/>
                <w:bCs/>
                <w:color w:val="auto"/>
                <w:sz w:val="24"/>
                <w:szCs w:val="24"/>
                <w:vertAlign w:val="superscript"/>
                <w:lang w:val="en-US" w:eastAsia="zh-CN"/>
              </w:rPr>
              <w:t>2</w:t>
            </w:r>
            <w:r>
              <w:rPr>
                <w:rFonts w:hint="eastAsia" w:ascii="Times New Roman" w:hAnsi="Times New Roman" w:cs="Times New Roman"/>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highlight w:val="yellow"/>
                <w:lang w:val="en-US" w:eastAsia="zh-CN"/>
              </w:rPr>
            </w:pPr>
            <w:r>
              <w:rPr>
                <w:rFonts w:hint="default" w:ascii="Times New Roman" w:hAnsi="Times New Roman" w:cs="Times New Roman"/>
                <w:bCs/>
                <w:color w:val="auto"/>
                <w:sz w:val="24"/>
                <w:szCs w:val="24"/>
                <w:lang w:val="en-US" w:eastAsia="zh-CN"/>
              </w:rPr>
              <w:t>建筑垃圾</w:t>
            </w:r>
            <w:r>
              <w:rPr>
                <w:rFonts w:hint="eastAsia" w:ascii="Times New Roman" w:hAnsi="Times New Roman" w:cs="Times New Roman"/>
                <w:bCs/>
                <w:color w:val="auto"/>
                <w:sz w:val="24"/>
                <w:szCs w:val="24"/>
                <w:lang w:val="en-US" w:eastAsia="zh-CN"/>
              </w:rPr>
              <w:t>暂存场</w:t>
            </w:r>
            <w:r>
              <w:rPr>
                <w:rFonts w:hint="default" w:ascii="Times New Roman" w:hAnsi="Times New Roman" w:cs="Times New Roman"/>
                <w:bCs/>
                <w:color w:val="auto"/>
                <w:sz w:val="24"/>
                <w:szCs w:val="24"/>
                <w:lang w:val="en-US" w:eastAsia="zh-CN"/>
              </w:rPr>
              <w:t>：日处理量为</w:t>
            </w:r>
            <w:r>
              <w:rPr>
                <w:rFonts w:hint="eastAsia" w:ascii="Times New Roman" w:hAnsi="Times New Roman" w:cs="Times New Roman"/>
                <w:bCs/>
                <w:color w:val="auto"/>
                <w:sz w:val="24"/>
                <w:szCs w:val="24"/>
                <w:lang w:val="en-US" w:eastAsia="zh-CN"/>
              </w:rPr>
              <w:t>1030t</w:t>
            </w:r>
            <w:r>
              <w:rPr>
                <w:rFonts w:hint="default" w:ascii="Times New Roman" w:hAnsi="Times New Roman" w:cs="Times New Roman"/>
                <w:bCs/>
                <w:color w:val="auto"/>
                <w:sz w:val="24"/>
                <w:szCs w:val="24"/>
                <w:lang w:val="en-US" w:eastAsia="zh-CN"/>
              </w:rPr>
              <w:t>，</w:t>
            </w:r>
            <w:r>
              <w:rPr>
                <w:rFonts w:hint="eastAsia" w:ascii="Times New Roman" w:hAnsi="Times New Roman" w:cs="Times New Roman"/>
                <w:bCs/>
                <w:color w:val="auto"/>
                <w:sz w:val="24"/>
                <w:szCs w:val="24"/>
                <w:lang w:val="en-US" w:eastAsia="zh-CN"/>
              </w:rPr>
              <w:t>设计服务年限为4年（2024年到2028年）。</w:t>
            </w:r>
            <w:r>
              <w:rPr>
                <w:rFonts w:hint="eastAsia" w:ascii="Times New Roman" w:hAnsi="Times New Roman" w:eastAsia="宋体" w:cs="宋体"/>
                <w:color w:val="auto"/>
                <w:sz w:val="24"/>
                <w:szCs w:val="28"/>
                <w:highlight w:val="none"/>
              </w:rPr>
              <w:t>根据</w:t>
            </w:r>
            <w:r>
              <w:rPr>
                <w:rFonts w:hint="eastAsia" w:ascii="Times New Roman" w:hAnsi="Times New Roman" w:eastAsia="宋体" w:cs="宋体"/>
                <w:color w:val="auto"/>
                <w:sz w:val="24"/>
                <w:szCs w:val="28"/>
                <w:highlight w:val="none"/>
                <w:lang w:eastAsia="zh-CN"/>
              </w:rPr>
              <w:t>七台河市市容环境卫生事业发展中心</w:t>
            </w:r>
            <w:r>
              <w:rPr>
                <w:rFonts w:hint="eastAsia" w:ascii="Times New Roman" w:hAnsi="Times New Roman" w:eastAsia="宋体" w:cs="宋体"/>
                <w:color w:val="auto"/>
                <w:sz w:val="24"/>
                <w:szCs w:val="28"/>
                <w:highlight w:val="none"/>
              </w:rPr>
              <w:t>提供的资料，本项目建筑垃圾容重为1.2t/m</w:t>
            </w:r>
            <w:r>
              <w:rPr>
                <w:rFonts w:hint="eastAsia" w:ascii="Times New Roman" w:hAnsi="Times New Roman" w:eastAsia="宋体" w:cs="宋体"/>
                <w:color w:val="auto"/>
                <w:sz w:val="24"/>
                <w:szCs w:val="28"/>
                <w:highlight w:val="none"/>
                <w:vertAlign w:val="superscript"/>
              </w:rPr>
              <w:t>3</w:t>
            </w:r>
            <w:r>
              <w:rPr>
                <w:rFonts w:hint="eastAsia" w:ascii="Times New Roman" w:hAnsi="Times New Roman" w:eastAsia="宋体" w:cs="宋体"/>
                <w:color w:val="auto"/>
                <w:sz w:val="24"/>
                <w:szCs w:val="28"/>
                <w:highlight w:val="none"/>
                <w:vertAlign w:val="baseline"/>
                <w:lang w:eastAsia="zh-CN"/>
              </w:rPr>
              <w:t>，</w:t>
            </w:r>
            <w:r>
              <w:rPr>
                <w:rFonts w:hint="eastAsia" w:ascii="Times New Roman" w:hAnsi="Times New Roman" w:eastAsia="宋体" w:cs="宋体"/>
                <w:color w:val="auto"/>
                <w:sz w:val="24"/>
                <w:szCs w:val="28"/>
                <w:highlight w:val="none"/>
                <w:vertAlign w:val="baseline"/>
                <w:lang w:val="en-US" w:eastAsia="zh-CN"/>
              </w:rPr>
              <w:t>本项目设计处理规模38万t/a</w:t>
            </w:r>
            <w:r>
              <w:rPr>
                <w:rFonts w:hint="eastAsia" w:ascii="Times New Roman" w:hAnsi="Times New Roman" w:eastAsia="宋体" w:cs="宋体"/>
                <w:color w:val="auto"/>
                <w:sz w:val="24"/>
                <w:szCs w:val="28"/>
                <w:highlight w:val="none"/>
                <w:vertAlign w:val="baseline"/>
                <w:lang w:eastAsia="zh-CN"/>
              </w:rPr>
              <w:t>，</w:t>
            </w:r>
            <w:r>
              <w:rPr>
                <w:rFonts w:hint="eastAsia" w:ascii="Times New Roman" w:hAnsi="Times New Roman" w:eastAsia="宋体" w:cs="宋体"/>
                <w:color w:val="auto"/>
                <w:sz w:val="24"/>
                <w:szCs w:val="28"/>
                <w:highlight w:val="none"/>
                <w:vertAlign w:val="baseline"/>
                <w:lang w:val="en-US" w:eastAsia="zh-CN"/>
              </w:rPr>
              <w:t>压实系数1.5，则总库容为84.44万</w:t>
            </w:r>
            <w:r>
              <w:rPr>
                <w:rFonts w:hint="eastAsia" w:ascii="Times New Roman" w:hAnsi="Times New Roman" w:cs="Times New Roman"/>
                <w:bCs/>
                <w:color w:val="auto"/>
                <w:sz w:val="21"/>
                <w:szCs w:val="21"/>
                <w:highlight w:val="none"/>
                <w:vertAlign w:val="baseline"/>
                <w:lang w:val="en-US" w:eastAsia="zh-CN"/>
              </w:rPr>
              <w:t>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管理站：总占地面积</w:t>
            </w:r>
            <w:r>
              <w:rPr>
                <w:rFonts w:hint="eastAsia" w:ascii="Times New Roman" w:hAnsi="Times New Roman" w:cs="Times New Roman"/>
                <w:bCs/>
                <w:color w:val="auto"/>
                <w:sz w:val="24"/>
                <w:szCs w:val="24"/>
                <w:lang w:val="en-US" w:eastAsia="zh-CN"/>
              </w:rPr>
              <w:t>552</w:t>
            </w:r>
            <w:r>
              <w:rPr>
                <w:rFonts w:hint="default" w:ascii="Times New Roman" w:hAnsi="Times New Roman" w:cs="Times New Roman"/>
                <w:bCs/>
                <w:color w:val="auto"/>
                <w:sz w:val="24"/>
                <w:szCs w:val="24"/>
                <w:lang w:val="en-US" w:eastAsia="zh-CN"/>
              </w:rPr>
              <w:t>m</w:t>
            </w:r>
            <w:r>
              <w:rPr>
                <w:rFonts w:hint="default" w:ascii="Times New Roman" w:hAnsi="Times New Roman" w:cs="Times New Roman"/>
                <w:bCs/>
                <w:color w:val="auto"/>
                <w:sz w:val="24"/>
                <w:szCs w:val="24"/>
                <w:vertAlign w:val="superscript"/>
                <w:lang w:val="en-US" w:eastAsia="zh-CN"/>
              </w:rPr>
              <w:t>2</w:t>
            </w:r>
            <w:r>
              <w:rPr>
                <w:rFonts w:hint="default" w:ascii="Times New Roman" w:hAnsi="Times New Roman" w:cs="Times New Roman"/>
                <w:bCs/>
                <w:color w:val="auto"/>
                <w:sz w:val="24"/>
                <w:szCs w:val="24"/>
                <w:lang w:val="en-US" w:eastAsia="zh-CN"/>
              </w:rPr>
              <w:t>，总建筑面积为</w:t>
            </w:r>
            <w:r>
              <w:rPr>
                <w:rFonts w:hint="eastAsia" w:ascii="Times New Roman" w:hAnsi="Times New Roman" w:cs="Times New Roman"/>
                <w:bCs/>
                <w:color w:val="auto"/>
                <w:sz w:val="24"/>
                <w:szCs w:val="24"/>
                <w:lang w:val="en-US" w:eastAsia="zh-CN"/>
              </w:rPr>
              <w:t>540</w:t>
            </w:r>
            <w:r>
              <w:rPr>
                <w:rFonts w:hint="default" w:ascii="Times New Roman" w:hAnsi="Times New Roman" w:cs="Times New Roman"/>
                <w:bCs/>
                <w:color w:val="auto"/>
                <w:sz w:val="24"/>
                <w:szCs w:val="24"/>
                <w:lang w:val="en-US" w:eastAsia="zh-CN"/>
              </w:rPr>
              <w:t>m</w:t>
            </w:r>
            <w:r>
              <w:rPr>
                <w:rFonts w:hint="default" w:ascii="Times New Roman" w:hAnsi="Times New Roman" w:cs="Times New Roman"/>
                <w:bCs/>
                <w:color w:val="auto"/>
                <w:sz w:val="24"/>
                <w:szCs w:val="24"/>
                <w:vertAlign w:val="superscript"/>
                <w:lang w:val="en-US" w:eastAsia="zh-CN"/>
              </w:rPr>
              <w:t>2</w:t>
            </w:r>
            <w:r>
              <w:rPr>
                <w:rFonts w:hint="default" w:ascii="Times New Roman" w:hAnsi="Times New Roman" w:cs="Times New Roman"/>
                <w:bCs/>
                <w:color w:val="auto"/>
                <w:sz w:val="24"/>
                <w:szCs w:val="24"/>
                <w:lang w:val="en-US" w:eastAsia="zh-CN"/>
              </w:rPr>
              <w:t>，</w:t>
            </w:r>
            <w:r>
              <w:rPr>
                <w:rFonts w:hint="eastAsia" w:ascii="Times New Roman" w:hAnsi="Times New Roman" w:cs="Times New Roman"/>
                <w:bCs/>
                <w:color w:val="auto"/>
                <w:sz w:val="24"/>
                <w:szCs w:val="24"/>
                <w:lang w:val="en-US" w:eastAsia="zh-CN"/>
              </w:rPr>
              <w:t>地磅房12</w:t>
            </w:r>
            <w:r>
              <w:rPr>
                <w:rFonts w:hint="default" w:ascii="Times New Roman" w:hAnsi="Times New Roman" w:cs="Times New Roman"/>
                <w:bCs/>
                <w:color w:val="auto"/>
                <w:sz w:val="24"/>
                <w:szCs w:val="24"/>
                <w:lang w:val="en-US" w:eastAsia="zh-CN"/>
              </w:rPr>
              <w:t>m</w:t>
            </w:r>
            <w:r>
              <w:rPr>
                <w:rFonts w:hint="default" w:ascii="Times New Roman" w:hAnsi="Times New Roman" w:cs="Times New Roman"/>
                <w:bCs/>
                <w:color w:val="auto"/>
                <w:sz w:val="24"/>
                <w:szCs w:val="24"/>
                <w:vertAlign w:val="superscript"/>
                <w:lang w:val="en-US" w:eastAsia="zh-CN"/>
              </w:rPr>
              <w:t>2</w:t>
            </w:r>
            <w:r>
              <w:rPr>
                <w:rFonts w:hint="eastAsia" w:ascii="Times New Roman" w:hAnsi="Times New Roman" w:cs="Times New Roman"/>
                <w:bCs/>
                <w:color w:val="auto"/>
                <w:sz w:val="24"/>
                <w:szCs w:val="24"/>
                <w:vertAlign w:val="baseline"/>
                <w:lang w:val="en-US" w:eastAsia="zh-CN"/>
              </w:rPr>
              <w:t>。</w:t>
            </w:r>
            <w:r>
              <w:rPr>
                <w:rFonts w:hint="default" w:ascii="Times New Roman" w:hAnsi="Times New Roman" w:cs="Times New Roman"/>
                <w:bCs/>
                <w:color w:val="auto"/>
                <w:sz w:val="24"/>
                <w:szCs w:val="24"/>
                <w:lang w:val="en-US" w:eastAsia="zh-CN"/>
              </w:rPr>
              <w:t>主要建（构）筑物有：值班室、特种车车库、计量间、洗车间、消防水池、化粪池等。</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2.2 项目组成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本项目工程内容组成情况见下表。</w:t>
            </w:r>
          </w:p>
          <w:p>
            <w:pPr>
              <w:pStyle w:val="15"/>
              <w:rPr>
                <w:rFonts w:hint="default" w:ascii="Times New Roman" w:hAnsi="Times New Roman" w:eastAsia="宋体"/>
                <w:b/>
                <w:bCs w:val="0"/>
                <w:spacing w:val="-6"/>
                <w:sz w:val="21"/>
                <w:highlight w:val="none"/>
                <w:lang w:val="en-US" w:eastAsia="zh-CN"/>
              </w:rPr>
            </w:pPr>
            <w:r>
              <w:rPr>
                <w:rFonts w:hint="eastAsia" w:ascii="Times New Roman" w:hAnsi="Times New Roman" w:eastAsia="宋体" w:cs="Times New Roman"/>
                <w:b/>
                <w:bCs w:val="0"/>
                <w:spacing w:val="-6"/>
                <w:sz w:val="21"/>
                <w:szCs w:val="24"/>
                <w:highlight w:val="none"/>
                <w:lang w:val="en-US" w:eastAsia="zh-CN"/>
              </w:rPr>
              <w:t>表2-1 项目组成表</w:t>
            </w:r>
          </w:p>
          <w:tbl>
            <w:tblPr>
              <w:tblStyle w:val="20"/>
              <w:tblW w:w="793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688"/>
              <w:gridCol w:w="5846"/>
              <w:gridCol w:w="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项目组成</w:t>
                  </w:r>
                </w:p>
              </w:tc>
              <w:tc>
                <w:tcPr>
                  <w:tcW w:w="688"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项目名称</w:t>
                  </w:r>
                </w:p>
              </w:tc>
              <w:tc>
                <w:tcPr>
                  <w:tcW w:w="5846"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主要建设内容</w:t>
                  </w:r>
                </w:p>
              </w:tc>
              <w:tc>
                <w:tcPr>
                  <w:tcW w:w="752"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49" w:type="dxa"/>
                  <w:vMerge w:val="restart"/>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主体工程</w:t>
                  </w:r>
                </w:p>
              </w:tc>
              <w:tc>
                <w:tcPr>
                  <w:tcW w:w="688"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yellow"/>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堆</w:t>
                  </w:r>
                  <w:r>
                    <w:rPr>
                      <w:rFonts w:hint="eastAsia" w:cs="Times New Roman"/>
                      <w:bCs/>
                      <w:color w:val="auto"/>
                      <w:sz w:val="21"/>
                      <w:szCs w:val="21"/>
                      <w:highlight w:val="none"/>
                      <w:vertAlign w:val="baseline"/>
                      <w:lang w:val="en-US" w:eastAsia="zh-CN"/>
                    </w:rPr>
                    <w:t>料</w:t>
                  </w:r>
                  <w:r>
                    <w:rPr>
                      <w:rFonts w:hint="eastAsia" w:ascii="Times New Roman" w:hAnsi="Times New Roman" w:cs="Times New Roman"/>
                      <w:bCs/>
                      <w:color w:val="auto"/>
                      <w:sz w:val="21"/>
                      <w:szCs w:val="21"/>
                      <w:highlight w:val="none"/>
                      <w:vertAlign w:val="baseline"/>
                      <w:lang w:val="en-US" w:eastAsia="zh-CN"/>
                    </w:rPr>
                    <w:t>区</w:t>
                  </w:r>
                </w:p>
              </w:tc>
              <w:tc>
                <w:tcPr>
                  <w:tcW w:w="5846"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ascii="Times New Roman" w:hAnsi="Times New Roman" w:cs="Times New Roman"/>
                      <w:bCs/>
                      <w:color w:val="auto"/>
                      <w:sz w:val="21"/>
                      <w:szCs w:val="21"/>
                      <w:highlight w:val="none"/>
                      <w:vertAlign w:val="baseline"/>
                      <w:lang w:val="en-US" w:eastAsia="zh-CN"/>
                    </w:rPr>
                    <w:t>占地面积</w:t>
                  </w:r>
                  <w:r>
                    <w:rPr>
                      <w:rFonts w:hint="eastAsia" w:cs="Times New Roman"/>
                      <w:bCs/>
                      <w:color w:val="auto"/>
                      <w:sz w:val="21"/>
                      <w:szCs w:val="21"/>
                      <w:highlight w:val="none"/>
                      <w:vertAlign w:val="baseline"/>
                      <w:lang w:val="en-US" w:eastAsia="zh-CN"/>
                    </w:rPr>
                    <w:t>174794.99</w:t>
                  </w:r>
                  <w:r>
                    <w:rPr>
                      <w:rFonts w:hint="eastAsia" w:ascii="Times New Roman" w:hAnsi="Times New Roman" w:cs="Times New Roman"/>
                      <w:bCs/>
                      <w:color w:val="auto"/>
                      <w:sz w:val="21"/>
                      <w:szCs w:val="21"/>
                      <w:highlight w:val="none"/>
                      <w:vertAlign w:val="baseline"/>
                      <w:lang w:val="en-US" w:eastAsia="zh-CN"/>
                    </w:rPr>
                    <w:t>m</w:t>
                  </w:r>
                  <w:r>
                    <w:rPr>
                      <w:rFonts w:hint="eastAsia" w:ascii="Times New Roman" w:hAnsi="Times New Roman" w:cs="Times New Roman"/>
                      <w:bCs/>
                      <w:color w:val="auto"/>
                      <w:sz w:val="21"/>
                      <w:szCs w:val="21"/>
                      <w:highlight w:val="none"/>
                      <w:vertAlign w:val="superscript"/>
                      <w:lang w:val="en-US" w:eastAsia="zh-CN"/>
                    </w:rPr>
                    <w:t>2</w:t>
                  </w:r>
                  <w:r>
                    <w:rPr>
                      <w:rFonts w:hint="eastAsia" w:ascii="Times New Roman" w:hAnsi="Times New Roman"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设计规模38万t/a</w:t>
                  </w:r>
                  <w:r>
                    <w:rPr>
                      <w:rFonts w:hint="eastAsia" w:ascii="Times New Roman" w:hAnsi="Times New Roman" w:cs="Times New Roman"/>
                      <w:bCs/>
                      <w:color w:val="auto"/>
                      <w:sz w:val="21"/>
                      <w:szCs w:val="21"/>
                      <w:highlight w:val="none"/>
                      <w:vertAlign w:val="baseline"/>
                      <w:lang w:val="en-US" w:eastAsia="zh-CN"/>
                    </w:rPr>
                    <w:t>，</w:t>
                  </w:r>
                  <w:r>
                    <w:rPr>
                      <w:rFonts w:hint="eastAsia" w:ascii="Times New Roman" w:hAnsi="Times New Roman" w:cs="Times New Roman"/>
                      <w:bCs/>
                      <w:color w:val="auto"/>
                      <w:sz w:val="21"/>
                      <w:szCs w:val="21"/>
                      <w:lang w:val="en-US" w:eastAsia="zh-CN"/>
                    </w:rPr>
                    <w:t>设计服务年限为4年（2024年到2028年）</w:t>
                  </w:r>
                  <w:r>
                    <w:rPr>
                      <w:rFonts w:hint="eastAsia" w:ascii="Times New Roman" w:hAnsi="Times New Roman" w:cs="Times New Roman"/>
                      <w:bCs/>
                      <w:color w:val="auto"/>
                      <w:sz w:val="24"/>
                      <w:szCs w:val="24"/>
                      <w:lang w:val="en-US" w:eastAsia="zh-CN"/>
                    </w:rPr>
                    <w:t>，容重1.2t/m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vertAlign w:val="baseline"/>
                      <w:lang w:val="en-US" w:eastAsia="zh-CN"/>
                    </w:rPr>
                    <w:t>，</w:t>
                  </w:r>
                  <w:r>
                    <w:rPr>
                      <w:rFonts w:hint="eastAsia" w:cs="Times New Roman"/>
                      <w:bCs/>
                      <w:color w:val="auto"/>
                      <w:sz w:val="21"/>
                      <w:szCs w:val="21"/>
                      <w:vertAlign w:val="baseline"/>
                      <w:lang w:val="en-US" w:eastAsia="zh-CN"/>
                    </w:rPr>
                    <w:t>压实系数1.5</w:t>
                  </w:r>
                  <w:r>
                    <w:rPr>
                      <w:rFonts w:hint="eastAsia" w:cs="Times New Roman"/>
                      <w:bCs/>
                      <w:color w:val="auto"/>
                      <w:sz w:val="24"/>
                      <w:szCs w:val="24"/>
                      <w:vertAlign w:val="baseline"/>
                      <w:lang w:val="en-US" w:eastAsia="zh-CN"/>
                    </w:rPr>
                    <w:t>，</w:t>
                  </w:r>
                  <w:r>
                    <w:rPr>
                      <w:rFonts w:hint="eastAsia" w:ascii="Times New Roman" w:hAnsi="Times New Roman" w:cs="Times New Roman"/>
                      <w:bCs/>
                      <w:color w:val="auto"/>
                      <w:sz w:val="21"/>
                      <w:szCs w:val="21"/>
                      <w:highlight w:val="none"/>
                      <w:vertAlign w:val="baseline"/>
                      <w:lang w:val="en-US" w:eastAsia="zh-CN"/>
                    </w:rPr>
                    <w:t>库容</w:t>
                  </w:r>
                  <w:r>
                    <w:rPr>
                      <w:rFonts w:hint="eastAsia" w:cs="Times New Roman"/>
                      <w:bCs/>
                      <w:color w:val="auto"/>
                      <w:sz w:val="21"/>
                      <w:szCs w:val="21"/>
                      <w:highlight w:val="none"/>
                      <w:vertAlign w:val="baseline"/>
                      <w:lang w:val="en-US" w:eastAsia="zh-CN"/>
                    </w:rPr>
                    <w:t>84.4</w:t>
                  </w:r>
                  <w:r>
                    <w:rPr>
                      <w:rFonts w:hint="eastAsia" w:ascii="Times New Roman" w:hAnsi="Times New Roman" w:cs="Times New Roman"/>
                      <w:bCs/>
                      <w:color w:val="auto"/>
                      <w:sz w:val="21"/>
                      <w:szCs w:val="21"/>
                      <w:highlight w:val="none"/>
                      <w:vertAlign w:val="baseline"/>
                      <w:lang w:val="en-US" w:eastAsia="zh-CN"/>
                    </w:rPr>
                    <w:t>万m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堆高4.8m。单元堆存面积为218.5m</w:t>
                  </w:r>
                  <w:r>
                    <w:rPr>
                      <w:rFonts w:hint="eastAsia" w:cs="Times New Roman"/>
                      <w:bCs/>
                      <w:color w:val="auto"/>
                      <w:sz w:val="21"/>
                      <w:szCs w:val="21"/>
                      <w:highlight w:val="none"/>
                      <w:vertAlign w:val="superscript"/>
                      <w:lang w:val="en-US" w:eastAsia="zh-CN"/>
                    </w:rPr>
                    <w:t>2</w:t>
                  </w:r>
                  <w:r>
                    <w:rPr>
                      <w:rFonts w:hint="eastAsia" w:cs="Times New Roman"/>
                      <w:bCs/>
                      <w:color w:val="auto"/>
                      <w:sz w:val="21"/>
                      <w:szCs w:val="21"/>
                      <w:highlight w:val="none"/>
                      <w:vertAlign w:val="baseline"/>
                      <w:lang w:val="en-US" w:eastAsia="zh-CN"/>
                    </w:rPr>
                    <w:t>。</w:t>
                  </w:r>
                </w:p>
              </w:tc>
              <w:tc>
                <w:tcPr>
                  <w:tcW w:w="752"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挡土坝</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总长2200米，坝高2米，顶宽5.4米，边坡1:2.5。</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排水沟</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default" w:ascii="Times New Roman" w:hAnsi="Times New Roman" w:cs="Times New Roman"/>
                      <w:bCs/>
                      <w:sz w:val="21"/>
                      <w:szCs w:val="21"/>
                      <w:vertAlign w:val="baseline"/>
                      <w:lang w:val="en-US" w:eastAsia="zh-CN"/>
                    </w:rPr>
                    <w:t>排水沟总长</w:t>
                  </w:r>
                  <w:r>
                    <w:rPr>
                      <w:rFonts w:hint="eastAsia" w:cs="Times New Roman"/>
                      <w:bCs/>
                      <w:sz w:val="21"/>
                      <w:szCs w:val="21"/>
                      <w:vertAlign w:val="baseline"/>
                      <w:lang w:val="en-US" w:eastAsia="zh-CN"/>
                    </w:rPr>
                    <w:t>2200</w:t>
                  </w:r>
                  <w:r>
                    <w:rPr>
                      <w:rFonts w:hint="default" w:ascii="Times New Roman" w:hAnsi="Times New Roman" w:cs="Times New Roman"/>
                      <w:bCs/>
                      <w:sz w:val="21"/>
                      <w:szCs w:val="21"/>
                      <w:vertAlign w:val="baseline"/>
                      <w:lang w:val="en-US" w:eastAsia="zh-CN"/>
                    </w:rPr>
                    <w:t>米，</w:t>
                  </w:r>
                  <w:r>
                    <w:rPr>
                      <w:rFonts w:hint="eastAsia" w:ascii="宋体" w:hAnsi="宋体" w:eastAsia="宋体" w:cs="宋体"/>
                      <w:color w:val="auto"/>
                      <w:sz w:val="21"/>
                      <w:szCs w:val="21"/>
                      <w:highlight w:val="none"/>
                    </w:rPr>
                    <w:t>坡度为2‰</w:t>
                  </w:r>
                  <w:r>
                    <w:rPr>
                      <w:rFonts w:hint="eastAsia" w:ascii="宋体" w:hAnsi="宋体" w:eastAsia="宋体" w:cs="宋体"/>
                      <w:color w:val="auto"/>
                      <w:sz w:val="21"/>
                      <w:szCs w:val="21"/>
                      <w:highlight w:val="none"/>
                      <w:lang w:eastAsia="zh-CN"/>
                    </w:rPr>
                    <w:t>，</w:t>
                  </w:r>
                  <w:r>
                    <w:rPr>
                      <w:rFonts w:hint="default" w:ascii="Times New Roman" w:hAnsi="Times New Roman" w:cs="Times New Roman"/>
                      <w:bCs/>
                      <w:sz w:val="21"/>
                      <w:szCs w:val="21"/>
                      <w:vertAlign w:val="baseline"/>
                      <w:lang w:val="en-US" w:eastAsia="zh-CN"/>
                    </w:rPr>
                    <w:t>宽0</w:t>
                  </w:r>
                  <w:r>
                    <w:rPr>
                      <w:rFonts w:hint="eastAsia" w:cs="Times New Roman"/>
                      <w:bCs/>
                      <w:sz w:val="21"/>
                      <w:szCs w:val="21"/>
                      <w:vertAlign w:val="baseline"/>
                      <w:lang w:val="en-US" w:eastAsia="zh-CN"/>
                    </w:rPr>
                    <w:t>.8</w:t>
                  </w:r>
                  <w:r>
                    <w:rPr>
                      <w:rFonts w:hint="default" w:ascii="Times New Roman" w:hAnsi="Times New Roman" w:cs="Times New Roman"/>
                      <w:bCs/>
                      <w:sz w:val="21"/>
                      <w:szCs w:val="21"/>
                      <w:vertAlign w:val="baseline"/>
                      <w:lang w:val="en-US" w:eastAsia="zh-CN"/>
                    </w:rPr>
                    <w:t>米，</w:t>
                  </w:r>
                  <w:r>
                    <w:rPr>
                      <w:rFonts w:hint="eastAsia" w:ascii="Times New Roman" w:hAnsi="Times New Roman" w:cs="Times New Roman"/>
                      <w:bCs/>
                      <w:sz w:val="21"/>
                      <w:szCs w:val="21"/>
                      <w:vertAlign w:val="baseline"/>
                      <w:lang w:val="en-US" w:eastAsia="zh-CN"/>
                    </w:rPr>
                    <w:t>深度0.</w:t>
                  </w:r>
                  <w:r>
                    <w:rPr>
                      <w:rFonts w:hint="eastAsia" w:cs="Times New Roman"/>
                      <w:bCs/>
                      <w:sz w:val="21"/>
                      <w:szCs w:val="21"/>
                      <w:vertAlign w:val="baseline"/>
                      <w:lang w:val="en-US" w:eastAsia="zh-CN"/>
                    </w:rPr>
                    <w:t>8</w:t>
                  </w:r>
                  <w:r>
                    <w:rPr>
                      <w:rFonts w:hint="eastAsia" w:ascii="Times New Roman" w:hAnsi="Times New Roman" w:cs="Times New Roman"/>
                      <w:bCs/>
                      <w:sz w:val="21"/>
                      <w:szCs w:val="21"/>
                      <w:vertAlign w:val="baseline"/>
                      <w:lang w:val="en-US" w:eastAsia="zh-CN"/>
                    </w:rPr>
                    <w:t>米</w:t>
                  </w:r>
                  <w:r>
                    <w:rPr>
                      <w:rFonts w:hint="default" w:ascii="Times New Roman" w:hAnsi="Times New Roman" w:cs="Times New Roman"/>
                      <w:bCs/>
                      <w:sz w:val="21"/>
                      <w:szCs w:val="21"/>
                      <w:vertAlign w:val="baseline"/>
                      <w:lang w:val="en-US" w:eastAsia="zh-CN"/>
                    </w:rPr>
                    <w:t>。</w:t>
                  </w:r>
                  <w:r>
                    <w:rPr>
                      <w:rFonts w:hint="eastAsia"/>
                      <w:lang w:val="en-US" w:eastAsia="zh-CN"/>
                    </w:rPr>
                    <w:t>八字出水口宽0.8米，高0.8米。</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yellow"/>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防渗工程</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yellow"/>
                      <w:vertAlign w:val="baseline"/>
                      <w:lang w:val="en-US" w:eastAsia="zh-CN"/>
                    </w:rPr>
                  </w:pPr>
                  <w:r>
                    <w:rPr>
                      <w:rFonts w:hint="eastAsia" w:cs="Times New Roman"/>
                      <w:bCs/>
                      <w:color w:val="auto"/>
                      <w:sz w:val="21"/>
                      <w:szCs w:val="21"/>
                      <w:highlight w:val="none"/>
                      <w:vertAlign w:val="baseline"/>
                      <w:lang w:val="en-US" w:eastAsia="zh-CN"/>
                    </w:rPr>
                    <w:t>堆料</w:t>
                  </w:r>
                  <w:r>
                    <w:rPr>
                      <w:rFonts w:hint="eastAsia" w:ascii="Times New Roman" w:hAnsi="Times New Roman" w:cs="Times New Roman"/>
                      <w:bCs/>
                      <w:color w:val="auto"/>
                      <w:sz w:val="21"/>
                      <w:szCs w:val="21"/>
                      <w:highlight w:val="none"/>
                      <w:vertAlign w:val="baseline"/>
                      <w:lang w:val="en-US" w:eastAsia="zh-CN"/>
                    </w:rPr>
                    <w:t>区底部防渗措施：①基础层：原地基整平、压实（压实系数≥0.93）②反渗层：铺土工滤网（200g/m</w:t>
                  </w:r>
                  <w:r>
                    <w:rPr>
                      <w:rFonts w:hint="eastAsia" w:ascii="Times New Roman" w:hAnsi="Times New Roman" w:cs="Times New Roman"/>
                      <w:bCs/>
                      <w:color w:val="auto"/>
                      <w:sz w:val="21"/>
                      <w:szCs w:val="21"/>
                      <w:highlight w:val="none"/>
                      <w:vertAlign w:val="superscript"/>
                      <w:lang w:val="en-US" w:eastAsia="zh-CN"/>
                    </w:rPr>
                    <w:t>2</w:t>
                  </w:r>
                  <w:r>
                    <w:rPr>
                      <w:rFonts w:hint="eastAsia" w:ascii="Times New Roman" w:hAnsi="Times New Roman" w:cs="Times New Roman"/>
                      <w:bCs/>
                      <w:color w:val="auto"/>
                      <w:sz w:val="21"/>
                      <w:szCs w:val="21"/>
                      <w:highlight w:val="none"/>
                      <w:vertAlign w:val="baseline"/>
                      <w:lang w:val="en-US" w:eastAsia="zh-CN"/>
                    </w:rPr>
                    <w:t>非织造土工布）；③地下水导流层：敷设30cm厚粒径20-60mm卵石或碎石</w:t>
                  </w:r>
                  <w:r>
                    <w:rPr>
                      <w:rFonts w:hint="eastAsia" w:cs="Times New Roman"/>
                      <w:bCs/>
                      <w:color w:val="auto"/>
                      <w:sz w:val="21"/>
                      <w:szCs w:val="21"/>
                      <w:highlight w:val="none"/>
                      <w:vertAlign w:val="baseline"/>
                      <w:lang w:val="en-US" w:eastAsia="zh-CN"/>
                    </w:rPr>
                    <w:t>，石料上铺设</w:t>
                  </w:r>
                  <w:r>
                    <w:rPr>
                      <w:rFonts w:hint="eastAsia" w:ascii="Times New Roman" w:hAnsi="Times New Roman" w:cs="Times New Roman"/>
                      <w:bCs/>
                      <w:color w:val="auto"/>
                      <w:sz w:val="21"/>
                      <w:szCs w:val="21"/>
                      <w:highlight w:val="none"/>
                      <w:vertAlign w:val="baseline"/>
                      <w:lang w:val="en-US" w:eastAsia="zh-CN"/>
                    </w:rPr>
                    <w:t>200g/m</w:t>
                  </w:r>
                  <w:r>
                    <w:rPr>
                      <w:rFonts w:hint="eastAsia" w:ascii="Times New Roman" w:hAnsi="Times New Roman" w:cs="Times New Roman"/>
                      <w:bCs/>
                      <w:color w:val="auto"/>
                      <w:sz w:val="21"/>
                      <w:szCs w:val="21"/>
                      <w:highlight w:val="none"/>
                      <w:vertAlign w:val="superscript"/>
                      <w:lang w:val="en-US" w:eastAsia="zh-CN"/>
                    </w:rPr>
                    <w:t>2</w:t>
                  </w:r>
                  <w:r>
                    <w:rPr>
                      <w:rFonts w:hint="eastAsia" w:ascii="Times New Roman" w:hAnsi="Times New Roman" w:cs="Times New Roman"/>
                      <w:bCs/>
                      <w:color w:val="auto"/>
                      <w:sz w:val="21"/>
                      <w:szCs w:val="21"/>
                      <w:highlight w:val="none"/>
                      <w:vertAlign w:val="baseline"/>
                      <w:lang w:val="en-US" w:eastAsia="zh-CN"/>
                    </w:rPr>
                    <w:t>非织造土工布；④复合防渗兼膜下保护层：铺</w:t>
                  </w:r>
                  <w:r>
                    <w:rPr>
                      <w:rFonts w:hint="eastAsia" w:cs="Times New Roman"/>
                      <w:bCs/>
                      <w:color w:val="auto"/>
                      <w:sz w:val="21"/>
                      <w:szCs w:val="21"/>
                      <w:highlight w:val="none"/>
                      <w:vertAlign w:val="baseline"/>
                      <w:lang w:val="en-US" w:eastAsia="zh-CN"/>
                    </w:rPr>
                    <w:t>GCL</w:t>
                  </w:r>
                  <w:r>
                    <w:rPr>
                      <w:rFonts w:hint="eastAsia" w:ascii="Times New Roman" w:hAnsi="Times New Roman" w:cs="Times New Roman"/>
                      <w:bCs/>
                      <w:color w:val="auto"/>
                      <w:sz w:val="21"/>
                      <w:szCs w:val="21"/>
                      <w:highlight w:val="none"/>
                      <w:vertAlign w:val="baseline"/>
                      <w:lang w:val="en-US" w:eastAsia="zh-CN"/>
                    </w:rPr>
                    <w:t>膨润土毯4800g/m</w:t>
                  </w:r>
                  <w:r>
                    <w:rPr>
                      <w:rFonts w:hint="eastAsia" w:ascii="Times New Roman" w:hAnsi="Times New Roman" w:cs="Times New Roman"/>
                      <w:bCs/>
                      <w:color w:val="auto"/>
                      <w:sz w:val="21"/>
                      <w:szCs w:val="21"/>
                      <w:highlight w:val="none"/>
                      <w:vertAlign w:val="superscript"/>
                      <w:lang w:val="en-US" w:eastAsia="zh-CN"/>
                    </w:rPr>
                    <w:t>2</w:t>
                  </w:r>
                  <w:r>
                    <w:rPr>
                      <w:rFonts w:hint="eastAsia" w:cs="Times New Roman"/>
                      <w:bCs/>
                      <w:color w:val="auto"/>
                      <w:sz w:val="21"/>
                      <w:szCs w:val="21"/>
                      <w:highlight w:val="none"/>
                      <w:vertAlign w:val="baseline"/>
                      <w:lang w:val="en-US" w:eastAsia="zh-CN"/>
                    </w:rPr>
                    <w:t>，渗透系数≤5.0×10</w:t>
                  </w:r>
                  <w:r>
                    <w:rPr>
                      <w:rFonts w:hint="eastAsia" w:cs="Times New Roman"/>
                      <w:bCs/>
                      <w:color w:val="auto"/>
                      <w:sz w:val="21"/>
                      <w:szCs w:val="21"/>
                      <w:highlight w:val="none"/>
                      <w:vertAlign w:val="superscript"/>
                      <w:lang w:val="en-US" w:eastAsia="zh-CN"/>
                    </w:rPr>
                    <w:t>-9</w:t>
                  </w:r>
                  <w:r>
                    <w:rPr>
                      <w:rFonts w:hint="eastAsia" w:cs="Times New Roman"/>
                      <w:bCs/>
                      <w:color w:val="auto"/>
                      <w:sz w:val="21"/>
                      <w:szCs w:val="21"/>
                      <w:highlight w:val="none"/>
                      <w:vertAlign w:val="baseline"/>
                      <w:lang w:val="en-US" w:eastAsia="zh-CN"/>
                    </w:rPr>
                    <w:t>cm/s；</w:t>
                  </w:r>
                  <w:r>
                    <w:rPr>
                      <w:rFonts w:hint="eastAsia" w:ascii="Times New Roman" w:hAnsi="Times New Roman" w:cs="Times New Roman"/>
                      <w:bCs/>
                      <w:color w:val="auto"/>
                      <w:sz w:val="21"/>
                      <w:szCs w:val="21"/>
                      <w:highlight w:val="none"/>
                      <w:vertAlign w:val="baseline"/>
                      <w:lang w:val="en-US" w:eastAsia="zh-CN"/>
                    </w:rPr>
                    <w:t>⑤膜防渗层：铺1.5mmHDPE膜防渗层；⑥膜上保护层：铺800g/m</w:t>
                  </w:r>
                  <w:r>
                    <w:rPr>
                      <w:rFonts w:hint="eastAsia" w:ascii="Times New Roman" w:hAnsi="Times New Roman" w:cs="Times New Roman"/>
                      <w:bCs/>
                      <w:color w:val="auto"/>
                      <w:sz w:val="21"/>
                      <w:szCs w:val="21"/>
                      <w:highlight w:val="none"/>
                      <w:vertAlign w:val="superscript"/>
                      <w:lang w:val="en-US" w:eastAsia="zh-CN"/>
                    </w:rPr>
                    <w:t>2</w:t>
                  </w:r>
                  <w:r>
                    <w:rPr>
                      <w:rFonts w:hint="eastAsia" w:ascii="Times New Roman" w:hAnsi="Times New Roman" w:cs="Times New Roman"/>
                      <w:bCs/>
                      <w:color w:val="auto"/>
                      <w:sz w:val="21"/>
                      <w:szCs w:val="21"/>
                      <w:highlight w:val="none"/>
                      <w:vertAlign w:val="baseline"/>
                      <w:lang w:val="en-US" w:eastAsia="zh-CN"/>
                    </w:rPr>
                    <w:t>土工布（非织造土工布）；⑦污水导排层：铺30cm厚粒径20-60mm卵石或碎石</w:t>
                  </w:r>
                  <w:r>
                    <w:rPr>
                      <w:rFonts w:hint="eastAsia" w:cs="Times New Roman"/>
                      <w:bCs/>
                      <w:color w:val="auto"/>
                      <w:sz w:val="21"/>
                      <w:szCs w:val="21"/>
                      <w:highlight w:val="none"/>
                      <w:vertAlign w:val="baseline"/>
                      <w:lang w:val="en-US" w:eastAsia="zh-CN"/>
                    </w:rPr>
                    <w:t>，</w:t>
                  </w:r>
                  <w:r>
                    <w:rPr>
                      <w:rFonts w:hint="default" w:ascii="Times New Roman" w:hAnsi="Times New Roman" w:cs="Times New Roman"/>
                      <w:bCs/>
                      <w:color w:val="auto"/>
                      <w:sz w:val="21"/>
                      <w:szCs w:val="21"/>
                      <w:highlight w:val="none"/>
                      <w:vertAlign w:val="baseline"/>
                      <w:lang w:val="en-US" w:eastAsia="zh-CN"/>
                    </w:rPr>
                    <w:t>石料CaC</w:t>
                  </w:r>
                  <w:r>
                    <w:rPr>
                      <w:rFonts w:hint="eastAsia" w:ascii="Times New Roman" w:hAnsi="Times New Roman" w:cs="Times New Roman"/>
                      <w:bCs/>
                      <w:color w:val="auto"/>
                      <w:sz w:val="21"/>
                      <w:szCs w:val="21"/>
                      <w:highlight w:val="none"/>
                      <w:vertAlign w:val="baseline"/>
                      <w:lang w:val="en-US" w:eastAsia="zh-CN"/>
                    </w:rPr>
                    <w:t>O</w:t>
                  </w:r>
                  <w:r>
                    <w:rPr>
                      <w:rFonts w:hint="default" w:ascii="Times New Roman" w:hAnsi="Times New Roman" w:cs="Times New Roman"/>
                      <w:bCs/>
                      <w:color w:val="auto"/>
                      <w:sz w:val="21"/>
                      <w:szCs w:val="21"/>
                      <w:highlight w:val="none"/>
                      <w:vertAlign w:val="subscript"/>
                      <w:lang w:val="en-US" w:eastAsia="zh-CN"/>
                    </w:rPr>
                    <w:t>3</w:t>
                  </w:r>
                  <w:r>
                    <w:rPr>
                      <w:rFonts w:hint="default" w:ascii="Times New Roman" w:hAnsi="Times New Roman" w:cs="Times New Roman"/>
                      <w:bCs/>
                      <w:color w:val="auto"/>
                      <w:sz w:val="21"/>
                      <w:szCs w:val="21"/>
                      <w:highlight w:val="none"/>
                      <w:vertAlign w:val="baseline"/>
                      <w:lang w:val="en-US" w:eastAsia="zh-CN"/>
                    </w:rPr>
                    <w:t>含量应不大于10%</w:t>
                  </w:r>
                  <w:r>
                    <w:rPr>
                      <w:rFonts w:hint="eastAsia" w:ascii="Times New Roman" w:hAnsi="Times New Roman" w:cs="Times New Roman"/>
                      <w:bCs/>
                      <w:color w:val="auto"/>
                      <w:sz w:val="21"/>
                      <w:szCs w:val="21"/>
                      <w:highlight w:val="none"/>
                      <w:vertAlign w:val="baseline"/>
                      <w:lang w:val="en-US" w:eastAsia="zh-CN"/>
                    </w:rPr>
                    <w:t>，石料下可增设5mm土工复合排水网，石料上设200g/m</w:t>
                  </w:r>
                  <w:r>
                    <w:rPr>
                      <w:rFonts w:hint="eastAsia" w:ascii="Times New Roman" w:hAnsi="Times New Roman" w:cs="Times New Roman"/>
                      <w:bCs/>
                      <w:color w:val="auto"/>
                      <w:sz w:val="21"/>
                      <w:szCs w:val="21"/>
                      <w:highlight w:val="none"/>
                      <w:vertAlign w:val="superscript"/>
                      <w:lang w:val="en-US" w:eastAsia="zh-CN"/>
                    </w:rPr>
                    <w:t>2</w:t>
                  </w:r>
                  <w:r>
                    <w:rPr>
                      <w:rFonts w:hint="eastAsia" w:ascii="Times New Roman" w:hAnsi="Times New Roman" w:cs="Times New Roman"/>
                      <w:bCs/>
                      <w:color w:val="auto"/>
                      <w:sz w:val="21"/>
                      <w:szCs w:val="21"/>
                      <w:highlight w:val="none"/>
                      <w:vertAlign w:val="baseline"/>
                      <w:lang w:val="en-US" w:eastAsia="zh-CN"/>
                    </w:rPr>
                    <w:t>非织造土工布反渗层；⑧铺50cm厚袋装土。</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sz w:val="21"/>
                      <w:szCs w:val="21"/>
                      <w:highlight w:val="yellow"/>
                      <w:vertAlign w:val="baseline"/>
                      <w:lang w:val="en-US" w:eastAsia="zh-CN"/>
                    </w:rPr>
                  </w:pP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yellow"/>
                      <w:vertAlign w:val="baseline"/>
                      <w:lang w:val="en-US" w:eastAsia="zh-CN"/>
                    </w:rPr>
                  </w:pPr>
                  <w:r>
                    <w:rPr>
                      <w:rFonts w:hint="eastAsia" w:cs="Times New Roman"/>
                      <w:bCs/>
                      <w:color w:val="auto"/>
                      <w:sz w:val="21"/>
                      <w:szCs w:val="21"/>
                      <w:highlight w:val="none"/>
                      <w:vertAlign w:val="baseline"/>
                      <w:lang w:val="en-US" w:eastAsia="zh-CN"/>
                    </w:rPr>
                    <w:t>堆料</w:t>
                  </w:r>
                  <w:r>
                    <w:rPr>
                      <w:rFonts w:hint="eastAsia" w:ascii="Times New Roman" w:hAnsi="Times New Roman" w:cs="Times New Roman"/>
                      <w:bCs/>
                      <w:color w:val="auto"/>
                      <w:sz w:val="21"/>
                      <w:szCs w:val="21"/>
                      <w:highlight w:val="none"/>
                      <w:vertAlign w:val="baseline"/>
                      <w:lang w:val="en-US" w:eastAsia="zh-CN"/>
                    </w:rPr>
                    <w:t>区边坡防渗措施：①基础层：原地基整平、压实（压实系数≥0.9）②复合防渗兼膜下保护层：铺</w:t>
                  </w:r>
                  <w:r>
                    <w:rPr>
                      <w:rFonts w:hint="eastAsia" w:cs="Times New Roman"/>
                      <w:bCs/>
                      <w:color w:val="auto"/>
                      <w:sz w:val="21"/>
                      <w:szCs w:val="21"/>
                      <w:highlight w:val="none"/>
                      <w:vertAlign w:val="baseline"/>
                      <w:lang w:val="en-US" w:eastAsia="zh-CN"/>
                    </w:rPr>
                    <w:t>GCL</w:t>
                  </w:r>
                  <w:r>
                    <w:rPr>
                      <w:rFonts w:hint="eastAsia" w:ascii="Times New Roman" w:hAnsi="Times New Roman" w:cs="Times New Roman"/>
                      <w:bCs/>
                      <w:color w:val="auto"/>
                      <w:sz w:val="21"/>
                      <w:szCs w:val="21"/>
                      <w:highlight w:val="none"/>
                      <w:vertAlign w:val="baseline"/>
                      <w:lang w:val="en-US" w:eastAsia="zh-CN"/>
                    </w:rPr>
                    <w:t>膨润土毯4800g/m</w:t>
                  </w:r>
                  <w:r>
                    <w:rPr>
                      <w:rFonts w:hint="eastAsia" w:ascii="Times New Roman" w:hAnsi="Times New Roman" w:cs="Times New Roman"/>
                      <w:bCs/>
                      <w:color w:val="auto"/>
                      <w:sz w:val="21"/>
                      <w:szCs w:val="21"/>
                      <w:highlight w:val="none"/>
                      <w:vertAlign w:val="superscript"/>
                      <w:lang w:val="en-US" w:eastAsia="zh-CN"/>
                    </w:rPr>
                    <w:t>2</w:t>
                  </w:r>
                  <w:r>
                    <w:rPr>
                      <w:rFonts w:hint="eastAsia" w:cs="Times New Roman"/>
                      <w:bCs/>
                      <w:color w:val="auto"/>
                      <w:sz w:val="21"/>
                      <w:szCs w:val="21"/>
                      <w:highlight w:val="none"/>
                      <w:vertAlign w:val="baseline"/>
                      <w:lang w:val="en-US" w:eastAsia="zh-CN"/>
                    </w:rPr>
                    <w:t>，渗透系数≤5.0×10</w:t>
                  </w:r>
                  <w:r>
                    <w:rPr>
                      <w:rFonts w:hint="eastAsia" w:cs="Times New Roman"/>
                      <w:bCs/>
                      <w:color w:val="auto"/>
                      <w:sz w:val="21"/>
                      <w:szCs w:val="21"/>
                      <w:highlight w:val="none"/>
                      <w:vertAlign w:val="superscript"/>
                      <w:lang w:val="en-US" w:eastAsia="zh-CN"/>
                    </w:rPr>
                    <w:t>-9</w:t>
                  </w:r>
                  <w:r>
                    <w:rPr>
                      <w:rFonts w:hint="eastAsia" w:cs="Times New Roman"/>
                      <w:bCs/>
                      <w:color w:val="auto"/>
                      <w:sz w:val="21"/>
                      <w:szCs w:val="21"/>
                      <w:highlight w:val="none"/>
                      <w:vertAlign w:val="baseline"/>
                      <w:lang w:val="en-US" w:eastAsia="zh-CN"/>
                    </w:rPr>
                    <w:t>cm/s</w:t>
                  </w:r>
                  <w:r>
                    <w:rPr>
                      <w:rFonts w:hint="eastAsia" w:ascii="Times New Roman" w:hAnsi="Times New Roman" w:cs="Times New Roman"/>
                      <w:bCs/>
                      <w:color w:val="auto"/>
                      <w:sz w:val="21"/>
                      <w:szCs w:val="21"/>
                      <w:highlight w:val="none"/>
                      <w:vertAlign w:val="baseline"/>
                      <w:lang w:val="en-US" w:eastAsia="zh-CN"/>
                    </w:rPr>
                    <w:t>；③防渗层：铺1.5mmHDPE膜防渗层；④膜上保护层：铺800g/m</w:t>
                  </w:r>
                  <w:r>
                    <w:rPr>
                      <w:rFonts w:hint="eastAsia" w:ascii="Times New Roman" w:hAnsi="Times New Roman" w:cs="Times New Roman"/>
                      <w:bCs/>
                      <w:color w:val="auto"/>
                      <w:sz w:val="21"/>
                      <w:szCs w:val="21"/>
                      <w:highlight w:val="none"/>
                      <w:vertAlign w:val="superscript"/>
                      <w:lang w:val="en-US" w:eastAsia="zh-CN"/>
                    </w:rPr>
                    <w:t>2</w:t>
                  </w:r>
                  <w:r>
                    <w:rPr>
                      <w:rFonts w:hint="eastAsia" w:ascii="Times New Roman" w:hAnsi="Times New Roman" w:cs="Times New Roman"/>
                      <w:bCs/>
                      <w:color w:val="auto"/>
                      <w:sz w:val="21"/>
                      <w:szCs w:val="21"/>
                      <w:highlight w:val="none"/>
                      <w:vertAlign w:val="baseline"/>
                      <w:lang w:val="en-US" w:eastAsia="zh-CN"/>
                    </w:rPr>
                    <w:t>土工布（非织造土工布）；⑤铺50cm厚袋装土。</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sz w:val="21"/>
                      <w:szCs w:val="21"/>
                      <w:highlight w:val="yellow"/>
                      <w:vertAlign w:val="baseline"/>
                      <w:lang w:val="en-US" w:eastAsia="zh-CN"/>
                    </w:rPr>
                  </w:pP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yellow"/>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防渗</w:t>
                  </w:r>
                  <w:r>
                    <w:rPr>
                      <w:rFonts w:hint="eastAsia" w:cs="Times New Roman"/>
                      <w:bCs/>
                      <w:color w:val="auto"/>
                      <w:sz w:val="21"/>
                      <w:szCs w:val="21"/>
                      <w:highlight w:val="none"/>
                      <w:vertAlign w:val="baseline"/>
                      <w:lang w:val="en-US" w:eastAsia="zh-CN"/>
                    </w:rPr>
                    <w:t>材料</w:t>
                  </w:r>
                  <w:r>
                    <w:rPr>
                      <w:rFonts w:hint="default" w:ascii="Times New Roman" w:hAnsi="Times New Roman" w:cs="Times New Roman"/>
                      <w:bCs/>
                      <w:color w:val="auto"/>
                      <w:sz w:val="21"/>
                      <w:szCs w:val="21"/>
                      <w:highlight w:val="none"/>
                      <w:vertAlign w:val="baseline"/>
                      <w:lang w:val="en-US" w:eastAsia="zh-CN"/>
                    </w:rPr>
                    <w:t>锚固：</w:t>
                  </w:r>
                  <w:r>
                    <w:rPr>
                      <w:rFonts w:hint="eastAsia" w:cs="Times New Roman"/>
                      <w:bCs/>
                      <w:color w:val="auto"/>
                      <w:sz w:val="21"/>
                      <w:szCs w:val="21"/>
                      <w:highlight w:val="none"/>
                      <w:vertAlign w:val="baseline"/>
                      <w:lang w:val="en-US" w:eastAsia="zh-CN"/>
                    </w:rPr>
                    <w:t>采用矩形锚固沟。</w:t>
                  </w:r>
                  <w:r>
                    <w:rPr>
                      <w:rFonts w:hint="eastAsia" w:cs="Times New Roman"/>
                      <w:bCs/>
                      <w:color w:val="auto"/>
                      <w:sz w:val="21"/>
                      <w:szCs w:val="21"/>
                      <w:highlight w:val="none"/>
                      <w:vertAlign w:val="baseline"/>
                      <w:lang w:val="en-US" w:eastAsia="zh-CN"/>
                    </w:rPr>
                    <w:fldChar w:fldCharType="begin"/>
                  </w:r>
                  <w:r>
                    <w:rPr>
                      <w:rFonts w:hint="eastAsia" w:cs="Times New Roman"/>
                      <w:bCs/>
                      <w:color w:val="auto"/>
                      <w:sz w:val="21"/>
                      <w:szCs w:val="21"/>
                      <w:highlight w:val="none"/>
                      <w:vertAlign w:val="baseline"/>
                      <w:lang w:val="en-US" w:eastAsia="zh-CN"/>
                    </w:rPr>
                    <w:instrText xml:space="preserve"> = 1 \* GB3 \* MERGEFORMAT </w:instrText>
                  </w:r>
                  <w:r>
                    <w:rPr>
                      <w:rFonts w:hint="eastAsia" w:cs="Times New Roman"/>
                      <w:bCs/>
                      <w:color w:val="auto"/>
                      <w:sz w:val="21"/>
                      <w:szCs w:val="21"/>
                      <w:highlight w:val="none"/>
                      <w:vertAlign w:val="baseline"/>
                      <w:lang w:val="en-US" w:eastAsia="zh-CN"/>
                    </w:rPr>
                    <w:fldChar w:fldCharType="separate"/>
                  </w:r>
                  <w:r>
                    <w:t>①</w:t>
                  </w:r>
                  <w:r>
                    <w:rPr>
                      <w:rFonts w:hint="eastAsia" w:cs="Times New Roman"/>
                      <w:bCs/>
                      <w:color w:val="auto"/>
                      <w:sz w:val="21"/>
                      <w:szCs w:val="21"/>
                      <w:highlight w:val="none"/>
                      <w:vertAlign w:val="baseline"/>
                      <w:lang w:val="en-US" w:eastAsia="zh-CN"/>
                    </w:rPr>
                    <w:fldChar w:fldCharType="end"/>
                  </w:r>
                  <w:r>
                    <w:rPr>
                      <w:rFonts w:hint="eastAsia" w:cs="Times New Roman"/>
                      <w:bCs/>
                      <w:color w:val="auto"/>
                      <w:sz w:val="21"/>
                      <w:szCs w:val="21"/>
                      <w:highlight w:val="none"/>
                      <w:vertAlign w:val="baseline"/>
                      <w:lang w:val="en-US" w:eastAsia="zh-CN"/>
                    </w:rPr>
                    <w:t>锚固沟距离边坡边缘80cm；</w:t>
                  </w:r>
                  <w:r>
                    <w:rPr>
                      <w:rFonts w:hint="eastAsia" w:cs="Times New Roman"/>
                      <w:bCs/>
                      <w:color w:val="auto"/>
                      <w:sz w:val="21"/>
                      <w:szCs w:val="21"/>
                      <w:highlight w:val="none"/>
                      <w:vertAlign w:val="baseline"/>
                      <w:lang w:val="en-US" w:eastAsia="zh-CN"/>
                    </w:rPr>
                    <w:fldChar w:fldCharType="begin"/>
                  </w:r>
                  <w:r>
                    <w:rPr>
                      <w:rFonts w:hint="eastAsia" w:cs="Times New Roman"/>
                      <w:bCs/>
                      <w:color w:val="auto"/>
                      <w:sz w:val="21"/>
                      <w:szCs w:val="21"/>
                      <w:highlight w:val="none"/>
                      <w:vertAlign w:val="baseline"/>
                      <w:lang w:val="en-US" w:eastAsia="zh-CN"/>
                    </w:rPr>
                    <w:instrText xml:space="preserve"> = 2 \* GB3 \* MERGEFORMAT </w:instrText>
                  </w:r>
                  <w:r>
                    <w:rPr>
                      <w:rFonts w:hint="eastAsia" w:cs="Times New Roman"/>
                      <w:bCs/>
                      <w:color w:val="auto"/>
                      <w:sz w:val="21"/>
                      <w:szCs w:val="21"/>
                      <w:highlight w:val="none"/>
                      <w:vertAlign w:val="baseline"/>
                      <w:lang w:val="en-US" w:eastAsia="zh-CN"/>
                    </w:rPr>
                    <w:fldChar w:fldCharType="separate"/>
                  </w:r>
                  <w:r>
                    <w:t>②</w:t>
                  </w:r>
                  <w:r>
                    <w:rPr>
                      <w:rFonts w:hint="eastAsia" w:cs="Times New Roman"/>
                      <w:bCs/>
                      <w:color w:val="auto"/>
                      <w:sz w:val="21"/>
                      <w:szCs w:val="21"/>
                      <w:highlight w:val="none"/>
                      <w:vertAlign w:val="baseline"/>
                      <w:lang w:val="en-US" w:eastAsia="zh-CN"/>
                    </w:rPr>
                    <w:fldChar w:fldCharType="end"/>
                  </w:r>
                  <w:r>
                    <w:rPr>
                      <w:rFonts w:hint="eastAsia" w:cs="Times New Roman"/>
                      <w:bCs/>
                      <w:color w:val="auto"/>
                      <w:sz w:val="21"/>
                      <w:szCs w:val="21"/>
                      <w:highlight w:val="none"/>
                      <w:vertAlign w:val="baseline"/>
                      <w:lang w:val="en-US" w:eastAsia="zh-CN"/>
                    </w:rPr>
                    <w:t>防渗材料转折处成弧形结构；</w:t>
                  </w:r>
                  <w:r>
                    <w:rPr>
                      <w:rFonts w:hint="eastAsia" w:cs="Times New Roman"/>
                      <w:bCs/>
                      <w:color w:val="auto"/>
                      <w:sz w:val="21"/>
                      <w:szCs w:val="21"/>
                      <w:highlight w:val="none"/>
                      <w:vertAlign w:val="baseline"/>
                      <w:lang w:val="en-US" w:eastAsia="zh-CN"/>
                    </w:rPr>
                    <w:fldChar w:fldCharType="begin"/>
                  </w:r>
                  <w:r>
                    <w:rPr>
                      <w:rFonts w:hint="eastAsia" w:cs="Times New Roman"/>
                      <w:bCs/>
                      <w:color w:val="auto"/>
                      <w:sz w:val="21"/>
                      <w:szCs w:val="21"/>
                      <w:highlight w:val="none"/>
                      <w:vertAlign w:val="baseline"/>
                      <w:lang w:val="en-US" w:eastAsia="zh-CN"/>
                    </w:rPr>
                    <w:instrText xml:space="preserve"> = 3 \* GB3 \* MERGEFORMAT </w:instrText>
                  </w:r>
                  <w:r>
                    <w:rPr>
                      <w:rFonts w:hint="eastAsia" w:cs="Times New Roman"/>
                      <w:bCs/>
                      <w:color w:val="auto"/>
                      <w:sz w:val="21"/>
                      <w:szCs w:val="21"/>
                      <w:highlight w:val="none"/>
                      <w:vertAlign w:val="baseline"/>
                      <w:lang w:val="en-US" w:eastAsia="zh-CN"/>
                    </w:rPr>
                    <w:fldChar w:fldCharType="separate"/>
                  </w:r>
                  <w:r>
                    <w:t>③</w:t>
                  </w:r>
                  <w:r>
                    <w:rPr>
                      <w:rFonts w:hint="eastAsia" w:cs="Times New Roman"/>
                      <w:bCs/>
                      <w:color w:val="auto"/>
                      <w:sz w:val="21"/>
                      <w:szCs w:val="21"/>
                      <w:highlight w:val="none"/>
                      <w:vertAlign w:val="baseline"/>
                      <w:lang w:val="en-US" w:eastAsia="zh-CN"/>
                    </w:rPr>
                    <w:fldChar w:fldCharType="end"/>
                  </w:r>
                  <w:r>
                    <w:rPr>
                      <w:rFonts w:hint="eastAsia" w:cs="Times New Roman"/>
                      <w:bCs/>
                      <w:color w:val="auto"/>
                      <w:sz w:val="21"/>
                      <w:szCs w:val="21"/>
                      <w:highlight w:val="none"/>
                      <w:vertAlign w:val="baseline"/>
                      <w:lang w:val="en-US" w:eastAsia="zh-CN"/>
                    </w:rPr>
                    <w:t>锚固沟断面80cm×80cm；</w:t>
                  </w:r>
                  <w:r>
                    <w:rPr>
                      <w:rFonts w:hint="eastAsia" w:cs="Times New Roman"/>
                      <w:bCs/>
                      <w:color w:val="auto"/>
                      <w:sz w:val="21"/>
                      <w:szCs w:val="21"/>
                      <w:highlight w:val="none"/>
                      <w:vertAlign w:val="baseline"/>
                      <w:lang w:val="en-US" w:eastAsia="zh-CN"/>
                    </w:rPr>
                    <w:fldChar w:fldCharType="begin"/>
                  </w:r>
                  <w:r>
                    <w:rPr>
                      <w:rFonts w:hint="eastAsia" w:cs="Times New Roman"/>
                      <w:bCs/>
                      <w:color w:val="auto"/>
                      <w:sz w:val="21"/>
                      <w:szCs w:val="21"/>
                      <w:highlight w:val="none"/>
                      <w:vertAlign w:val="baseline"/>
                      <w:lang w:val="en-US" w:eastAsia="zh-CN"/>
                    </w:rPr>
                    <w:instrText xml:space="preserve"> = 4 \* GB3 \* MERGEFORMAT </w:instrText>
                  </w:r>
                  <w:r>
                    <w:rPr>
                      <w:rFonts w:hint="eastAsia" w:cs="Times New Roman"/>
                      <w:bCs/>
                      <w:color w:val="auto"/>
                      <w:sz w:val="21"/>
                      <w:szCs w:val="21"/>
                      <w:highlight w:val="none"/>
                      <w:vertAlign w:val="baseline"/>
                      <w:lang w:val="en-US" w:eastAsia="zh-CN"/>
                    </w:rPr>
                    <w:fldChar w:fldCharType="separate"/>
                  </w:r>
                  <w:r>
                    <w:t>④</w:t>
                  </w:r>
                  <w:r>
                    <w:rPr>
                      <w:rFonts w:hint="eastAsia" w:cs="Times New Roman"/>
                      <w:bCs/>
                      <w:color w:val="auto"/>
                      <w:sz w:val="21"/>
                      <w:szCs w:val="21"/>
                      <w:highlight w:val="none"/>
                      <w:vertAlign w:val="baseline"/>
                      <w:lang w:val="en-US" w:eastAsia="zh-CN"/>
                    </w:rPr>
                    <w:fldChar w:fldCharType="end"/>
                  </w:r>
                  <w:r>
                    <w:rPr>
                      <w:rFonts w:hint="eastAsia" w:cs="Times New Roman"/>
                      <w:bCs/>
                      <w:color w:val="auto"/>
                      <w:sz w:val="21"/>
                      <w:szCs w:val="21"/>
                      <w:highlight w:val="none"/>
                      <w:vertAlign w:val="baseline"/>
                      <w:lang w:val="en-US" w:eastAsia="zh-CN"/>
                    </w:rPr>
                    <w:t>压实度≥93%。</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yellow"/>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雨水渗水收集系统</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yellow"/>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在</w:t>
                  </w:r>
                  <w:r>
                    <w:rPr>
                      <w:rFonts w:hint="eastAsia" w:cs="Times New Roman"/>
                      <w:bCs/>
                      <w:color w:val="auto"/>
                      <w:sz w:val="21"/>
                      <w:szCs w:val="21"/>
                      <w:highlight w:val="none"/>
                      <w:vertAlign w:val="baseline"/>
                      <w:lang w:val="en-US" w:eastAsia="zh-CN"/>
                    </w:rPr>
                    <w:t>暂存</w:t>
                  </w:r>
                  <w:r>
                    <w:rPr>
                      <w:rFonts w:hint="default" w:ascii="Times New Roman" w:hAnsi="Times New Roman" w:cs="Times New Roman"/>
                      <w:bCs/>
                      <w:color w:val="auto"/>
                      <w:sz w:val="21"/>
                      <w:szCs w:val="21"/>
                      <w:highlight w:val="none"/>
                      <w:vertAlign w:val="baseline"/>
                      <w:lang w:val="en-US" w:eastAsia="zh-CN"/>
                    </w:rPr>
                    <w:t>场底防渗衬层上设置</w:t>
                  </w:r>
                  <w:r>
                    <w:rPr>
                      <w:rFonts w:hint="eastAsia" w:ascii="Times New Roman" w:hAnsi="Times New Roman" w:cs="Times New Roman"/>
                      <w:bCs/>
                      <w:color w:val="auto"/>
                      <w:sz w:val="21"/>
                      <w:szCs w:val="21"/>
                      <w:highlight w:val="none"/>
                      <w:vertAlign w:val="baseline"/>
                      <w:lang w:val="en-US" w:eastAsia="zh-CN"/>
                    </w:rPr>
                    <w:t>雨水渗水</w:t>
                  </w:r>
                  <w:r>
                    <w:rPr>
                      <w:rFonts w:hint="default" w:ascii="Times New Roman" w:hAnsi="Times New Roman" w:cs="Times New Roman"/>
                      <w:bCs/>
                      <w:color w:val="auto"/>
                      <w:sz w:val="21"/>
                      <w:szCs w:val="21"/>
                      <w:highlight w:val="none"/>
                      <w:vertAlign w:val="baseline"/>
                      <w:lang w:val="en-US" w:eastAsia="zh-CN"/>
                    </w:rPr>
                    <w:t>导流层，</w:t>
                  </w:r>
                  <w:r>
                    <w:rPr>
                      <w:rFonts w:hint="eastAsia" w:ascii="Times New Roman" w:hAnsi="Times New Roman" w:cs="Times New Roman"/>
                      <w:bCs/>
                      <w:color w:val="auto"/>
                      <w:sz w:val="21"/>
                      <w:szCs w:val="21"/>
                      <w:highlight w:val="none"/>
                      <w:vertAlign w:val="baseline"/>
                      <w:lang w:val="en-US" w:eastAsia="zh-CN"/>
                    </w:rPr>
                    <w:t>雨水渗水</w:t>
                  </w:r>
                  <w:r>
                    <w:rPr>
                      <w:rFonts w:hint="default" w:ascii="Times New Roman" w:hAnsi="Times New Roman" w:cs="Times New Roman"/>
                      <w:bCs/>
                      <w:color w:val="auto"/>
                      <w:sz w:val="21"/>
                      <w:szCs w:val="21"/>
                      <w:highlight w:val="none"/>
                      <w:vertAlign w:val="baseline"/>
                      <w:lang w:val="en-US" w:eastAsia="zh-CN"/>
                    </w:rPr>
                    <w:t>导流层采用15-40mm的卵石或砾石，石料CaC</w:t>
                  </w:r>
                  <w:r>
                    <w:rPr>
                      <w:rFonts w:hint="eastAsia" w:ascii="Times New Roman" w:hAnsi="Times New Roman" w:cs="Times New Roman"/>
                      <w:bCs/>
                      <w:color w:val="auto"/>
                      <w:sz w:val="21"/>
                      <w:szCs w:val="21"/>
                      <w:highlight w:val="none"/>
                      <w:vertAlign w:val="baseline"/>
                      <w:lang w:val="en-US" w:eastAsia="zh-CN"/>
                    </w:rPr>
                    <w:t>O</w:t>
                  </w:r>
                  <w:r>
                    <w:rPr>
                      <w:rFonts w:hint="default" w:ascii="Times New Roman" w:hAnsi="Times New Roman" w:cs="Times New Roman"/>
                      <w:bCs/>
                      <w:color w:val="auto"/>
                      <w:sz w:val="21"/>
                      <w:szCs w:val="21"/>
                      <w:highlight w:val="none"/>
                      <w:vertAlign w:val="subscript"/>
                      <w:lang w:val="en-US" w:eastAsia="zh-CN"/>
                    </w:rPr>
                    <w:t>3</w:t>
                  </w:r>
                  <w:r>
                    <w:rPr>
                      <w:rFonts w:hint="default" w:ascii="Times New Roman" w:hAnsi="Times New Roman" w:cs="Times New Roman"/>
                      <w:bCs/>
                      <w:color w:val="auto"/>
                      <w:sz w:val="21"/>
                      <w:szCs w:val="21"/>
                      <w:highlight w:val="none"/>
                      <w:vertAlign w:val="baseline"/>
                      <w:lang w:val="en-US" w:eastAsia="zh-CN"/>
                    </w:rPr>
                    <w:t>含量应不大于10%。渗透系数不应小于1×10</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vertAlign w:val="baseline"/>
                      <w:lang w:val="en-US" w:eastAsia="zh-CN"/>
                    </w:rPr>
                    <w:t>m/s。盲沟两侧的</w:t>
                  </w:r>
                  <w:r>
                    <w:rPr>
                      <w:rFonts w:hint="eastAsia" w:cs="Times New Roman"/>
                      <w:bCs/>
                      <w:color w:val="auto"/>
                      <w:sz w:val="21"/>
                      <w:szCs w:val="21"/>
                      <w:highlight w:val="none"/>
                      <w:vertAlign w:val="baseline"/>
                      <w:lang w:val="en-US" w:eastAsia="zh-CN"/>
                    </w:rPr>
                    <w:t>堆料</w:t>
                  </w:r>
                  <w:r>
                    <w:rPr>
                      <w:rFonts w:hint="default" w:ascii="Times New Roman" w:hAnsi="Times New Roman" w:cs="Times New Roman"/>
                      <w:bCs/>
                      <w:color w:val="auto"/>
                      <w:sz w:val="21"/>
                      <w:szCs w:val="21"/>
                      <w:highlight w:val="none"/>
                      <w:vertAlign w:val="baseline"/>
                      <w:lang w:val="en-US" w:eastAsia="zh-CN"/>
                    </w:rPr>
                    <w:t>区以不小于2%坡度坡向中间的</w:t>
                  </w:r>
                  <w:r>
                    <w:rPr>
                      <w:rFonts w:hint="eastAsia" w:ascii="Times New Roman" w:hAnsi="Times New Roman" w:cs="Times New Roman"/>
                      <w:bCs/>
                      <w:color w:val="auto"/>
                      <w:sz w:val="21"/>
                      <w:szCs w:val="21"/>
                      <w:highlight w:val="none"/>
                      <w:vertAlign w:val="baseline"/>
                      <w:lang w:val="en-US" w:eastAsia="zh-CN"/>
                    </w:rPr>
                    <w:t>雨水渗水</w:t>
                  </w:r>
                  <w:r>
                    <w:rPr>
                      <w:rFonts w:hint="default" w:ascii="Times New Roman" w:hAnsi="Times New Roman" w:cs="Times New Roman"/>
                      <w:bCs/>
                      <w:color w:val="auto"/>
                      <w:sz w:val="21"/>
                      <w:szCs w:val="21"/>
                      <w:highlight w:val="none"/>
                      <w:vertAlign w:val="baseline"/>
                      <w:lang w:val="en-US" w:eastAsia="zh-CN"/>
                    </w:rPr>
                    <w:t>盲沟，</w:t>
                  </w:r>
                  <w:r>
                    <w:rPr>
                      <w:rFonts w:hint="eastAsia" w:ascii="Times New Roman" w:hAnsi="Times New Roman" w:cs="Times New Roman"/>
                      <w:bCs/>
                      <w:color w:val="auto"/>
                      <w:sz w:val="21"/>
                      <w:szCs w:val="21"/>
                      <w:highlight w:val="none"/>
                      <w:vertAlign w:val="baseline"/>
                      <w:lang w:val="en-US" w:eastAsia="zh-CN"/>
                    </w:rPr>
                    <w:t>雨水渗水</w:t>
                  </w:r>
                  <w:r>
                    <w:rPr>
                      <w:rFonts w:hint="default" w:ascii="Times New Roman" w:hAnsi="Times New Roman" w:cs="Times New Roman"/>
                      <w:bCs/>
                      <w:color w:val="auto"/>
                      <w:sz w:val="21"/>
                      <w:szCs w:val="21"/>
                      <w:highlight w:val="none"/>
                      <w:vertAlign w:val="baseline"/>
                      <w:lang w:val="en-US" w:eastAsia="zh-CN"/>
                    </w:rPr>
                    <w:t>经</w:t>
                  </w:r>
                  <w:r>
                    <w:rPr>
                      <w:rFonts w:hint="eastAsia" w:ascii="Times New Roman" w:hAnsi="Times New Roman" w:cs="Times New Roman"/>
                      <w:bCs/>
                      <w:color w:val="auto"/>
                      <w:sz w:val="21"/>
                      <w:szCs w:val="21"/>
                      <w:highlight w:val="none"/>
                      <w:vertAlign w:val="baseline"/>
                      <w:lang w:val="en-US" w:eastAsia="zh-CN"/>
                    </w:rPr>
                    <w:t>雨水渗水</w:t>
                  </w:r>
                  <w:r>
                    <w:rPr>
                      <w:rFonts w:hint="default" w:ascii="Times New Roman" w:hAnsi="Times New Roman" w:cs="Times New Roman"/>
                      <w:bCs/>
                      <w:color w:val="auto"/>
                      <w:sz w:val="21"/>
                      <w:szCs w:val="21"/>
                      <w:highlight w:val="none"/>
                      <w:vertAlign w:val="baseline"/>
                      <w:lang w:val="en-US" w:eastAsia="zh-CN"/>
                    </w:rPr>
                    <w:t>导排盲沟收集至</w:t>
                  </w:r>
                  <w:r>
                    <w:rPr>
                      <w:rFonts w:hint="eastAsia" w:ascii="Times New Roman" w:hAnsi="Times New Roman" w:cs="Times New Roman"/>
                      <w:bCs/>
                      <w:color w:val="auto"/>
                      <w:sz w:val="21"/>
                      <w:szCs w:val="21"/>
                      <w:highlight w:val="none"/>
                      <w:vertAlign w:val="baseline"/>
                      <w:lang w:val="en-US" w:eastAsia="zh-CN"/>
                    </w:rPr>
                    <w:t>雨水渗水</w:t>
                  </w:r>
                  <w:r>
                    <w:rPr>
                      <w:rFonts w:hint="eastAsia" w:cs="Times New Roman"/>
                      <w:bCs/>
                      <w:color w:val="auto"/>
                      <w:sz w:val="21"/>
                      <w:szCs w:val="21"/>
                      <w:highlight w:val="none"/>
                      <w:vertAlign w:val="baseline"/>
                      <w:lang w:val="en-US" w:eastAsia="zh-CN"/>
                    </w:rPr>
                    <w:t>沉淀</w:t>
                  </w:r>
                  <w:r>
                    <w:rPr>
                      <w:rFonts w:hint="eastAsia" w:ascii="Times New Roman" w:hAnsi="Times New Roman" w:cs="Times New Roman"/>
                      <w:bCs/>
                      <w:color w:val="auto"/>
                      <w:sz w:val="21"/>
                      <w:szCs w:val="21"/>
                      <w:highlight w:val="none"/>
                      <w:vertAlign w:val="baseline"/>
                      <w:lang w:val="en-US" w:eastAsia="zh-CN"/>
                    </w:rPr>
                    <w:t>池（</w:t>
                  </w:r>
                  <w:r>
                    <w:rPr>
                      <w:rFonts w:hint="eastAsia" w:cs="Times New Roman"/>
                      <w:bCs/>
                      <w:color w:val="auto"/>
                      <w:sz w:val="21"/>
                      <w:szCs w:val="21"/>
                      <w:highlight w:val="none"/>
                      <w:vertAlign w:val="baseline"/>
                      <w:lang w:val="en-US" w:eastAsia="zh-CN"/>
                    </w:rPr>
                    <w:t>15</w:t>
                  </w:r>
                  <w:r>
                    <w:rPr>
                      <w:rFonts w:hint="eastAsia" w:ascii="Times New Roman" w:hAnsi="Times New Roman" w:cs="Times New Roman"/>
                      <w:bCs/>
                      <w:color w:val="auto"/>
                      <w:sz w:val="21"/>
                      <w:szCs w:val="21"/>
                      <w:highlight w:val="none"/>
                      <w:vertAlign w:val="baseline"/>
                      <w:lang w:val="en-US" w:eastAsia="zh-CN"/>
                    </w:rPr>
                    <w:t>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沉淀，随后排入雨水渗水暂存池（15</w:t>
                  </w:r>
                  <w:r>
                    <w:rPr>
                      <w:rFonts w:hint="eastAsia" w:ascii="Times New Roman" w:hAnsi="Times New Roman" w:cs="Times New Roman"/>
                      <w:bCs/>
                      <w:color w:val="auto"/>
                      <w:sz w:val="21"/>
                      <w:szCs w:val="21"/>
                      <w:highlight w:val="none"/>
                      <w:vertAlign w:val="baseline"/>
                      <w:lang w:val="en-US" w:eastAsia="zh-CN"/>
                    </w:rPr>
                    <w:t>m</w:t>
                  </w:r>
                  <w:r>
                    <w:rPr>
                      <w:rFonts w:hint="eastAsia" w:ascii="Times New Roman" w:hAnsi="Times New Roman" w:cs="Times New Roman"/>
                      <w:bCs/>
                      <w:color w:val="auto"/>
                      <w:sz w:val="21"/>
                      <w:szCs w:val="21"/>
                      <w:highlight w:val="none"/>
                      <w:vertAlign w:val="superscript"/>
                      <w:lang w:val="en-US" w:eastAsia="zh-CN"/>
                    </w:rPr>
                    <w:t>3</w:t>
                  </w:r>
                  <w:r>
                    <w:rPr>
                      <w:rFonts w:hint="eastAsia" w:cs="Times New Roman"/>
                      <w:bCs/>
                      <w:color w:val="auto"/>
                      <w:sz w:val="21"/>
                      <w:szCs w:val="21"/>
                      <w:highlight w:val="none"/>
                      <w:vertAlign w:val="baseline"/>
                      <w:lang w:val="en-US" w:eastAsia="zh-CN"/>
                    </w:rPr>
                    <w:t>）。</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yellow"/>
                      <w:vertAlign w:val="baseline"/>
                      <w:lang w:val="en-US" w:eastAsia="zh-CN"/>
                    </w:rPr>
                  </w:pPr>
                  <w:r>
                    <w:rPr>
                      <w:rFonts w:hint="eastAsia" w:cs="Times New Roman"/>
                      <w:bCs/>
                      <w:color w:val="auto"/>
                      <w:sz w:val="21"/>
                      <w:szCs w:val="21"/>
                      <w:highlight w:val="none"/>
                      <w:vertAlign w:val="baseline"/>
                      <w:lang w:val="en-US" w:eastAsia="zh-CN"/>
                    </w:rPr>
                    <w:t>临时</w:t>
                  </w:r>
                  <w:r>
                    <w:rPr>
                      <w:rFonts w:hint="eastAsia" w:ascii="Times New Roman" w:hAnsi="Times New Roman" w:cs="Times New Roman"/>
                      <w:bCs/>
                      <w:color w:val="auto"/>
                      <w:sz w:val="21"/>
                      <w:szCs w:val="21"/>
                      <w:highlight w:val="none"/>
                      <w:vertAlign w:val="baseline"/>
                      <w:lang w:val="en-US" w:eastAsia="zh-CN"/>
                    </w:rPr>
                    <w:t>覆盖系统</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yellow"/>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在垃圾堆体顶面表面依次压实</w:t>
                  </w:r>
                  <w:r>
                    <w:rPr>
                      <w:rFonts w:hint="default" w:ascii="Times New Roman" w:hAnsi="Times New Roman" w:cs="Times New Roman"/>
                      <w:bCs/>
                      <w:color w:val="auto"/>
                      <w:sz w:val="21"/>
                      <w:szCs w:val="21"/>
                      <w:highlight w:val="none"/>
                      <w:vertAlign w:val="baseline"/>
                      <w:lang w:val="en-US" w:eastAsia="zh-CN"/>
                    </w:rPr>
                    <w:fldChar w:fldCharType="begin"/>
                  </w:r>
                  <w:r>
                    <w:rPr>
                      <w:rFonts w:hint="default" w:ascii="Times New Roman" w:hAnsi="Times New Roman" w:cs="Times New Roman"/>
                      <w:bCs/>
                      <w:color w:val="auto"/>
                      <w:sz w:val="21"/>
                      <w:szCs w:val="21"/>
                      <w:highlight w:val="none"/>
                      <w:vertAlign w:val="baseline"/>
                      <w:lang w:val="en-US" w:eastAsia="zh-CN"/>
                    </w:rPr>
                    <w:instrText xml:space="preserve"> = 1 \* GB3 \* MERGEFORMAT </w:instrText>
                  </w:r>
                  <w:r>
                    <w:rPr>
                      <w:rFonts w:hint="default" w:ascii="Times New Roman" w:hAnsi="Times New Roman" w:cs="Times New Roman"/>
                      <w:bCs/>
                      <w:color w:val="auto"/>
                      <w:sz w:val="21"/>
                      <w:szCs w:val="21"/>
                      <w:highlight w:val="none"/>
                      <w:vertAlign w:val="baseline"/>
                      <w:lang w:val="en-US" w:eastAsia="zh-CN"/>
                    </w:rPr>
                    <w:fldChar w:fldCharType="separate"/>
                  </w:r>
                  <w:r>
                    <w:rPr>
                      <w:color w:val="auto"/>
                    </w:rPr>
                    <w:t>①</w:t>
                  </w:r>
                  <w:r>
                    <w:rPr>
                      <w:rFonts w:hint="default" w:ascii="Times New Roman" w:hAnsi="Times New Roman" w:cs="Times New Roman"/>
                      <w:bCs/>
                      <w:color w:val="auto"/>
                      <w:sz w:val="21"/>
                      <w:szCs w:val="21"/>
                      <w:highlight w:val="none"/>
                      <w:vertAlign w:val="baseline"/>
                      <w:lang w:val="en-US" w:eastAsia="zh-CN"/>
                    </w:rPr>
                    <w:fldChar w:fldCharType="end"/>
                  </w:r>
                  <w:r>
                    <w:rPr>
                      <w:rFonts w:hint="eastAsia" w:ascii="Times New Roman" w:hAnsi="Times New Roman" w:cs="Times New Roman"/>
                      <w:bCs/>
                      <w:color w:val="auto"/>
                      <w:sz w:val="21"/>
                      <w:szCs w:val="21"/>
                      <w:highlight w:val="none"/>
                      <w:vertAlign w:val="baseline"/>
                      <w:lang w:val="en-US" w:eastAsia="zh-CN"/>
                    </w:rPr>
                    <w:t>1.0</w:t>
                  </w:r>
                  <w:r>
                    <w:rPr>
                      <w:rFonts w:hint="default" w:ascii="Times New Roman" w:hAnsi="Times New Roman" w:cs="Times New Roman"/>
                      <w:bCs/>
                      <w:color w:val="auto"/>
                      <w:sz w:val="21"/>
                      <w:szCs w:val="21"/>
                      <w:highlight w:val="none"/>
                      <w:vertAlign w:val="baseline"/>
                      <w:lang w:val="en-US" w:eastAsia="zh-CN"/>
                    </w:rPr>
                    <w:t>mm</w:t>
                  </w:r>
                  <w:r>
                    <w:rPr>
                      <w:rFonts w:hint="eastAsia" w:ascii="Times New Roman" w:hAnsi="Times New Roman" w:cs="Times New Roman"/>
                      <w:bCs/>
                      <w:color w:val="auto"/>
                      <w:sz w:val="21"/>
                      <w:szCs w:val="21"/>
                      <w:highlight w:val="none"/>
                      <w:vertAlign w:val="baseline"/>
                      <w:lang w:val="en-US" w:eastAsia="zh-CN"/>
                    </w:rPr>
                    <w:t>厚</w:t>
                  </w:r>
                  <w:r>
                    <w:rPr>
                      <w:rFonts w:hint="default" w:ascii="Times New Roman" w:hAnsi="Times New Roman" w:cs="Times New Roman"/>
                      <w:bCs/>
                      <w:color w:val="auto"/>
                      <w:sz w:val="21"/>
                      <w:szCs w:val="21"/>
                      <w:highlight w:val="none"/>
                      <w:vertAlign w:val="baseline"/>
                      <w:lang w:val="en-US" w:eastAsia="zh-CN"/>
                    </w:rPr>
                    <w:t>土工膜</w:t>
                  </w:r>
                  <w:r>
                    <w:rPr>
                      <w:rFonts w:hint="eastAsia" w:ascii="Times New Roman" w:hAnsi="Times New Roman" w:cs="Times New Roman"/>
                      <w:bCs/>
                      <w:color w:val="auto"/>
                      <w:sz w:val="21"/>
                      <w:szCs w:val="21"/>
                      <w:highlight w:val="none"/>
                      <w:vertAlign w:val="baseline"/>
                      <w:lang w:val="en-US" w:eastAsia="zh-CN"/>
                    </w:rPr>
                    <w:t>（两布一膜）作为防渗层</w:t>
                  </w:r>
                  <w:r>
                    <w:rPr>
                      <w:rFonts w:hint="default" w:ascii="Times New Roman" w:hAnsi="Times New Roman" w:cs="Times New Roman"/>
                      <w:bCs/>
                      <w:color w:val="auto"/>
                      <w:sz w:val="21"/>
                      <w:szCs w:val="21"/>
                      <w:highlight w:val="none"/>
                      <w:vertAlign w:val="baseline"/>
                      <w:lang w:val="en-US" w:eastAsia="zh-CN"/>
                    </w:rPr>
                    <w:t>，</w:t>
                  </w:r>
                  <w:r>
                    <w:rPr>
                      <w:rFonts w:hint="eastAsia" w:ascii="Times New Roman" w:hAnsi="Times New Roman" w:cs="Times New Roman"/>
                      <w:bCs/>
                      <w:color w:val="auto"/>
                      <w:sz w:val="21"/>
                      <w:szCs w:val="21"/>
                      <w:highlight w:val="none"/>
                      <w:vertAlign w:val="baseline"/>
                      <w:lang w:val="en-US" w:eastAsia="zh-CN"/>
                    </w:rPr>
                    <w:t>其上在铺3</w:t>
                  </w:r>
                  <w:r>
                    <w:rPr>
                      <w:rFonts w:hint="default" w:ascii="Times New Roman" w:hAnsi="Times New Roman" w:cs="Times New Roman"/>
                      <w:bCs/>
                      <w:color w:val="auto"/>
                      <w:sz w:val="21"/>
                      <w:szCs w:val="21"/>
                      <w:highlight w:val="none"/>
                      <w:vertAlign w:val="baseline"/>
                      <w:lang w:val="en-US" w:eastAsia="zh-CN"/>
                    </w:rPr>
                    <w:t>00g/m</w:t>
                  </w:r>
                  <w:r>
                    <w:rPr>
                      <w:rFonts w:hint="default" w:ascii="Times New Roman" w:hAnsi="Times New Roman" w:cs="Times New Roman"/>
                      <w:bCs/>
                      <w:color w:val="auto"/>
                      <w:sz w:val="21"/>
                      <w:szCs w:val="21"/>
                      <w:highlight w:val="none"/>
                      <w:vertAlign w:val="superscript"/>
                      <w:lang w:val="en-US" w:eastAsia="zh-CN"/>
                    </w:rPr>
                    <w:t>2</w:t>
                  </w:r>
                  <w:r>
                    <w:rPr>
                      <w:rFonts w:hint="default" w:ascii="Times New Roman" w:hAnsi="Times New Roman" w:cs="Times New Roman"/>
                      <w:bCs/>
                      <w:color w:val="auto"/>
                      <w:sz w:val="21"/>
                      <w:szCs w:val="21"/>
                      <w:highlight w:val="none"/>
                      <w:vertAlign w:val="baseline"/>
                      <w:lang w:val="en-US" w:eastAsia="zh-CN"/>
                    </w:rPr>
                    <w:t>土工滤网</w:t>
                  </w:r>
                  <w:r>
                    <w:rPr>
                      <w:rFonts w:hint="eastAsia" w:ascii="Times New Roman" w:hAnsi="Times New Roman" w:cs="Times New Roman"/>
                      <w:bCs/>
                      <w:color w:val="auto"/>
                      <w:sz w:val="21"/>
                      <w:szCs w:val="21"/>
                      <w:highlight w:val="none"/>
                      <w:vertAlign w:val="baseline"/>
                      <w:lang w:val="en-US" w:eastAsia="zh-CN"/>
                    </w:rPr>
                    <w:t>，</w:t>
                  </w:r>
                  <w:r>
                    <w:rPr>
                      <w:rFonts w:hint="eastAsia" w:ascii="Times New Roman" w:hAnsi="Times New Roman" w:cs="Times New Roman"/>
                      <w:bCs/>
                      <w:color w:val="auto"/>
                      <w:sz w:val="21"/>
                      <w:szCs w:val="21"/>
                      <w:highlight w:val="none"/>
                      <w:vertAlign w:val="baseline"/>
                      <w:lang w:val="en-US" w:eastAsia="zh-CN"/>
                    </w:rPr>
                    <w:fldChar w:fldCharType="begin"/>
                  </w:r>
                  <w:r>
                    <w:rPr>
                      <w:rFonts w:hint="eastAsia" w:ascii="Times New Roman" w:hAnsi="Times New Roman" w:cs="Times New Roman"/>
                      <w:bCs/>
                      <w:color w:val="auto"/>
                      <w:sz w:val="21"/>
                      <w:szCs w:val="21"/>
                      <w:highlight w:val="none"/>
                      <w:vertAlign w:val="baseline"/>
                      <w:lang w:val="en-US" w:eastAsia="zh-CN"/>
                    </w:rPr>
                    <w:instrText xml:space="preserve"> = 2 \* GB3 \* MERGEFORMAT </w:instrText>
                  </w:r>
                  <w:r>
                    <w:rPr>
                      <w:rFonts w:hint="eastAsia" w:ascii="Times New Roman" w:hAnsi="Times New Roman" w:cs="Times New Roman"/>
                      <w:bCs/>
                      <w:color w:val="auto"/>
                      <w:sz w:val="21"/>
                      <w:szCs w:val="21"/>
                      <w:highlight w:val="none"/>
                      <w:vertAlign w:val="baseline"/>
                      <w:lang w:val="en-US" w:eastAsia="zh-CN"/>
                    </w:rPr>
                    <w:fldChar w:fldCharType="separate"/>
                  </w:r>
                  <w:r>
                    <w:rPr>
                      <w:color w:val="auto"/>
                    </w:rPr>
                    <w:t>②</w:t>
                  </w:r>
                  <w:r>
                    <w:rPr>
                      <w:rFonts w:hint="eastAsia" w:ascii="Times New Roman" w:hAnsi="Times New Roman" w:cs="Times New Roman"/>
                      <w:bCs/>
                      <w:color w:val="auto"/>
                      <w:sz w:val="21"/>
                      <w:szCs w:val="21"/>
                      <w:highlight w:val="none"/>
                      <w:vertAlign w:val="baseline"/>
                      <w:lang w:val="en-US" w:eastAsia="zh-CN"/>
                    </w:rPr>
                    <w:fldChar w:fldCharType="end"/>
                  </w:r>
                  <w:r>
                    <w:rPr>
                      <w:rFonts w:hint="eastAsia" w:cs="Times New Roman"/>
                      <w:bCs/>
                      <w:color w:val="auto"/>
                      <w:sz w:val="21"/>
                      <w:szCs w:val="21"/>
                      <w:highlight w:val="none"/>
                      <w:vertAlign w:val="baseline"/>
                      <w:lang w:val="en-US" w:eastAsia="zh-CN"/>
                    </w:rPr>
                    <w:t>再</w:t>
                  </w:r>
                  <w:r>
                    <w:rPr>
                      <w:rFonts w:hint="eastAsia" w:ascii="Times New Roman" w:hAnsi="Times New Roman" w:cs="Times New Roman"/>
                      <w:bCs/>
                      <w:color w:val="auto"/>
                      <w:sz w:val="21"/>
                      <w:szCs w:val="21"/>
                      <w:highlight w:val="none"/>
                      <w:vertAlign w:val="baseline"/>
                      <w:lang w:val="en-US" w:eastAsia="zh-CN"/>
                    </w:rPr>
                    <w:t>铺一层</w:t>
                  </w:r>
                  <w:r>
                    <w:rPr>
                      <w:rFonts w:hint="eastAsia" w:cs="Times New Roman"/>
                      <w:bCs/>
                      <w:color w:val="auto"/>
                      <w:sz w:val="21"/>
                      <w:szCs w:val="21"/>
                      <w:highlight w:val="none"/>
                      <w:vertAlign w:val="baseline"/>
                      <w:lang w:val="en-US" w:eastAsia="zh-CN"/>
                    </w:rPr>
                    <w:t>30cm</w:t>
                  </w:r>
                  <w:r>
                    <w:rPr>
                      <w:rFonts w:hint="eastAsia" w:ascii="Times New Roman" w:hAnsi="Times New Roman" w:cs="Times New Roman"/>
                      <w:bCs/>
                      <w:color w:val="auto"/>
                      <w:sz w:val="21"/>
                      <w:szCs w:val="21"/>
                      <w:highlight w:val="none"/>
                      <w:vertAlign w:val="baseline"/>
                      <w:lang w:val="en-US" w:eastAsia="zh-CN"/>
                    </w:rPr>
                    <w:t>土工复合排水网作排水层</w:t>
                  </w:r>
                  <w:r>
                    <w:rPr>
                      <w:rFonts w:hint="default" w:ascii="Times New Roman" w:hAnsi="Times New Roman"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边坡采用5mm土工复合排水网</w:t>
                  </w:r>
                  <w:r>
                    <w:rPr>
                      <w:rFonts w:hint="default" w:ascii="Times New Roman" w:hAnsi="Times New Roman" w:cs="Times New Roman"/>
                      <w:bCs/>
                      <w:color w:val="auto"/>
                      <w:sz w:val="21"/>
                      <w:szCs w:val="21"/>
                      <w:highlight w:val="none"/>
                      <w:vertAlign w:val="baseline"/>
                      <w:lang w:val="en-US" w:eastAsia="zh-CN"/>
                    </w:rPr>
                    <w:t>。</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restart"/>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辅助工程</w:t>
                  </w: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管理区</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widowControl w:val="0"/>
                    <w:kinsoku/>
                    <w:wordWrap/>
                    <w:bidi w:val="0"/>
                    <w:adjustRightInd/>
                    <w:snapToGrid/>
                    <w:spacing w:line="240" w:lineRule="auto"/>
                    <w:ind w:firstLine="560"/>
                    <w:textAlignment w:val="auto"/>
                    <w:rPr>
                      <w:rFonts w:hint="default" w:ascii="Times New Roman" w:hAnsi="Times New Roman" w:cs="Times New Roman"/>
                      <w:bCs/>
                      <w:sz w:val="21"/>
                      <w:szCs w:val="21"/>
                      <w:vertAlign w:val="baseline"/>
                      <w:lang w:val="en-US" w:eastAsia="zh-CN"/>
                    </w:rPr>
                  </w:pPr>
                  <w:r>
                    <w:rPr>
                      <w:rFonts w:hint="eastAsia" w:ascii="宋体" w:hAnsi="宋体" w:eastAsia="宋体" w:cs="宋体"/>
                      <w:color w:val="auto"/>
                      <w:sz w:val="21"/>
                      <w:szCs w:val="21"/>
                      <w:highlight w:val="none"/>
                    </w:rPr>
                    <w:t>管理用房平面尺寸为45.0</w:t>
                  </w:r>
                  <w:r>
                    <w:rPr>
                      <w:rFonts w:hint="default" w:ascii="宋体" w:hAnsi="宋体" w:eastAsia="宋体" w:cs="宋体"/>
                      <w:color w:val="auto"/>
                      <w:sz w:val="21"/>
                      <w:szCs w:val="21"/>
                      <w:highlight w:val="none"/>
                    </w:rPr>
                    <w:t>×</w:t>
                  </w:r>
                  <w:r>
                    <w:rPr>
                      <w:rFonts w:hint="eastAsia" w:ascii="宋体" w:hAnsi="宋体" w:eastAsia="宋体" w:cs="宋体"/>
                      <w:color w:val="auto"/>
                      <w:sz w:val="21"/>
                      <w:szCs w:val="21"/>
                      <w:highlight w:val="none"/>
                    </w:rPr>
                    <w:t>12.0m，内部设置办公室、计量室、值班室、卫生间、工具间等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地磅房平面尺寸3.0</w:t>
                  </w:r>
                  <w:r>
                    <w:rPr>
                      <w:rFonts w:hint="default" w:ascii="宋体" w:hAnsi="宋体" w:eastAsia="宋体" w:cs="宋体"/>
                      <w:color w:val="auto"/>
                      <w:sz w:val="21"/>
                      <w:szCs w:val="21"/>
                      <w:highlight w:val="none"/>
                    </w:rPr>
                    <w:t>×</w:t>
                  </w:r>
                  <w:r>
                    <w:rPr>
                      <w:rFonts w:hint="eastAsia" w:ascii="宋体" w:hAnsi="宋体" w:eastAsia="宋体" w:cs="宋体"/>
                      <w:color w:val="auto"/>
                      <w:sz w:val="21"/>
                      <w:szCs w:val="21"/>
                      <w:highlight w:val="none"/>
                    </w:rPr>
                    <w:t>4.0m。</w:t>
                  </w:r>
                  <w:r>
                    <w:rPr>
                      <w:rFonts w:hint="eastAsia" w:ascii="宋体" w:hAnsi="宋体" w:eastAsia="宋体" w:cs="宋体"/>
                      <w:color w:val="auto"/>
                      <w:sz w:val="21"/>
                      <w:szCs w:val="21"/>
                      <w:highlight w:val="none"/>
                      <w:lang w:val="en-US" w:eastAsia="zh-CN"/>
                    </w:rPr>
                    <w:t>管理用房建筑高度7米，建筑面积540平方米，地磅房建筑高度4.8米，建筑面积12平方米，耐火等级均为二级。</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覆盖土堆土区</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yellow"/>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位于</w:t>
                  </w:r>
                  <w:r>
                    <w:rPr>
                      <w:rFonts w:hint="eastAsia" w:cs="Times New Roman"/>
                      <w:bCs/>
                      <w:color w:val="auto"/>
                      <w:sz w:val="21"/>
                      <w:szCs w:val="21"/>
                      <w:highlight w:val="none"/>
                      <w:vertAlign w:val="baseline"/>
                      <w:lang w:val="en-US" w:eastAsia="zh-CN"/>
                    </w:rPr>
                    <w:t>暂存</w:t>
                  </w:r>
                  <w:r>
                    <w:rPr>
                      <w:rFonts w:hint="eastAsia" w:ascii="Times New Roman" w:hAnsi="Times New Roman" w:cs="Times New Roman"/>
                      <w:bCs/>
                      <w:color w:val="auto"/>
                      <w:sz w:val="21"/>
                      <w:szCs w:val="21"/>
                      <w:highlight w:val="none"/>
                      <w:vertAlign w:val="baseline"/>
                      <w:lang w:val="en-US" w:eastAsia="zh-CN"/>
                    </w:rPr>
                    <w:t>场西侧建设区域内，土方表面加盖密布网，用于堆土的临时存放</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kern w:val="2"/>
                      <w:sz w:val="21"/>
                      <w:szCs w:val="21"/>
                      <w:highlight w:val="none"/>
                      <w:vertAlign w:val="baseline"/>
                      <w:lang w:val="en-US" w:eastAsia="zh-CN" w:bidi="ar-SA"/>
                    </w:rPr>
                  </w:pPr>
                  <w:r>
                    <w:rPr>
                      <w:rFonts w:hint="eastAsia" w:cs="Times New Roman"/>
                      <w:bCs/>
                      <w:sz w:val="21"/>
                      <w:szCs w:val="21"/>
                      <w:highlight w:val="none"/>
                      <w:vertAlign w:val="baseline"/>
                      <w:lang w:val="en-US" w:eastAsia="zh-CN"/>
                    </w:rPr>
                    <w:t>厂区道路</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widowControl w:val="0"/>
                    <w:kinsoku/>
                    <w:wordWrap/>
                    <w:bidi w:val="0"/>
                    <w:adjustRightInd/>
                    <w:snapToGrid/>
                    <w:spacing w:line="240" w:lineRule="auto"/>
                    <w:ind w:firstLine="560"/>
                    <w:textAlignment w:val="auto"/>
                    <w:rPr>
                      <w:rFonts w:hint="default" w:ascii="Times New Roman" w:hAnsi="Times New Roman" w:cs="Times New Roman"/>
                      <w:bCs/>
                      <w:kern w:val="2"/>
                      <w:sz w:val="21"/>
                      <w:szCs w:val="21"/>
                      <w:highlight w:val="none"/>
                      <w:vertAlign w:val="baseline"/>
                      <w:lang w:val="en-US" w:eastAsia="zh-CN" w:bidi="ar-SA"/>
                    </w:rPr>
                  </w:pPr>
                  <w:r>
                    <w:rPr>
                      <w:rFonts w:hint="eastAsia" w:cs="Times New Roman"/>
                      <w:bCs/>
                      <w:sz w:val="21"/>
                      <w:szCs w:val="21"/>
                      <w:highlight w:val="none"/>
                      <w:vertAlign w:val="baseline"/>
                      <w:lang w:val="en-US" w:eastAsia="zh-CN"/>
                    </w:rPr>
                    <w:t>新建水泥道路220米，路面车行道宽6米，</w:t>
                  </w:r>
                  <w:r>
                    <w:rPr>
                      <w:rFonts w:hint="eastAsia" w:ascii="宋体" w:hAnsi="宋体" w:eastAsia="宋体" w:cs="宋体"/>
                      <w:color w:val="auto"/>
                      <w:sz w:val="21"/>
                      <w:szCs w:val="21"/>
                      <w:highlight w:val="none"/>
                    </w:rPr>
                    <w:t>道路纵坡均按照《厂矿道路设计规范》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GBJ22-87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执行，小于最大纵坡6%的要求</w:t>
                  </w:r>
                  <w:r>
                    <w:rPr>
                      <w:rFonts w:hint="eastAsia" w:ascii="宋体" w:hAnsi="宋体" w:eastAsia="宋体" w:cs="宋体"/>
                      <w:color w:val="auto"/>
                      <w:sz w:val="21"/>
                      <w:szCs w:val="21"/>
                      <w:highlight w:val="none"/>
                      <w:lang w:eastAsia="zh-CN"/>
                    </w:rPr>
                    <w:t>。</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sz w:val="21"/>
                      <w:szCs w:val="21"/>
                      <w:highlight w:val="none"/>
                      <w:vertAlign w:val="baseline"/>
                      <w:lang w:val="en-US" w:eastAsia="zh-CN"/>
                    </w:rPr>
                  </w:pPr>
                  <w:r>
                    <w:rPr>
                      <w:rFonts w:hint="eastAsia" w:cs="Times New Roman"/>
                      <w:bCs/>
                      <w:sz w:val="21"/>
                      <w:szCs w:val="21"/>
                      <w:highlight w:val="none"/>
                      <w:vertAlign w:val="baseline"/>
                      <w:lang w:val="en-US" w:eastAsia="zh-CN"/>
                    </w:rPr>
                    <w:t>运输道路</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bCs/>
                      <w:sz w:val="21"/>
                      <w:szCs w:val="21"/>
                      <w:highlight w:val="none"/>
                      <w:vertAlign w:val="baseline"/>
                      <w:lang w:val="en-US" w:eastAsia="zh-CN"/>
                    </w:rPr>
                  </w:pPr>
                  <w:r>
                    <w:rPr>
                      <w:rFonts w:hint="eastAsia" w:cs="Times New Roman"/>
                      <w:bCs/>
                      <w:sz w:val="21"/>
                      <w:szCs w:val="21"/>
                      <w:highlight w:val="none"/>
                      <w:vertAlign w:val="baseline"/>
                      <w:lang w:val="en-US" w:eastAsia="zh-CN"/>
                    </w:rPr>
                    <w:t>依托原有道路</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sz w:val="21"/>
                      <w:szCs w:val="21"/>
                      <w:highlight w:val="none"/>
                      <w:vertAlign w:val="baseline"/>
                      <w:lang w:val="en-US" w:eastAsia="zh-CN"/>
                    </w:rPr>
                  </w:pPr>
                  <w:r>
                    <w:rPr>
                      <w:rFonts w:hint="eastAsia" w:ascii="Times New Roman" w:hAnsi="Times New Roman" w:cs="Times New Roman"/>
                      <w:bCs/>
                      <w:sz w:val="21"/>
                      <w:szCs w:val="21"/>
                      <w:vertAlign w:val="baseline"/>
                      <w:lang w:val="en-US" w:eastAsia="zh-CN"/>
                    </w:rPr>
                    <w:t>环境监测系统</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sz w:val="21"/>
                      <w:szCs w:val="21"/>
                      <w:highlight w:val="none"/>
                      <w:vertAlign w:val="baseline"/>
                      <w:lang w:val="en-US" w:eastAsia="zh-CN"/>
                    </w:rPr>
                  </w:pPr>
                  <w:r>
                    <w:rPr>
                      <w:rFonts w:hint="default" w:ascii="Times New Roman" w:hAnsi="Times New Roman" w:cs="Times New Roman"/>
                      <w:bCs/>
                      <w:sz w:val="21"/>
                      <w:szCs w:val="21"/>
                      <w:vertAlign w:val="baseline"/>
                      <w:lang w:val="en-US" w:eastAsia="zh-CN"/>
                    </w:rPr>
                    <w:t>在</w:t>
                  </w:r>
                  <w:r>
                    <w:rPr>
                      <w:rFonts w:hint="eastAsia" w:cs="Times New Roman"/>
                      <w:bCs/>
                      <w:sz w:val="21"/>
                      <w:szCs w:val="21"/>
                      <w:vertAlign w:val="baseline"/>
                      <w:lang w:val="en-US" w:eastAsia="zh-CN"/>
                    </w:rPr>
                    <w:t>暂存</w:t>
                  </w:r>
                  <w:r>
                    <w:rPr>
                      <w:rFonts w:hint="default" w:ascii="Times New Roman" w:hAnsi="Times New Roman" w:cs="Times New Roman"/>
                      <w:bCs/>
                      <w:sz w:val="21"/>
                      <w:szCs w:val="21"/>
                      <w:vertAlign w:val="baseline"/>
                      <w:lang w:val="en-US" w:eastAsia="zh-CN"/>
                    </w:rPr>
                    <w:t>场上游</w:t>
                  </w:r>
                  <w:r>
                    <w:rPr>
                      <w:rFonts w:hint="eastAsia" w:ascii="Times New Roman" w:hAnsi="Times New Roman" w:cs="Times New Roman"/>
                      <w:bCs/>
                      <w:sz w:val="21"/>
                      <w:szCs w:val="21"/>
                      <w:vertAlign w:val="baseline"/>
                      <w:lang w:val="en-US" w:eastAsia="zh-CN"/>
                    </w:rPr>
                    <w:t>南侧</w:t>
                  </w:r>
                  <w:r>
                    <w:rPr>
                      <w:rFonts w:hint="default" w:ascii="Times New Roman" w:hAnsi="Times New Roman" w:cs="Times New Roman"/>
                      <w:bCs/>
                      <w:sz w:val="21"/>
                      <w:szCs w:val="21"/>
                      <w:vertAlign w:val="baseline"/>
                      <w:lang w:val="en-US" w:eastAsia="zh-CN"/>
                    </w:rPr>
                    <w:t>30米处设1点，两侧各设1扩散监测点，下游</w:t>
                  </w:r>
                  <w:r>
                    <w:rPr>
                      <w:rFonts w:hint="eastAsia" w:ascii="Times New Roman" w:hAnsi="Times New Roman" w:cs="Times New Roman"/>
                      <w:bCs/>
                      <w:sz w:val="21"/>
                      <w:szCs w:val="21"/>
                      <w:vertAlign w:val="baseline"/>
                      <w:lang w:val="en-US" w:eastAsia="zh-CN"/>
                    </w:rPr>
                    <w:t>北侧</w:t>
                  </w:r>
                  <w:r>
                    <w:rPr>
                      <w:rFonts w:hint="default" w:ascii="Times New Roman" w:hAnsi="Times New Roman" w:cs="Times New Roman"/>
                      <w:bCs/>
                      <w:sz w:val="21"/>
                      <w:szCs w:val="21"/>
                      <w:vertAlign w:val="baseline"/>
                      <w:lang w:val="en-US" w:eastAsia="zh-CN"/>
                    </w:rPr>
                    <w:t>30米和50米处各设1</w:t>
                  </w:r>
                  <w:r>
                    <w:rPr>
                      <w:rFonts w:hint="eastAsia"/>
                      <w:lang w:val="en-US" w:eastAsia="zh-CN"/>
                    </w:rPr>
                    <w:t>地下水</w:t>
                  </w:r>
                  <w:r>
                    <w:rPr>
                      <w:rFonts w:hint="default" w:ascii="Times New Roman" w:hAnsi="Times New Roman" w:cs="Times New Roman"/>
                      <w:bCs/>
                      <w:sz w:val="21"/>
                      <w:szCs w:val="21"/>
                      <w:vertAlign w:val="baseline"/>
                      <w:lang w:val="en-US" w:eastAsia="zh-CN"/>
                    </w:rPr>
                    <w:t>污染监测点，并设置1个排水井。监测井深入地下水位不小于8米。</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restart"/>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公用工程</w:t>
                  </w: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none"/>
                      <w:vertAlign w:val="baseline"/>
                      <w:lang w:val="en-US" w:eastAsia="zh-CN"/>
                    </w:rPr>
                  </w:pPr>
                  <w:r>
                    <w:rPr>
                      <w:rFonts w:hint="eastAsia" w:ascii="Times New Roman" w:hAnsi="Times New Roman" w:cs="Times New Roman"/>
                      <w:bCs/>
                      <w:sz w:val="21"/>
                      <w:szCs w:val="21"/>
                      <w:highlight w:val="none"/>
                      <w:vertAlign w:val="baseline"/>
                      <w:lang w:val="en-US" w:eastAsia="zh-CN"/>
                    </w:rPr>
                    <w:t>供水工程</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none"/>
                      <w:vertAlign w:val="baseline"/>
                      <w:lang w:val="en-US" w:eastAsia="zh-CN"/>
                    </w:rPr>
                  </w:pPr>
                  <w:r>
                    <w:rPr>
                      <w:rFonts w:hint="eastAsia" w:ascii="Times New Roman" w:hAnsi="Times New Roman" w:cs="Times New Roman"/>
                      <w:bCs/>
                      <w:sz w:val="21"/>
                      <w:szCs w:val="21"/>
                      <w:highlight w:val="none"/>
                      <w:vertAlign w:val="baseline"/>
                      <w:lang w:val="en-US" w:eastAsia="zh-CN"/>
                    </w:rPr>
                    <w:t>本项目供水由</w:t>
                  </w:r>
                  <w:r>
                    <w:rPr>
                      <w:rFonts w:hint="eastAsia" w:cs="Times New Roman"/>
                      <w:bCs/>
                      <w:sz w:val="21"/>
                      <w:szCs w:val="21"/>
                      <w:highlight w:val="none"/>
                      <w:vertAlign w:val="baseline"/>
                      <w:lang w:val="en-US" w:eastAsia="zh-CN"/>
                    </w:rPr>
                    <w:t>市政管道</w:t>
                  </w:r>
                  <w:r>
                    <w:rPr>
                      <w:rFonts w:hint="eastAsia" w:ascii="Times New Roman" w:hAnsi="Times New Roman" w:cs="Times New Roman"/>
                      <w:bCs/>
                      <w:sz w:val="21"/>
                      <w:szCs w:val="21"/>
                      <w:highlight w:val="none"/>
                      <w:vertAlign w:val="baseline"/>
                      <w:lang w:val="en-US" w:eastAsia="zh-CN"/>
                    </w:rPr>
                    <w:t>供水系统提供</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none"/>
                      <w:vertAlign w:val="baseline"/>
                      <w:lang w:val="en-US" w:eastAsia="zh-CN"/>
                    </w:rPr>
                  </w:pPr>
                  <w:r>
                    <w:rPr>
                      <w:rFonts w:hint="eastAsia" w:ascii="Times New Roman" w:hAnsi="Times New Roman" w:cs="Times New Roman"/>
                      <w:bCs/>
                      <w:sz w:val="21"/>
                      <w:szCs w:val="21"/>
                      <w:highlight w:val="none"/>
                      <w:vertAlign w:val="baseline"/>
                      <w:lang w:val="en-US" w:eastAsia="zh-CN"/>
                    </w:rPr>
                    <w:t>排水工程</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none"/>
                      <w:vertAlign w:val="baseline"/>
                      <w:lang w:val="en-US" w:eastAsia="zh-CN"/>
                    </w:rPr>
                  </w:pPr>
                  <w:r>
                    <w:rPr>
                      <w:rFonts w:hint="eastAsia" w:ascii="Times New Roman" w:hAnsi="Times New Roman" w:cs="Times New Roman"/>
                      <w:bCs/>
                      <w:sz w:val="21"/>
                      <w:szCs w:val="21"/>
                      <w:highlight w:val="none"/>
                      <w:vertAlign w:val="baseline"/>
                      <w:lang w:val="en-US" w:eastAsia="zh-CN"/>
                    </w:rPr>
                    <w:t>生活污水及冲洗废水排入化粪池中，由吸污车拉运至</w:t>
                  </w:r>
                  <w:r>
                    <w:rPr>
                      <w:rFonts w:hint="eastAsia" w:cs="Times New Roman"/>
                      <w:bCs/>
                      <w:sz w:val="21"/>
                      <w:szCs w:val="21"/>
                      <w:highlight w:val="none"/>
                      <w:vertAlign w:val="baseline"/>
                      <w:lang w:val="en-US" w:eastAsia="zh-CN"/>
                    </w:rPr>
                    <w:t>七台河市第二</w:t>
                  </w:r>
                  <w:r>
                    <w:rPr>
                      <w:rFonts w:hint="eastAsia" w:ascii="Times New Roman" w:hAnsi="Times New Roman" w:cs="Times New Roman"/>
                      <w:bCs/>
                      <w:sz w:val="21"/>
                      <w:szCs w:val="21"/>
                      <w:highlight w:val="none"/>
                      <w:vertAlign w:val="baseline"/>
                      <w:lang w:val="en-US" w:eastAsia="zh-CN"/>
                    </w:rPr>
                    <w:t>污水处理厂处理；雨水渗水排入</w:t>
                  </w:r>
                  <w:r>
                    <w:rPr>
                      <w:rFonts w:hint="eastAsia" w:cs="Times New Roman"/>
                      <w:bCs/>
                      <w:sz w:val="21"/>
                      <w:szCs w:val="21"/>
                      <w:highlight w:val="none"/>
                      <w:vertAlign w:val="baseline"/>
                      <w:lang w:val="en-US" w:eastAsia="zh-CN"/>
                    </w:rPr>
                    <w:t>沉淀</w:t>
                  </w:r>
                  <w:r>
                    <w:rPr>
                      <w:rFonts w:hint="eastAsia" w:ascii="Times New Roman" w:hAnsi="Times New Roman" w:cs="Times New Roman"/>
                      <w:bCs/>
                      <w:sz w:val="21"/>
                      <w:szCs w:val="21"/>
                      <w:highlight w:val="none"/>
                      <w:vertAlign w:val="baseline"/>
                      <w:lang w:val="en-US" w:eastAsia="zh-CN"/>
                    </w:rPr>
                    <w:t>池中</w:t>
                  </w:r>
                  <w:r>
                    <w:rPr>
                      <w:rFonts w:hint="eastAsia" w:cs="Times New Roman"/>
                      <w:bCs/>
                      <w:sz w:val="21"/>
                      <w:szCs w:val="21"/>
                      <w:highlight w:val="none"/>
                      <w:vertAlign w:val="baseline"/>
                      <w:lang w:val="en-US" w:eastAsia="zh-CN"/>
                    </w:rPr>
                    <w:t>沉淀后</w:t>
                  </w:r>
                  <w:r>
                    <w:rPr>
                      <w:rFonts w:hint="eastAsia" w:ascii="Times New Roman" w:hAnsi="Times New Roman" w:cs="Times New Roman"/>
                      <w:bCs/>
                      <w:sz w:val="21"/>
                      <w:szCs w:val="21"/>
                      <w:highlight w:val="none"/>
                      <w:vertAlign w:val="baseline"/>
                      <w:lang w:val="en-US" w:eastAsia="zh-CN"/>
                    </w:rPr>
                    <w:t>，</w:t>
                  </w:r>
                  <w:r>
                    <w:rPr>
                      <w:rFonts w:hint="eastAsia" w:cs="Times New Roman"/>
                      <w:bCs/>
                      <w:sz w:val="21"/>
                      <w:szCs w:val="21"/>
                      <w:highlight w:val="none"/>
                      <w:vertAlign w:val="baseline"/>
                      <w:lang w:val="en-US" w:eastAsia="zh-CN"/>
                    </w:rPr>
                    <w:t>排入雨水渗水暂存池，与化粪池污水一起</w:t>
                  </w:r>
                  <w:r>
                    <w:rPr>
                      <w:rFonts w:hint="eastAsia" w:ascii="Times New Roman" w:hAnsi="Times New Roman" w:cs="Times New Roman"/>
                      <w:bCs/>
                      <w:sz w:val="21"/>
                      <w:szCs w:val="21"/>
                      <w:highlight w:val="none"/>
                      <w:vertAlign w:val="baseline"/>
                      <w:lang w:val="en-US" w:eastAsia="zh-CN"/>
                    </w:rPr>
                    <w:t>由吸污车拉运至</w:t>
                  </w:r>
                  <w:r>
                    <w:rPr>
                      <w:rFonts w:hint="eastAsia" w:cs="Times New Roman"/>
                      <w:bCs/>
                      <w:sz w:val="21"/>
                      <w:szCs w:val="21"/>
                      <w:highlight w:val="none"/>
                      <w:vertAlign w:val="baseline"/>
                      <w:lang w:val="en-US" w:eastAsia="zh-CN"/>
                    </w:rPr>
                    <w:t>七台河市第二</w:t>
                  </w:r>
                  <w:r>
                    <w:rPr>
                      <w:rFonts w:hint="eastAsia" w:ascii="Times New Roman" w:hAnsi="Times New Roman" w:cs="Times New Roman"/>
                      <w:bCs/>
                      <w:sz w:val="21"/>
                      <w:szCs w:val="21"/>
                      <w:highlight w:val="none"/>
                      <w:vertAlign w:val="baseline"/>
                      <w:lang w:val="en-US" w:eastAsia="zh-CN"/>
                    </w:rPr>
                    <w:t>污水处理厂处理</w:t>
                  </w:r>
                  <w:r>
                    <w:rPr>
                      <w:rFonts w:hint="eastAsia" w:cs="Times New Roman"/>
                      <w:bCs/>
                      <w:sz w:val="21"/>
                      <w:szCs w:val="21"/>
                      <w:highlight w:val="none"/>
                      <w:vertAlign w:val="baseline"/>
                      <w:lang w:val="en-US" w:eastAsia="zh-CN"/>
                    </w:rPr>
                    <w:t>。</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none"/>
                      <w:vertAlign w:val="baseline"/>
                      <w:lang w:val="en-US" w:eastAsia="zh-CN"/>
                    </w:rPr>
                  </w:pPr>
                  <w:r>
                    <w:rPr>
                      <w:rFonts w:hint="eastAsia" w:ascii="Times New Roman" w:hAnsi="Times New Roman" w:cs="Times New Roman"/>
                      <w:bCs/>
                      <w:sz w:val="21"/>
                      <w:szCs w:val="21"/>
                      <w:highlight w:val="none"/>
                      <w:vertAlign w:val="baseline"/>
                      <w:lang w:val="en-US" w:eastAsia="zh-CN"/>
                    </w:rPr>
                    <w:t>供热工程</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none"/>
                      <w:vertAlign w:val="baseline"/>
                      <w:lang w:val="en-US" w:eastAsia="zh-CN"/>
                    </w:rPr>
                  </w:pPr>
                  <w:r>
                    <w:rPr>
                      <w:rFonts w:hint="eastAsia" w:ascii="宋体" w:hAnsi="宋体" w:eastAsia="宋体" w:cs="宋体"/>
                      <w:color w:val="auto"/>
                      <w:sz w:val="21"/>
                      <w:szCs w:val="21"/>
                      <w:highlight w:val="none"/>
                      <w:lang w:eastAsia="zh-CN"/>
                    </w:rPr>
                    <w:t>采用市政供热管网</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none"/>
                      <w:vertAlign w:val="baseline"/>
                      <w:lang w:val="en-US" w:eastAsia="zh-CN"/>
                    </w:rPr>
                  </w:pPr>
                  <w:r>
                    <w:rPr>
                      <w:rFonts w:hint="eastAsia" w:ascii="Times New Roman" w:hAnsi="Times New Roman" w:cs="Times New Roman"/>
                      <w:bCs/>
                      <w:sz w:val="21"/>
                      <w:szCs w:val="21"/>
                      <w:highlight w:val="none"/>
                      <w:vertAlign w:val="baseline"/>
                      <w:lang w:val="en-US" w:eastAsia="zh-CN"/>
                    </w:rPr>
                    <w:t>供电工程</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none"/>
                      <w:vertAlign w:val="baseline"/>
                      <w:lang w:val="en-US" w:eastAsia="zh-CN"/>
                    </w:rPr>
                  </w:pPr>
                  <w:r>
                    <w:rPr>
                      <w:rFonts w:hint="eastAsia" w:cs="Times New Roman"/>
                      <w:bCs/>
                      <w:sz w:val="21"/>
                      <w:szCs w:val="21"/>
                      <w:highlight w:val="none"/>
                      <w:vertAlign w:val="baseline"/>
                      <w:lang w:val="en-US" w:eastAsia="zh-CN"/>
                    </w:rPr>
                    <w:t>暂存</w:t>
                  </w:r>
                  <w:r>
                    <w:rPr>
                      <w:rFonts w:hint="default" w:ascii="Times New Roman" w:hAnsi="Times New Roman" w:cs="Times New Roman"/>
                      <w:bCs/>
                      <w:sz w:val="21"/>
                      <w:szCs w:val="21"/>
                      <w:highlight w:val="none"/>
                      <w:vertAlign w:val="baseline"/>
                      <w:lang w:val="en-US" w:eastAsia="zh-CN"/>
                    </w:rPr>
                    <w:t>场附近设有10kV</w:t>
                  </w:r>
                  <w:r>
                    <w:rPr>
                      <w:rFonts w:hint="eastAsia" w:cs="Times New Roman"/>
                      <w:bCs/>
                      <w:sz w:val="21"/>
                      <w:szCs w:val="21"/>
                      <w:highlight w:val="none"/>
                      <w:vertAlign w:val="baseline"/>
                      <w:lang w:val="en-US" w:eastAsia="zh-CN"/>
                    </w:rPr>
                    <w:t>终端杆作为外部电源，暂存场通过变压器降压后供给全部用电负荷</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restart"/>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环保工程</w:t>
                  </w: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yellow"/>
                      <w:vertAlign w:val="baseline"/>
                      <w:lang w:val="en-US" w:eastAsia="zh-CN"/>
                    </w:rPr>
                  </w:pPr>
                  <w:r>
                    <w:rPr>
                      <w:rFonts w:hint="eastAsia" w:ascii="Times New Roman" w:hAnsi="Times New Roman" w:cs="Times New Roman"/>
                      <w:bCs/>
                      <w:sz w:val="21"/>
                      <w:szCs w:val="21"/>
                      <w:highlight w:val="none"/>
                      <w:vertAlign w:val="baseline"/>
                      <w:lang w:val="en-US" w:eastAsia="zh-CN"/>
                    </w:rPr>
                    <w:t>废气治理</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yellow"/>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①卸车扬尘：车辆装卸点应集中，倾倒垃圾时降低倾倒高度，并进行洒水降尘；②</w:t>
                  </w:r>
                  <w:r>
                    <w:rPr>
                      <w:rFonts w:hint="eastAsia" w:cs="Times New Roman"/>
                      <w:bCs/>
                      <w:color w:val="auto"/>
                      <w:sz w:val="21"/>
                      <w:szCs w:val="21"/>
                      <w:highlight w:val="none"/>
                      <w:vertAlign w:val="baseline"/>
                      <w:lang w:val="en-US" w:eastAsia="zh-CN"/>
                    </w:rPr>
                    <w:t>暂存</w:t>
                  </w:r>
                  <w:r>
                    <w:rPr>
                      <w:rFonts w:hint="default" w:ascii="Times New Roman" w:hAnsi="Times New Roman" w:cs="Times New Roman"/>
                      <w:bCs/>
                      <w:color w:val="auto"/>
                      <w:sz w:val="21"/>
                      <w:szCs w:val="21"/>
                      <w:highlight w:val="none"/>
                      <w:vertAlign w:val="baseline"/>
                      <w:lang w:val="en-US" w:eastAsia="zh-CN"/>
                    </w:rPr>
                    <w:t>场堆料扬尘：垃圾堆体表面洒水降尘</w:t>
                  </w:r>
                  <w:r>
                    <w:rPr>
                      <w:rFonts w:hint="eastAsia" w:ascii="Times New Roman" w:hAnsi="Times New Roman" w:cs="Times New Roman"/>
                      <w:bCs/>
                      <w:color w:val="auto"/>
                      <w:sz w:val="21"/>
                      <w:szCs w:val="21"/>
                      <w:highlight w:val="none"/>
                      <w:vertAlign w:val="baseline"/>
                      <w:lang w:val="en-US" w:eastAsia="zh-CN"/>
                    </w:rPr>
                    <w:t>；</w:t>
                  </w:r>
                  <w:r>
                    <w:rPr>
                      <w:rFonts w:hint="default" w:ascii="Times New Roman" w:hAnsi="Times New Roman" w:cs="Times New Roman"/>
                      <w:bCs/>
                      <w:color w:val="auto"/>
                      <w:sz w:val="21"/>
                      <w:szCs w:val="21"/>
                      <w:highlight w:val="none"/>
                      <w:vertAlign w:val="baseline"/>
                      <w:lang w:val="en-US" w:eastAsia="zh-CN"/>
                    </w:rPr>
                    <w:t>③道路运输：车辆应加盖篷布，减速慢行；对运输道路硬化；运送垃圾车辆及时进行表面冲洗，并对场区内道路进行清扫和洒水</w:t>
                  </w:r>
                  <w:r>
                    <w:rPr>
                      <w:rFonts w:hint="eastAsia" w:cs="Times New Roman"/>
                      <w:bCs/>
                      <w:color w:val="auto"/>
                      <w:sz w:val="21"/>
                      <w:szCs w:val="21"/>
                      <w:highlight w:val="none"/>
                      <w:vertAlign w:val="baseline"/>
                      <w:lang w:val="en-US" w:eastAsia="zh-CN"/>
                    </w:rPr>
                    <w:t>；</w:t>
                  </w:r>
                  <w:r>
                    <w:rPr>
                      <w:rFonts w:hint="default" w:ascii="Times New Roman" w:hAnsi="Times New Roman" w:cs="Times New Roman"/>
                      <w:bCs/>
                      <w:color w:val="auto"/>
                      <w:sz w:val="21"/>
                      <w:szCs w:val="21"/>
                      <w:highlight w:val="none"/>
                      <w:vertAlign w:val="baseline"/>
                      <w:lang w:val="en-US" w:eastAsia="zh-CN"/>
                    </w:rPr>
                    <w:fldChar w:fldCharType="begin"/>
                  </w:r>
                  <w:r>
                    <w:rPr>
                      <w:rFonts w:hint="default" w:ascii="Times New Roman" w:hAnsi="Times New Roman" w:cs="Times New Roman"/>
                      <w:bCs/>
                      <w:color w:val="auto"/>
                      <w:sz w:val="21"/>
                      <w:szCs w:val="21"/>
                      <w:highlight w:val="none"/>
                      <w:vertAlign w:val="baseline"/>
                      <w:lang w:val="en-US" w:eastAsia="zh-CN"/>
                    </w:rPr>
                    <w:instrText xml:space="preserve"> = 4 \* GB3 \* MERGEFORMAT </w:instrText>
                  </w:r>
                  <w:r>
                    <w:rPr>
                      <w:rFonts w:hint="default" w:ascii="Times New Roman" w:hAnsi="Times New Roman" w:cs="Times New Roman"/>
                      <w:bCs/>
                      <w:color w:val="auto"/>
                      <w:sz w:val="21"/>
                      <w:szCs w:val="21"/>
                      <w:highlight w:val="none"/>
                      <w:vertAlign w:val="baseline"/>
                      <w:lang w:val="en-US" w:eastAsia="zh-CN"/>
                    </w:rPr>
                    <w:fldChar w:fldCharType="separate"/>
                  </w:r>
                  <w:r>
                    <w:rPr>
                      <w:color w:val="auto"/>
                    </w:rPr>
                    <w:t>④</w:t>
                  </w:r>
                  <w:r>
                    <w:rPr>
                      <w:rFonts w:hint="default" w:ascii="Times New Roman" w:hAnsi="Times New Roman" w:cs="Times New Roman"/>
                      <w:bCs/>
                      <w:color w:val="auto"/>
                      <w:sz w:val="21"/>
                      <w:szCs w:val="21"/>
                      <w:highlight w:val="none"/>
                      <w:vertAlign w:val="baseline"/>
                      <w:lang w:val="en-US" w:eastAsia="zh-CN"/>
                    </w:rPr>
                    <w:fldChar w:fldCharType="end"/>
                  </w:r>
                  <w:r>
                    <w:rPr>
                      <w:rFonts w:hint="eastAsia" w:cs="Times New Roman"/>
                      <w:bCs/>
                      <w:color w:val="auto"/>
                      <w:sz w:val="21"/>
                      <w:szCs w:val="21"/>
                      <w:highlight w:val="none"/>
                      <w:vertAlign w:val="baseline"/>
                      <w:lang w:val="en-US" w:eastAsia="zh-CN"/>
                    </w:rPr>
                    <w:t>对堆料完成的单元进行临时覆盖，临时覆盖系统按要求防雨、防尘。</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yellow"/>
                      <w:vertAlign w:val="baseline"/>
                      <w:lang w:val="en-US" w:eastAsia="zh-CN"/>
                    </w:rPr>
                  </w:pPr>
                  <w:r>
                    <w:rPr>
                      <w:rFonts w:hint="eastAsia" w:ascii="Times New Roman" w:hAnsi="Times New Roman" w:cs="Times New Roman"/>
                      <w:bCs/>
                      <w:sz w:val="21"/>
                      <w:szCs w:val="21"/>
                      <w:highlight w:val="none"/>
                      <w:vertAlign w:val="baseline"/>
                      <w:lang w:val="en-US" w:eastAsia="zh-CN"/>
                    </w:rPr>
                    <w:t>废水治理</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yellow"/>
                      <w:vertAlign w:val="baseline"/>
                      <w:lang w:val="en-US" w:eastAsia="zh-CN"/>
                    </w:rPr>
                  </w:pPr>
                  <w:r>
                    <w:rPr>
                      <w:rFonts w:hint="default" w:ascii="Times New Roman" w:hAnsi="Times New Roman" w:cs="Times New Roman"/>
                      <w:bCs/>
                      <w:sz w:val="21"/>
                      <w:szCs w:val="21"/>
                      <w:highlight w:val="none"/>
                      <w:vertAlign w:val="baseline"/>
                      <w:lang w:val="en-US" w:eastAsia="zh-CN"/>
                    </w:rPr>
                    <w:t>生活污水</w:t>
                  </w:r>
                  <w:r>
                    <w:rPr>
                      <w:rFonts w:hint="eastAsia" w:ascii="Times New Roman" w:hAnsi="Times New Roman" w:cs="Times New Roman"/>
                      <w:bCs/>
                      <w:sz w:val="21"/>
                      <w:szCs w:val="21"/>
                      <w:highlight w:val="none"/>
                      <w:vertAlign w:val="baseline"/>
                      <w:lang w:val="en-US" w:eastAsia="zh-CN"/>
                    </w:rPr>
                    <w:t>及冲洗废水</w:t>
                  </w:r>
                  <w:r>
                    <w:rPr>
                      <w:rFonts w:hint="default" w:ascii="Times New Roman" w:hAnsi="Times New Roman" w:cs="Times New Roman"/>
                      <w:bCs/>
                      <w:sz w:val="21"/>
                      <w:szCs w:val="21"/>
                      <w:highlight w:val="none"/>
                      <w:vertAlign w:val="baseline"/>
                      <w:lang w:val="en-US" w:eastAsia="zh-CN"/>
                    </w:rPr>
                    <w:t>经化粪池收集处理后，定期由吸污车运至</w:t>
                  </w:r>
                  <w:r>
                    <w:rPr>
                      <w:rFonts w:hint="eastAsia" w:ascii="Times New Roman" w:hAnsi="Times New Roman" w:cs="Times New Roman"/>
                      <w:bCs/>
                      <w:sz w:val="21"/>
                      <w:szCs w:val="21"/>
                      <w:highlight w:val="none"/>
                      <w:vertAlign w:val="baseline"/>
                      <w:lang w:val="en-US" w:eastAsia="zh-CN"/>
                    </w:rPr>
                    <w:t>七台河</w:t>
                  </w:r>
                  <w:r>
                    <w:rPr>
                      <w:rFonts w:hint="eastAsia" w:cs="Times New Roman"/>
                      <w:bCs/>
                      <w:sz w:val="21"/>
                      <w:szCs w:val="21"/>
                      <w:highlight w:val="none"/>
                      <w:vertAlign w:val="baseline"/>
                      <w:lang w:val="en-US" w:eastAsia="zh-CN"/>
                    </w:rPr>
                    <w:t>市</w:t>
                  </w:r>
                  <w:r>
                    <w:rPr>
                      <w:rFonts w:hint="eastAsia" w:ascii="Times New Roman" w:hAnsi="Times New Roman" w:cs="Times New Roman"/>
                      <w:bCs/>
                      <w:sz w:val="21"/>
                      <w:szCs w:val="21"/>
                      <w:highlight w:val="none"/>
                      <w:vertAlign w:val="baseline"/>
                      <w:lang w:val="en-US" w:eastAsia="zh-CN"/>
                    </w:rPr>
                    <w:t>第二</w:t>
                  </w:r>
                  <w:r>
                    <w:rPr>
                      <w:rFonts w:hint="default" w:ascii="Times New Roman" w:hAnsi="Times New Roman" w:cs="Times New Roman"/>
                      <w:bCs/>
                      <w:sz w:val="21"/>
                      <w:szCs w:val="21"/>
                      <w:highlight w:val="none"/>
                      <w:vertAlign w:val="baseline"/>
                      <w:lang w:val="en-US" w:eastAsia="zh-CN"/>
                    </w:rPr>
                    <w:t>污水处理厂集中处置；</w:t>
                  </w:r>
                  <w:r>
                    <w:rPr>
                      <w:rFonts w:hint="eastAsia" w:ascii="Times New Roman" w:hAnsi="Times New Roman" w:cs="Times New Roman"/>
                      <w:bCs/>
                      <w:sz w:val="21"/>
                      <w:szCs w:val="21"/>
                      <w:highlight w:val="none"/>
                      <w:vertAlign w:val="baseline"/>
                      <w:lang w:val="en-US" w:eastAsia="zh-CN"/>
                    </w:rPr>
                    <w:t>雨水渗水</w:t>
                  </w:r>
                  <w:r>
                    <w:rPr>
                      <w:rFonts w:hint="default" w:ascii="Times New Roman" w:hAnsi="Times New Roman" w:cs="Times New Roman"/>
                      <w:bCs/>
                      <w:sz w:val="21"/>
                      <w:szCs w:val="21"/>
                      <w:highlight w:val="none"/>
                      <w:vertAlign w:val="baseline"/>
                      <w:lang w:val="en-US" w:eastAsia="zh-CN"/>
                    </w:rPr>
                    <w:t>经</w:t>
                  </w:r>
                  <w:r>
                    <w:rPr>
                      <w:rFonts w:hint="eastAsia" w:ascii="Times New Roman" w:hAnsi="Times New Roman" w:cs="Times New Roman"/>
                      <w:bCs/>
                      <w:sz w:val="21"/>
                      <w:szCs w:val="21"/>
                      <w:highlight w:val="none"/>
                      <w:vertAlign w:val="baseline"/>
                      <w:lang w:val="en-US" w:eastAsia="zh-CN"/>
                    </w:rPr>
                    <w:t>雨水渗水</w:t>
                  </w:r>
                  <w:r>
                    <w:rPr>
                      <w:rFonts w:hint="default" w:ascii="Times New Roman" w:hAnsi="Times New Roman" w:cs="Times New Roman"/>
                      <w:bCs/>
                      <w:sz w:val="21"/>
                      <w:szCs w:val="21"/>
                      <w:highlight w:val="none"/>
                      <w:vertAlign w:val="baseline"/>
                      <w:lang w:val="en-US" w:eastAsia="zh-CN"/>
                    </w:rPr>
                    <w:t>收集系统收集至</w:t>
                  </w:r>
                  <w:r>
                    <w:rPr>
                      <w:rFonts w:hint="eastAsia" w:cs="Times New Roman"/>
                      <w:bCs/>
                      <w:sz w:val="21"/>
                      <w:szCs w:val="21"/>
                      <w:highlight w:val="none"/>
                      <w:vertAlign w:val="baseline"/>
                      <w:lang w:val="en-US" w:eastAsia="zh-CN"/>
                    </w:rPr>
                    <w:t>沉淀</w:t>
                  </w:r>
                  <w:r>
                    <w:rPr>
                      <w:rFonts w:hint="default" w:ascii="Times New Roman" w:hAnsi="Times New Roman" w:cs="Times New Roman"/>
                      <w:bCs/>
                      <w:sz w:val="21"/>
                      <w:szCs w:val="21"/>
                      <w:highlight w:val="none"/>
                      <w:vertAlign w:val="baseline"/>
                      <w:lang w:val="en-US" w:eastAsia="zh-CN"/>
                    </w:rPr>
                    <w:t>池</w:t>
                  </w:r>
                  <w:r>
                    <w:rPr>
                      <w:rFonts w:hint="eastAsia" w:cs="Times New Roman"/>
                      <w:bCs/>
                      <w:sz w:val="21"/>
                      <w:szCs w:val="21"/>
                      <w:highlight w:val="none"/>
                      <w:vertAlign w:val="baseline"/>
                      <w:lang w:val="en-US" w:eastAsia="zh-CN"/>
                    </w:rPr>
                    <w:t>沉淀</w:t>
                  </w:r>
                  <w:r>
                    <w:rPr>
                      <w:rFonts w:hint="default" w:ascii="Times New Roman" w:hAnsi="Times New Roman" w:cs="Times New Roman"/>
                      <w:bCs/>
                      <w:sz w:val="21"/>
                      <w:szCs w:val="21"/>
                      <w:highlight w:val="none"/>
                      <w:vertAlign w:val="baseline"/>
                      <w:lang w:val="en-US" w:eastAsia="zh-CN"/>
                    </w:rPr>
                    <w:t>后，</w:t>
                  </w:r>
                  <w:r>
                    <w:rPr>
                      <w:rFonts w:hint="eastAsia" w:cs="Times New Roman"/>
                      <w:bCs/>
                      <w:sz w:val="21"/>
                      <w:szCs w:val="21"/>
                      <w:highlight w:val="none"/>
                      <w:vertAlign w:val="baseline"/>
                      <w:lang w:val="en-US" w:eastAsia="zh-CN"/>
                    </w:rPr>
                    <w:t>排入雨水渗水暂存池，与化粪池污水一起</w:t>
                  </w:r>
                  <w:r>
                    <w:rPr>
                      <w:rFonts w:hint="eastAsia" w:ascii="Times New Roman" w:hAnsi="Times New Roman" w:cs="Times New Roman"/>
                      <w:bCs/>
                      <w:sz w:val="21"/>
                      <w:szCs w:val="21"/>
                      <w:highlight w:val="none"/>
                      <w:vertAlign w:val="baseline"/>
                      <w:lang w:val="en-US" w:eastAsia="zh-CN"/>
                    </w:rPr>
                    <w:t>由吸污车拉运至</w:t>
                  </w:r>
                  <w:r>
                    <w:rPr>
                      <w:rFonts w:hint="eastAsia" w:cs="Times New Roman"/>
                      <w:bCs/>
                      <w:sz w:val="21"/>
                      <w:szCs w:val="21"/>
                      <w:highlight w:val="none"/>
                      <w:vertAlign w:val="baseline"/>
                      <w:lang w:val="en-US" w:eastAsia="zh-CN"/>
                    </w:rPr>
                    <w:t>七台河市第二</w:t>
                  </w:r>
                  <w:r>
                    <w:rPr>
                      <w:rFonts w:hint="eastAsia" w:ascii="Times New Roman" w:hAnsi="Times New Roman" w:cs="Times New Roman"/>
                      <w:bCs/>
                      <w:sz w:val="21"/>
                      <w:szCs w:val="21"/>
                      <w:highlight w:val="none"/>
                      <w:vertAlign w:val="baseline"/>
                      <w:lang w:val="en-US" w:eastAsia="zh-CN"/>
                    </w:rPr>
                    <w:t>污水处理厂处理</w:t>
                  </w:r>
                  <w:r>
                    <w:rPr>
                      <w:rFonts w:hint="default" w:ascii="Times New Roman" w:hAnsi="Times New Roman" w:cs="Times New Roman"/>
                      <w:bCs/>
                      <w:sz w:val="21"/>
                      <w:szCs w:val="21"/>
                      <w:highlight w:val="none"/>
                      <w:vertAlign w:val="baseline"/>
                      <w:lang w:val="en-US" w:eastAsia="zh-CN"/>
                    </w:rPr>
                    <w:t>。</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none"/>
                      <w:vertAlign w:val="baseline"/>
                      <w:lang w:val="en-US" w:eastAsia="zh-CN"/>
                    </w:rPr>
                  </w:pPr>
                  <w:r>
                    <w:rPr>
                      <w:rFonts w:hint="eastAsia" w:ascii="Times New Roman" w:hAnsi="Times New Roman" w:cs="Times New Roman"/>
                      <w:bCs/>
                      <w:sz w:val="21"/>
                      <w:szCs w:val="21"/>
                      <w:highlight w:val="none"/>
                      <w:vertAlign w:val="baseline"/>
                      <w:lang w:val="en-US" w:eastAsia="zh-CN"/>
                    </w:rPr>
                    <w:t>噪声治理</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none"/>
                      <w:vertAlign w:val="baseline"/>
                      <w:lang w:val="en-US" w:eastAsia="zh-CN"/>
                    </w:rPr>
                  </w:pPr>
                  <w:r>
                    <w:rPr>
                      <w:rFonts w:hint="default" w:ascii="Times New Roman" w:hAnsi="Times New Roman" w:cs="Times New Roman"/>
                      <w:bCs/>
                      <w:sz w:val="21"/>
                      <w:szCs w:val="21"/>
                      <w:highlight w:val="none"/>
                      <w:vertAlign w:val="baseline"/>
                      <w:lang w:val="en-US" w:eastAsia="zh-CN"/>
                    </w:rPr>
                    <w:t>选用低噪声设备，合理规划厂区内外运输路线，减少车辆鸣笛等降噪措施。</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yellow"/>
                      <w:vertAlign w:val="baseline"/>
                      <w:lang w:val="en-US" w:eastAsia="zh-CN"/>
                    </w:rPr>
                  </w:pPr>
                  <w:r>
                    <w:rPr>
                      <w:rFonts w:hint="eastAsia" w:ascii="Times New Roman" w:hAnsi="Times New Roman" w:cs="Times New Roman"/>
                      <w:bCs/>
                      <w:sz w:val="21"/>
                      <w:szCs w:val="21"/>
                      <w:highlight w:val="none"/>
                      <w:vertAlign w:val="baseline"/>
                      <w:lang w:val="en-US" w:eastAsia="zh-CN"/>
                    </w:rPr>
                    <w:t>固废治理</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highlight w:val="yellow"/>
                      <w:vertAlign w:val="baseline"/>
                      <w:lang w:val="en-US" w:eastAsia="zh-CN"/>
                    </w:rPr>
                  </w:pPr>
                  <w:r>
                    <w:rPr>
                      <w:rFonts w:hint="eastAsia" w:ascii="Times New Roman" w:hAnsi="Times New Roman" w:cs="Times New Roman"/>
                      <w:bCs/>
                      <w:sz w:val="21"/>
                      <w:szCs w:val="21"/>
                      <w:highlight w:val="none"/>
                      <w:vertAlign w:val="baseline"/>
                      <w:lang w:val="en-US" w:eastAsia="zh-CN"/>
                    </w:rPr>
                    <w:t>生活垃圾经收集后委托环卫部门清运，化粪池污泥及雨水渗水污泥定期清掏后拉运至</w:t>
                  </w:r>
                  <w:r>
                    <w:rPr>
                      <w:rFonts w:hint="eastAsia" w:cs="Times New Roman"/>
                      <w:bCs/>
                      <w:sz w:val="21"/>
                      <w:szCs w:val="21"/>
                      <w:highlight w:val="none"/>
                      <w:vertAlign w:val="baseline"/>
                      <w:lang w:val="en-US" w:eastAsia="zh-CN"/>
                    </w:rPr>
                    <w:t>七台河市污泥处置厂</w:t>
                  </w:r>
                  <w:r>
                    <w:rPr>
                      <w:rFonts w:hint="eastAsia" w:ascii="Times New Roman" w:hAnsi="Times New Roman" w:cs="Times New Roman"/>
                      <w:bCs/>
                      <w:sz w:val="21"/>
                      <w:szCs w:val="21"/>
                      <w:highlight w:val="none"/>
                      <w:vertAlign w:val="baseline"/>
                      <w:lang w:val="en-US" w:eastAsia="zh-CN"/>
                    </w:rPr>
                    <w:t>处置</w:t>
                  </w:r>
                  <w:r>
                    <w:rPr>
                      <w:rFonts w:hint="eastAsia" w:cs="Times New Roman"/>
                      <w:bCs/>
                      <w:sz w:val="21"/>
                      <w:szCs w:val="21"/>
                      <w:highlight w:val="none"/>
                      <w:vertAlign w:val="baseline"/>
                      <w:lang w:val="en-US" w:eastAsia="zh-CN"/>
                    </w:rPr>
                    <w:t>。</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绿化</w:t>
                  </w:r>
                </w:p>
              </w:tc>
              <w:tc>
                <w:tcPr>
                  <w:tcW w:w="584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绿化面积</w:t>
                  </w:r>
                  <w:r>
                    <w:rPr>
                      <w:rFonts w:hint="eastAsia" w:ascii="宋体" w:hAnsi="宋体" w:cs="宋体"/>
                      <w:i w:val="0"/>
                      <w:iCs w:val="0"/>
                      <w:color w:val="000000"/>
                      <w:kern w:val="0"/>
                      <w:sz w:val="21"/>
                      <w:szCs w:val="21"/>
                      <w:u w:val="none"/>
                      <w:lang w:val="en-US" w:eastAsia="zh-CN"/>
                    </w:rPr>
                    <w:t>1200</w:t>
                  </w:r>
                  <w:r>
                    <w:rPr>
                      <w:rFonts w:hint="eastAsia" w:ascii="Times New Roman" w:hAnsi="Times New Roman" w:cs="Times New Roman"/>
                      <w:bCs/>
                      <w:sz w:val="21"/>
                      <w:szCs w:val="21"/>
                      <w:vertAlign w:val="baseline"/>
                      <w:lang w:val="en-US" w:eastAsia="zh-CN"/>
                    </w:rPr>
                    <w:t>m</w:t>
                  </w:r>
                  <w:r>
                    <w:rPr>
                      <w:rFonts w:hint="eastAsia" w:ascii="Times New Roman" w:hAnsi="Times New Roman" w:cs="Times New Roman"/>
                      <w:bCs/>
                      <w:sz w:val="21"/>
                      <w:szCs w:val="21"/>
                      <w:vertAlign w:val="superscript"/>
                      <w:lang w:val="en-US" w:eastAsia="zh-CN"/>
                    </w:rPr>
                    <w:t>2</w:t>
                  </w:r>
                  <w:r>
                    <w:rPr>
                      <w:rFonts w:hint="eastAsia" w:cs="Times New Roman"/>
                      <w:bCs/>
                      <w:sz w:val="21"/>
                      <w:szCs w:val="21"/>
                      <w:vertAlign w:val="baseline"/>
                      <w:lang w:val="en-US" w:eastAsia="zh-CN"/>
                    </w:rPr>
                    <w:t>。</w:t>
                  </w:r>
                </w:p>
              </w:tc>
              <w:tc>
                <w:tcPr>
                  <w:tcW w:w="75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49" w:type="dxa"/>
                  <w:vMerge w:val="restart"/>
                  <w:tcBorders>
                    <w:top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依托工程</w:t>
                  </w:r>
                </w:p>
              </w:tc>
              <w:tc>
                <w:tcPr>
                  <w:tcW w:w="688"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七台河市第二污水处理厂</w:t>
                  </w:r>
                </w:p>
              </w:tc>
              <w:tc>
                <w:tcPr>
                  <w:tcW w:w="5846" w:type="dxa"/>
                  <w:tcBorders>
                    <w:top w:val="single" w:color="auto" w:sz="4" w:space="0"/>
                    <w:left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ascii="Times New Roman" w:hAnsi="Times New Roman" w:eastAsia="宋体" w:cs="宋体"/>
                      <w:color w:val="auto"/>
                      <w:sz w:val="21"/>
                      <w:szCs w:val="24"/>
                    </w:rPr>
                    <w:t>本项目排放废水</w:t>
                  </w:r>
                  <w:r>
                    <w:rPr>
                      <w:rFonts w:hint="eastAsia" w:ascii="Times New Roman" w:hAnsi="Times New Roman" w:cs="Times New Roman"/>
                      <w:bCs/>
                      <w:color w:val="auto"/>
                      <w:spacing w:val="0"/>
                      <w:sz w:val="21"/>
                      <w:szCs w:val="24"/>
                      <w:vertAlign w:val="baseline"/>
                      <w:lang w:val="en-US" w:eastAsia="zh-CN"/>
                    </w:rPr>
                    <w:t>定期由吸污车拉运至</w:t>
                  </w:r>
                  <w:r>
                    <w:rPr>
                      <w:rFonts w:hint="eastAsia" w:cs="Times New Roman"/>
                      <w:bCs/>
                      <w:color w:val="auto"/>
                      <w:spacing w:val="0"/>
                      <w:sz w:val="21"/>
                      <w:szCs w:val="24"/>
                      <w:vertAlign w:val="baseline"/>
                      <w:lang w:val="en-US" w:eastAsia="zh-CN"/>
                    </w:rPr>
                    <w:t>七台河第二</w:t>
                  </w:r>
                  <w:r>
                    <w:rPr>
                      <w:rFonts w:hint="eastAsia" w:ascii="Times New Roman" w:hAnsi="Times New Roman" w:cs="Times New Roman"/>
                      <w:bCs/>
                      <w:color w:val="auto"/>
                      <w:spacing w:val="0"/>
                      <w:sz w:val="21"/>
                      <w:szCs w:val="24"/>
                      <w:vertAlign w:val="baseline"/>
                      <w:lang w:val="en-US" w:eastAsia="zh-CN"/>
                    </w:rPr>
                    <w:t>污水处理厂</w:t>
                  </w:r>
                  <w:r>
                    <w:rPr>
                      <w:rFonts w:hint="eastAsia" w:cs="Times New Roman"/>
                      <w:bCs/>
                      <w:color w:val="auto"/>
                      <w:spacing w:val="0"/>
                      <w:sz w:val="21"/>
                      <w:szCs w:val="24"/>
                      <w:vertAlign w:val="baseline"/>
                      <w:lang w:val="en-US" w:eastAsia="zh-CN"/>
                    </w:rPr>
                    <w:t>，</w:t>
                  </w:r>
                  <w:r>
                    <w:rPr>
                      <w:rFonts w:ascii="Times New Roman" w:hAnsi="Times New Roman" w:eastAsia="宋体" w:cs="宋体"/>
                      <w:color w:val="auto"/>
                      <w:sz w:val="21"/>
                      <w:szCs w:val="24"/>
                    </w:rPr>
                    <w:t>七台河市第二污水处理厂采用</w:t>
                  </w:r>
                  <w:r>
                    <w:rPr>
                      <w:rFonts w:hint="eastAsia" w:ascii="Times New Roman" w:hAnsi="Times New Roman" w:eastAsia="宋体" w:cs="宋体"/>
                      <w:color w:val="auto"/>
                      <w:sz w:val="21"/>
                      <w:szCs w:val="24"/>
                      <w:lang w:eastAsia="zh-CN"/>
                    </w:rPr>
                    <w:t>“</w:t>
                  </w:r>
                  <w:r>
                    <w:rPr>
                      <w:rFonts w:ascii="Times New Roman" w:hAnsi="Times New Roman" w:eastAsia="宋体" w:cs="宋体"/>
                      <w:color w:val="auto"/>
                      <w:sz w:val="21"/>
                      <w:szCs w:val="24"/>
                    </w:rPr>
                    <w:t>强化A</w:t>
                  </w:r>
                  <w:r>
                    <w:rPr>
                      <w:rFonts w:ascii="Times New Roman" w:hAnsi="Times New Roman" w:eastAsia="宋体" w:cs="宋体"/>
                      <w:color w:val="auto"/>
                      <w:sz w:val="21"/>
                      <w:szCs w:val="24"/>
                      <w:vertAlign w:val="superscript"/>
                    </w:rPr>
                    <w:t>2</w:t>
                  </w:r>
                  <w:r>
                    <w:rPr>
                      <w:rFonts w:ascii="Times New Roman" w:hAnsi="Times New Roman" w:eastAsia="宋体" w:cs="宋体"/>
                      <w:color w:val="auto"/>
                      <w:sz w:val="21"/>
                      <w:szCs w:val="24"/>
                    </w:rPr>
                    <w:t>O</w:t>
                  </w:r>
                  <w:r>
                    <w:rPr>
                      <w:rFonts w:hint="eastAsia" w:ascii="Times New Roman" w:hAnsi="Times New Roman" w:eastAsia="宋体" w:cs="宋体"/>
                      <w:color w:val="auto"/>
                      <w:sz w:val="21"/>
                      <w:szCs w:val="24"/>
                      <w:lang w:eastAsia="zh-CN"/>
                    </w:rPr>
                    <w:t>”</w:t>
                  </w:r>
                  <w:r>
                    <w:rPr>
                      <w:rFonts w:ascii="Times New Roman" w:hAnsi="Times New Roman" w:eastAsia="宋体" w:cs="宋体"/>
                      <w:color w:val="auto"/>
                      <w:sz w:val="21"/>
                      <w:szCs w:val="24"/>
                    </w:rPr>
                    <w:t>处理工艺，污水处理能力4万t/d，目前日处理污水量3.</w:t>
                  </w:r>
                  <w:r>
                    <w:rPr>
                      <w:rFonts w:hint="eastAsia" w:ascii="Times New Roman" w:hAnsi="Times New Roman" w:eastAsia="宋体" w:cs="宋体"/>
                      <w:color w:val="auto"/>
                      <w:sz w:val="21"/>
                      <w:szCs w:val="24"/>
                      <w:lang w:val="en-US" w:eastAsia="zh-CN"/>
                    </w:rPr>
                    <w:t>6</w:t>
                  </w:r>
                  <w:r>
                    <w:rPr>
                      <w:rFonts w:ascii="Times New Roman" w:hAnsi="Times New Roman" w:eastAsia="宋体" w:cs="宋体"/>
                      <w:color w:val="auto"/>
                      <w:sz w:val="21"/>
                      <w:szCs w:val="24"/>
                    </w:rPr>
                    <w:t>万t/d，本项目</w:t>
                  </w:r>
                  <w:r>
                    <w:rPr>
                      <w:rFonts w:hint="eastAsia" w:ascii="Times New Roman" w:hAnsi="Times New Roman" w:eastAsia="宋体" w:cs="宋体"/>
                      <w:color w:val="auto"/>
                      <w:sz w:val="21"/>
                      <w:szCs w:val="24"/>
                      <w:lang w:val="en-US" w:eastAsia="zh-CN"/>
                    </w:rPr>
                    <w:t>固定</w:t>
                  </w:r>
                  <w:r>
                    <w:rPr>
                      <w:rFonts w:ascii="Times New Roman" w:hAnsi="Times New Roman" w:eastAsia="宋体" w:cs="宋体"/>
                      <w:color w:val="auto"/>
                      <w:sz w:val="21"/>
                      <w:szCs w:val="24"/>
                    </w:rPr>
                    <w:t>污水排放量为</w:t>
                  </w:r>
                  <w:r>
                    <w:rPr>
                      <w:rFonts w:hint="eastAsia" w:ascii="Times New Roman" w:hAnsi="Times New Roman" w:eastAsia="宋体" w:cs="宋体"/>
                      <w:color w:val="auto"/>
                      <w:sz w:val="21"/>
                      <w:szCs w:val="24"/>
                      <w:lang w:val="en-US" w:eastAsia="zh-CN"/>
                    </w:rPr>
                    <w:t>1.2</w:t>
                  </w:r>
                  <w:r>
                    <w:rPr>
                      <w:rFonts w:ascii="Times New Roman" w:hAnsi="Times New Roman" w:eastAsia="宋体" w:cs="宋体"/>
                      <w:color w:val="auto"/>
                      <w:sz w:val="21"/>
                      <w:szCs w:val="24"/>
                    </w:rPr>
                    <w:t>t/d，</w:t>
                  </w:r>
                  <w:r>
                    <w:rPr>
                      <w:rFonts w:hint="eastAsia" w:ascii="Times New Roman" w:hAnsi="Times New Roman" w:eastAsia="宋体" w:cs="宋体"/>
                      <w:color w:val="auto"/>
                      <w:sz w:val="21"/>
                      <w:szCs w:val="24"/>
                      <w:lang w:val="en-US" w:eastAsia="zh-CN"/>
                    </w:rPr>
                    <w:t>暴雨时排放量</w:t>
                  </w:r>
                  <w:r>
                    <w:rPr>
                      <w:rFonts w:hint="eastAsia" w:cs="宋体"/>
                      <w:color w:val="auto"/>
                      <w:sz w:val="21"/>
                      <w:szCs w:val="24"/>
                      <w:lang w:val="en-US" w:eastAsia="zh-CN"/>
                    </w:rPr>
                    <w:t>13.2</w:t>
                  </w:r>
                  <w:r>
                    <w:rPr>
                      <w:rFonts w:hint="eastAsia" w:ascii="Times New Roman" w:hAnsi="Times New Roman" w:eastAsia="宋体" w:cs="宋体"/>
                      <w:color w:val="auto"/>
                      <w:sz w:val="21"/>
                      <w:szCs w:val="24"/>
                      <w:lang w:val="en-US" w:eastAsia="zh-CN"/>
                    </w:rPr>
                    <w:t>t/d</w:t>
                  </w:r>
                  <w:r>
                    <w:rPr>
                      <w:rFonts w:hint="eastAsia" w:cs="宋体"/>
                      <w:color w:val="auto"/>
                      <w:sz w:val="21"/>
                      <w:szCs w:val="24"/>
                      <w:lang w:val="en-US" w:eastAsia="zh-CN"/>
                    </w:rPr>
                    <w:t>，</w:t>
                  </w:r>
                  <w:r>
                    <w:rPr>
                      <w:rFonts w:ascii="Times New Roman" w:hAnsi="Times New Roman" w:eastAsia="宋体" w:cs="宋体"/>
                      <w:color w:val="auto"/>
                      <w:sz w:val="21"/>
                      <w:szCs w:val="21"/>
                    </w:rPr>
                    <w:t>废水排放量远小于七台河第二污水处理厂剩余处理规模，</w:t>
                  </w:r>
                  <w:r>
                    <w:rPr>
                      <w:rFonts w:hint="eastAsia" w:cs="宋体"/>
                      <w:color w:val="auto"/>
                      <w:sz w:val="21"/>
                      <w:szCs w:val="21"/>
                      <w:lang w:val="en-US" w:eastAsia="zh-CN"/>
                    </w:rPr>
                    <w:t>本项目废水排放是可行的。</w:t>
                  </w:r>
                </w:p>
              </w:tc>
              <w:tc>
                <w:tcPr>
                  <w:tcW w:w="752" w:type="dxa"/>
                  <w:tcBorders>
                    <w:top w:val="single" w:color="auto" w:sz="4" w:space="0"/>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49" w:type="dxa"/>
                  <w:vMerge w:val="continue"/>
                  <w:tcBorders>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688"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yellow"/>
                      <w:vertAlign w:val="baseline"/>
                      <w:lang w:val="en-US" w:eastAsia="zh-CN"/>
                    </w:rPr>
                  </w:pPr>
                  <w:r>
                    <w:rPr>
                      <w:rFonts w:hint="eastAsia" w:cs="Times New Roman"/>
                      <w:bCs/>
                      <w:color w:val="auto"/>
                      <w:sz w:val="21"/>
                      <w:szCs w:val="21"/>
                      <w:highlight w:val="none"/>
                      <w:vertAlign w:val="baseline"/>
                      <w:lang w:val="en-US" w:eastAsia="zh-CN"/>
                    </w:rPr>
                    <w:t>污泥处置及再生利用</w:t>
                  </w:r>
                </w:p>
              </w:tc>
              <w:tc>
                <w:tcPr>
                  <w:tcW w:w="5846" w:type="dxa"/>
                  <w:tcBorders>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 xml:space="preserve">七台河市水之蓝污水处理有限责任公司于2023年7月建设七台河市污泥处置及再生利用项目，该项目年污泥处理设计能力30万吨。本项目年污泥产生量0.06t/a，远小于七台河市污泥处置及再生利用项目的设计处理能力。因此，本项目污泥处置是可行的。 </w:t>
                  </w:r>
                </w:p>
              </w:tc>
              <w:tc>
                <w:tcPr>
                  <w:tcW w:w="752" w:type="dxa"/>
                  <w:tcBorders>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依托</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bCs w:val="0"/>
                <w:sz w:val="24"/>
                <w:szCs w:val="24"/>
                <w:lang w:val="en-US" w:eastAsia="zh-CN"/>
              </w:rPr>
              <w:t>2.3 垃圾坝提建筑级别</w:t>
            </w:r>
            <w:r>
              <w:rPr>
                <w:rFonts w:hint="eastAsia" w:cs="Times New Roman"/>
                <w:b/>
                <w:bCs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根据《建筑垃圾处理技术标准》（CJJT 134-2019），坝体位置类型分类见下表。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bCs w:val="0"/>
                <w:sz w:val="21"/>
                <w:szCs w:val="21"/>
                <w:lang w:val="en-US" w:eastAsia="zh-CN"/>
              </w:rPr>
              <w:t>表2-2 坝体位置类型分类表</w:t>
            </w:r>
          </w:p>
          <w:tbl>
            <w:tblPr>
              <w:tblStyle w:val="20"/>
              <w:tblW w:w="792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930"/>
              <w:gridCol w:w="2660"/>
              <w:gridCol w:w="3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7"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坝体分类</w:t>
                  </w:r>
                </w:p>
              </w:tc>
              <w:tc>
                <w:tcPr>
                  <w:tcW w:w="930"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类型</w:t>
                  </w:r>
                </w:p>
              </w:tc>
              <w:tc>
                <w:tcPr>
                  <w:tcW w:w="2660"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坝体位置</w:t>
                  </w:r>
                </w:p>
              </w:tc>
              <w:tc>
                <w:tcPr>
                  <w:tcW w:w="3261"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坝体主要作用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7" w:type="dxa"/>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A</w:t>
                  </w:r>
                </w:p>
              </w:tc>
              <w:tc>
                <w:tcPr>
                  <w:tcW w:w="930"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围堤</w:t>
                  </w:r>
                </w:p>
              </w:tc>
              <w:tc>
                <w:tcPr>
                  <w:tcW w:w="2660"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平原型库区周围</w:t>
                  </w:r>
                </w:p>
              </w:tc>
              <w:tc>
                <w:tcPr>
                  <w:tcW w:w="3261"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形成初始库容、防洪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7"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B</w:t>
                  </w:r>
                </w:p>
              </w:tc>
              <w:tc>
                <w:tcPr>
                  <w:tcW w:w="93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截洪坝</w:t>
                  </w:r>
                </w:p>
              </w:tc>
              <w:tc>
                <w:tcPr>
                  <w:tcW w:w="266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山谷型库区上游</w:t>
                  </w:r>
                </w:p>
              </w:tc>
              <w:tc>
                <w:tcPr>
                  <w:tcW w:w="3261"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拦截库区外地表径流并形成库容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7"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C</w:t>
                  </w:r>
                </w:p>
              </w:tc>
              <w:tc>
                <w:tcPr>
                  <w:tcW w:w="93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下游坝</w:t>
                  </w:r>
                </w:p>
              </w:tc>
              <w:tc>
                <w:tcPr>
                  <w:tcW w:w="266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山谷型或库区调节池之间</w:t>
                  </w:r>
                </w:p>
              </w:tc>
              <w:tc>
                <w:tcPr>
                  <w:tcW w:w="3261"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形成库容的同时形成调节池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7" w:type="dxa"/>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D</w:t>
                  </w:r>
                </w:p>
              </w:tc>
              <w:tc>
                <w:tcPr>
                  <w:tcW w:w="930"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分区坝</w:t>
                  </w:r>
                </w:p>
              </w:tc>
              <w:tc>
                <w:tcPr>
                  <w:tcW w:w="2660"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填埋库区内</w:t>
                  </w:r>
                </w:p>
              </w:tc>
              <w:tc>
                <w:tcPr>
                  <w:tcW w:w="3261"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分隔填埋库区</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本项目暂存场四周设挡土坝，按坝体位置类型分类，本项目挡土坝属于A类。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根据《建筑垃圾处理技术标准》（CJJT 134-2019），垃圾坝体建筑级别分类见下表。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bCs w:val="0"/>
                <w:sz w:val="21"/>
                <w:szCs w:val="21"/>
                <w:lang w:val="en-US" w:eastAsia="zh-CN"/>
              </w:rPr>
              <w:t>表2-3 垃圾坝体建筑级别分类表</w:t>
            </w:r>
          </w:p>
          <w:tbl>
            <w:tblPr>
              <w:tblStyle w:val="20"/>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495"/>
              <w:gridCol w:w="1715"/>
              <w:gridCol w:w="1135"/>
              <w:gridCol w:w="2126"/>
              <w:gridCol w:w="8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建筑级别</w:t>
                  </w:r>
                </w:p>
              </w:tc>
              <w:tc>
                <w:tcPr>
                  <w:tcW w:w="1495"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坝下游存在的建（构）筑物及自然条件</w:t>
                  </w:r>
                </w:p>
              </w:tc>
              <w:tc>
                <w:tcPr>
                  <w:tcW w:w="1715"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失事后果</w:t>
                  </w:r>
                </w:p>
              </w:tc>
              <w:tc>
                <w:tcPr>
                  <w:tcW w:w="1135"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坝体类型</w:t>
                  </w:r>
                </w:p>
              </w:tc>
              <w:tc>
                <w:tcPr>
                  <w:tcW w:w="2126"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坝型（材料）</w:t>
                  </w:r>
                </w:p>
              </w:tc>
              <w:tc>
                <w:tcPr>
                  <w:tcW w:w="817"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坝高（m）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restart"/>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I</w:t>
                  </w:r>
                </w:p>
              </w:tc>
              <w:tc>
                <w:tcPr>
                  <w:tcW w:w="1495" w:type="dxa"/>
                  <w:vMerge w:val="restar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生产设备、生活管理区</w:t>
                  </w:r>
                </w:p>
              </w:tc>
              <w:tc>
                <w:tcPr>
                  <w:tcW w:w="1715" w:type="dxa"/>
                  <w:vMerge w:val="restar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对生产设备造成严重破坏，对生活管理区带来严重损失</w:t>
                  </w:r>
                </w:p>
              </w:tc>
              <w:tc>
                <w:tcPr>
                  <w:tcW w:w="1135" w:type="dxa"/>
                  <w:vMerge w:val="restar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C</w:t>
                  </w:r>
                </w:p>
              </w:tc>
              <w:tc>
                <w:tcPr>
                  <w:tcW w:w="2126"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混凝土坝、浆砌石坝</w:t>
                  </w:r>
                </w:p>
              </w:tc>
              <w:tc>
                <w:tcPr>
                  <w:tcW w:w="817"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149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171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113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212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土石坝、黏土坝</w:t>
                  </w:r>
                </w:p>
              </w:tc>
              <w:tc>
                <w:tcPr>
                  <w:tcW w:w="81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1" w:type="dxa"/>
                  <w:vMerge w:val="restart"/>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II</w:t>
                  </w:r>
                </w:p>
              </w:tc>
              <w:tc>
                <w:tcPr>
                  <w:tcW w:w="149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生产设备</w:t>
                  </w:r>
                </w:p>
              </w:tc>
              <w:tc>
                <w:tcPr>
                  <w:tcW w:w="171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仅对生产设备造成一定破坏或影响</w:t>
                  </w:r>
                </w:p>
              </w:tc>
              <w:tc>
                <w:tcPr>
                  <w:tcW w:w="113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A、B、C</w:t>
                  </w:r>
                </w:p>
              </w:tc>
              <w:tc>
                <w:tcPr>
                  <w:tcW w:w="212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混凝土坝、浆砌石坝</w:t>
                  </w:r>
                </w:p>
              </w:tc>
              <w:tc>
                <w:tcPr>
                  <w:tcW w:w="81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149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171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113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212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土石坝、黏土坝</w:t>
                  </w:r>
                </w:p>
              </w:tc>
              <w:tc>
                <w:tcPr>
                  <w:tcW w:w="81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restart"/>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III</w:t>
                  </w:r>
                </w:p>
              </w:tc>
              <w:tc>
                <w:tcPr>
                  <w:tcW w:w="149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农田、水利或水环境</w:t>
                  </w:r>
                </w:p>
              </w:tc>
              <w:tc>
                <w:tcPr>
                  <w:tcW w:w="171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影响不大，破坏较小，易修复</w:t>
                  </w:r>
                </w:p>
              </w:tc>
              <w:tc>
                <w:tcPr>
                  <w:tcW w:w="113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A、D</w:t>
                  </w:r>
                </w:p>
              </w:tc>
              <w:tc>
                <w:tcPr>
                  <w:tcW w:w="212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kern w:val="2"/>
                      <w:sz w:val="21"/>
                      <w:szCs w:val="21"/>
                      <w:vertAlign w:val="baseline"/>
                      <w:lang w:val="en-US" w:eastAsia="zh-CN" w:bidi="ar-SA"/>
                    </w:rPr>
                  </w:pPr>
                  <w:r>
                    <w:rPr>
                      <w:rFonts w:hint="eastAsia" w:ascii="Times New Roman" w:hAnsi="Times New Roman" w:cs="Times New Roman"/>
                      <w:b w:val="0"/>
                      <w:bCs/>
                      <w:sz w:val="21"/>
                      <w:szCs w:val="21"/>
                      <w:vertAlign w:val="baseline"/>
                      <w:lang w:val="en-US" w:eastAsia="zh-CN"/>
                    </w:rPr>
                    <w:t>混凝土坝、浆砌石坝</w:t>
                  </w:r>
                </w:p>
              </w:tc>
              <w:tc>
                <w:tcPr>
                  <w:tcW w:w="81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continue"/>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1495" w:type="dxa"/>
                  <w:vMerge w:val="continue"/>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1715" w:type="dxa"/>
                  <w:vMerge w:val="continue"/>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1135" w:type="dxa"/>
                  <w:vMerge w:val="continue"/>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2126"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kern w:val="2"/>
                      <w:sz w:val="21"/>
                      <w:szCs w:val="21"/>
                      <w:vertAlign w:val="baseline"/>
                      <w:lang w:val="en-US" w:eastAsia="zh-CN" w:bidi="ar-SA"/>
                    </w:rPr>
                  </w:pPr>
                  <w:r>
                    <w:rPr>
                      <w:rFonts w:hint="eastAsia" w:ascii="Times New Roman" w:hAnsi="Times New Roman" w:cs="Times New Roman"/>
                      <w:b w:val="0"/>
                      <w:bCs/>
                      <w:sz w:val="21"/>
                      <w:szCs w:val="21"/>
                      <w:vertAlign w:val="baseline"/>
                      <w:lang w:val="en-US" w:eastAsia="zh-CN"/>
                    </w:rPr>
                    <w:t>土石坝、黏土坝</w:t>
                  </w:r>
                </w:p>
              </w:tc>
              <w:tc>
                <w:tcPr>
                  <w:tcW w:w="817"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暂存场四周设挡土坝，挡土坝总长</w:t>
            </w:r>
            <w:r>
              <w:rPr>
                <w:rFonts w:hint="eastAsia" w:ascii="Times New Roman" w:hAnsi="Times New Roman" w:cs="Times New Roman"/>
                <w:b w:val="0"/>
                <w:bCs/>
                <w:sz w:val="24"/>
                <w:szCs w:val="24"/>
                <w:highlight w:val="none"/>
                <w:lang w:val="en-US" w:eastAsia="zh-CN"/>
              </w:rPr>
              <w:t>2200</w:t>
            </w:r>
            <w:r>
              <w:rPr>
                <w:rFonts w:hint="eastAsia" w:ascii="Times New Roman" w:hAnsi="Times New Roman" w:cs="Times New Roman"/>
                <w:b w:val="0"/>
                <w:bCs/>
                <w:sz w:val="24"/>
                <w:szCs w:val="24"/>
                <w:lang w:val="en-US" w:eastAsia="zh-CN"/>
              </w:rPr>
              <w:t>米，坝高2米，顶宽</w:t>
            </w:r>
            <w:r>
              <w:rPr>
                <w:rFonts w:hint="eastAsia" w:ascii="Times New Roman" w:hAnsi="Times New Roman" w:cs="Times New Roman"/>
                <w:b w:val="0"/>
                <w:bCs/>
                <w:sz w:val="24"/>
                <w:szCs w:val="24"/>
                <w:highlight w:val="none"/>
                <w:lang w:val="en-US" w:eastAsia="zh-CN"/>
              </w:rPr>
              <w:t>5.4</w:t>
            </w:r>
            <w:r>
              <w:rPr>
                <w:rFonts w:hint="eastAsia" w:ascii="Times New Roman" w:hAnsi="Times New Roman" w:cs="Times New Roman"/>
                <w:b w:val="0"/>
                <w:bCs/>
                <w:sz w:val="24"/>
                <w:szCs w:val="24"/>
                <w:lang w:val="en-US" w:eastAsia="zh-CN"/>
              </w:rPr>
              <w:t>米，边坡1:2.5。由上表可知，本项目垃圾坝体建筑级别为</w:t>
            </w:r>
            <w:r>
              <w:rPr>
                <w:rFonts w:hint="eastAsia" w:ascii="宋体" w:hAnsi="宋体" w:eastAsia="宋体" w:cs="宋体"/>
                <w:b w:val="0"/>
                <w:bCs/>
                <w:sz w:val="24"/>
                <w:szCs w:val="24"/>
                <w:highlight w:val="none"/>
                <w:lang w:val="en-US" w:eastAsia="zh-CN"/>
              </w:rPr>
              <w:t>Ⅲ</w:t>
            </w:r>
            <w:r>
              <w:rPr>
                <w:rFonts w:hint="eastAsia" w:ascii="Times New Roman" w:hAnsi="Times New Roman" w:cs="Times New Roman"/>
                <w:b w:val="0"/>
                <w:bCs/>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2.4 主要设备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本项目不设置破碎环节，项目所使用设备见下表。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表2-4 主要设备一览表</w:t>
            </w:r>
          </w:p>
          <w:tbl>
            <w:tblPr>
              <w:tblStyle w:val="20"/>
              <w:tblW w:w="792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803"/>
              <w:gridCol w:w="1523"/>
              <w:gridCol w:w="434"/>
              <w:gridCol w:w="434"/>
              <w:gridCol w:w="812"/>
              <w:gridCol w:w="554"/>
              <w:gridCol w:w="443"/>
              <w:gridCol w:w="20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8"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主要生产单元</w:t>
                  </w:r>
                </w:p>
              </w:tc>
              <w:tc>
                <w:tcPr>
                  <w:tcW w:w="803"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主要工艺</w:t>
                  </w:r>
                </w:p>
              </w:tc>
              <w:tc>
                <w:tcPr>
                  <w:tcW w:w="1523"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生产设施</w:t>
                  </w:r>
                </w:p>
              </w:tc>
              <w:tc>
                <w:tcPr>
                  <w:tcW w:w="434"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数量</w:t>
                  </w:r>
                </w:p>
              </w:tc>
              <w:tc>
                <w:tcPr>
                  <w:tcW w:w="434"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单位</w:t>
                  </w:r>
                </w:p>
              </w:tc>
              <w:tc>
                <w:tcPr>
                  <w:tcW w:w="812"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设施参数</w:t>
                  </w:r>
                </w:p>
              </w:tc>
              <w:tc>
                <w:tcPr>
                  <w:tcW w:w="554"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数值</w:t>
                  </w:r>
                </w:p>
              </w:tc>
              <w:tc>
                <w:tcPr>
                  <w:tcW w:w="443"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单位</w:t>
                  </w:r>
                </w:p>
              </w:tc>
              <w:tc>
                <w:tcPr>
                  <w:tcW w:w="2007"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vertAlign w:val="baseline"/>
                      <w:lang w:val="en-US" w:eastAsia="zh-CN"/>
                    </w:rPr>
                  </w:pPr>
                  <w:r>
                    <w:rPr>
                      <w:rFonts w:hint="eastAsia" w:ascii="Times New Roman" w:hAnsi="Times New Roman" w:cs="Times New Roman"/>
                      <w:b/>
                      <w:bCs w:val="0"/>
                      <w:sz w:val="21"/>
                      <w:szCs w:val="21"/>
                      <w:vertAlign w:val="baseline"/>
                      <w:lang w:val="en-US" w:eastAsia="zh-CN"/>
                    </w:rPr>
                    <w:t>设备情况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8" w:type="dxa"/>
                  <w:vMerge w:val="restart"/>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填埋、</w:t>
                  </w:r>
                  <w:r>
                    <w:rPr>
                      <w:rFonts w:hint="eastAsia" w:cs="Times New Roman"/>
                      <w:b w:val="0"/>
                      <w:bCs/>
                      <w:sz w:val="21"/>
                      <w:szCs w:val="21"/>
                      <w:vertAlign w:val="baseline"/>
                      <w:lang w:val="en-US" w:eastAsia="zh-CN"/>
                    </w:rPr>
                    <w:t>堆存</w:t>
                  </w:r>
                </w:p>
              </w:tc>
              <w:tc>
                <w:tcPr>
                  <w:tcW w:w="803" w:type="dxa"/>
                  <w:vMerge w:val="restar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摊铺、覆土</w:t>
                  </w:r>
                </w:p>
              </w:tc>
              <w:tc>
                <w:tcPr>
                  <w:tcW w:w="1523"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vertAlign w:val="baseline"/>
                      <w:lang w:val="en-US" w:eastAsia="zh-CN"/>
                    </w:rPr>
                  </w:pPr>
                  <w:r>
                    <w:rPr>
                      <w:rFonts w:hint="default" w:ascii="Times New Roman" w:hAnsi="Times New Roman" w:eastAsia="宋体" w:cs="Times New Roman"/>
                      <w:color w:val="auto"/>
                      <w:sz w:val="21"/>
                      <w:szCs w:val="21"/>
                    </w:rPr>
                    <w:t>自卸汽车</w:t>
                  </w:r>
                </w:p>
              </w:tc>
              <w:tc>
                <w:tcPr>
                  <w:tcW w:w="434"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w:t>
                  </w:r>
                </w:p>
              </w:tc>
              <w:tc>
                <w:tcPr>
                  <w:tcW w:w="434"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辆</w:t>
                  </w:r>
                </w:p>
              </w:tc>
              <w:tc>
                <w:tcPr>
                  <w:tcW w:w="812"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重量</w:t>
                  </w:r>
                </w:p>
              </w:tc>
              <w:tc>
                <w:tcPr>
                  <w:tcW w:w="554"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25</w:t>
                  </w:r>
                </w:p>
              </w:tc>
              <w:tc>
                <w:tcPr>
                  <w:tcW w:w="443"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t</w:t>
                  </w:r>
                </w:p>
              </w:tc>
              <w:tc>
                <w:tcPr>
                  <w:tcW w:w="2007"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8"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803"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152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挖掘机</w:t>
                  </w:r>
                </w:p>
              </w:tc>
              <w:tc>
                <w:tcPr>
                  <w:tcW w:w="4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w:t>
                  </w:r>
                </w:p>
              </w:tc>
              <w:tc>
                <w:tcPr>
                  <w:tcW w:w="4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辆</w:t>
                  </w:r>
                </w:p>
              </w:tc>
              <w:tc>
                <w:tcPr>
                  <w:tcW w:w="81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重量</w:t>
                  </w:r>
                </w:p>
              </w:tc>
              <w:tc>
                <w:tcPr>
                  <w:tcW w:w="5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16</w:t>
                  </w:r>
                </w:p>
              </w:tc>
              <w:tc>
                <w:tcPr>
                  <w:tcW w:w="44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t</w:t>
                  </w:r>
                </w:p>
              </w:tc>
              <w:tc>
                <w:tcPr>
                  <w:tcW w:w="200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8"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803"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152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履带式推土机</w:t>
                  </w:r>
                </w:p>
              </w:tc>
              <w:tc>
                <w:tcPr>
                  <w:tcW w:w="4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w:t>
                  </w:r>
                </w:p>
              </w:tc>
              <w:tc>
                <w:tcPr>
                  <w:tcW w:w="4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辆</w:t>
                  </w:r>
                </w:p>
              </w:tc>
              <w:tc>
                <w:tcPr>
                  <w:tcW w:w="81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重量</w:t>
                  </w:r>
                </w:p>
              </w:tc>
              <w:tc>
                <w:tcPr>
                  <w:tcW w:w="5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16</w:t>
                  </w:r>
                </w:p>
              </w:tc>
              <w:tc>
                <w:tcPr>
                  <w:tcW w:w="44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t</w:t>
                  </w:r>
                </w:p>
              </w:tc>
              <w:tc>
                <w:tcPr>
                  <w:tcW w:w="200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8"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803"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152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装载机</w:t>
                  </w:r>
                </w:p>
              </w:tc>
              <w:tc>
                <w:tcPr>
                  <w:tcW w:w="4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w:t>
                  </w:r>
                </w:p>
              </w:tc>
              <w:tc>
                <w:tcPr>
                  <w:tcW w:w="4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辆</w:t>
                  </w:r>
                </w:p>
              </w:tc>
              <w:tc>
                <w:tcPr>
                  <w:tcW w:w="81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重量</w:t>
                  </w:r>
                </w:p>
              </w:tc>
              <w:tc>
                <w:tcPr>
                  <w:tcW w:w="5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8</w:t>
                  </w:r>
                </w:p>
              </w:tc>
              <w:tc>
                <w:tcPr>
                  <w:tcW w:w="44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t</w:t>
                  </w:r>
                </w:p>
              </w:tc>
              <w:tc>
                <w:tcPr>
                  <w:tcW w:w="200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8"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80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分层压实</w:t>
                  </w:r>
                </w:p>
              </w:tc>
              <w:tc>
                <w:tcPr>
                  <w:tcW w:w="152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压实机</w:t>
                  </w:r>
                </w:p>
              </w:tc>
              <w:tc>
                <w:tcPr>
                  <w:tcW w:w="4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w:t>
                  </w:r>
                </w:p>
              </w:tc>
              <w:tc>
                <w:tcPr>
                  <w:tcW w:w="4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辆</w:t>
                  </w:r>
                </w:p>
              </w:tc>
              <w:tc>
                <w:tcPr>
                  <w:tcW w:w="81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重量</w:t>
                  </w:r>
                </w:p>
              </w:tc>
              <w:tc>
                <w:tcPr>
                  <w:tcW w:w="5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10</w:t>
                  </w:r>
                </w:p>
              </w:tc>
              <w:tc>
                <w:tcPr>
                  <w:tcW w:w="44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t</w:t>
                  </w:r>
                </w:p>
              </w:tc>
              <w:tc>
                <w:tcPr>
                  <w:tcW w:w="200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8"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80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降尘</w:t>
                  </w:r>
                </w:p>
              </w:tc>
              <w:tc>
                <w:tcPr>
                  <w:tcW w:w="152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洒水车</w:t>
                  </w:r>
                </w:p>
              </w:tc>
              <w:tc>
                <w:tcPr>
                  <w:tcW w:w="4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w:t>
                  </w:r>
                </w:p>
              </w:tc>
              <w:tc>
                <w:tcPr>
                  <w:tcW w:w="4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辆</w:t>
                  </w:r>
                </w:p>
              </w:tc>
              <w:tc>
                <w:tcPr>
                  <w:tcW w:w="81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重量</w:t>
                  </w:r>
                </w:p>
              </w:tc>
              <w:tc>
                <w:tcPr>
                  <w:tcW w:w="5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8</w:t>
                  </w:r>
                </w:p>
              </w:tc>
              <w:tc>
                <w:tcPr>
                  <w:tcW w:w="44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t</w:t>
                  </w:r>
                </w:p>
              </w:tc>
              <w:tc>
                <w:tcPr>
                  <w:tcW w:w="200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含雾炮机、洒水功能水雾颗粒50-150μm射程60m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dxa"/>
                  <w:gridSpan w:val="2"/>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管理</w:t>
                  </w:r>
                </w:p>
              </w:tc>
              <w:tc>
                <w:tcPr>
                  <w:tcW w:w="1523"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管理用车</w:t>
                  </w:r>
                </w:p>
              </w:tc>
              <w:tc>
                <w:tcPr>
                  <w:tcW w:w="434"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w:t>
                  </w:r>
                </w:p>
              </w:tc>
              <w:tc>
                <w:tcPr>
                  <w:tcW w:w="434"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辆</w:t>
                  </w:r>
                </w:p>
              </w:tc>
              <w:tc>
                <w:tcPr>
                  <w:tcW w:w="812"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kern w:val="2"/>
                      <w:sz w:val="21"/>
                      <w:szCs w:val="21"/>
                      <w:vertAlign w:val="baseline"/>
                      <w:lang w:val="en-US" w:eastAsia="zh-CN" w:bidi="ar-SA"/>
                    </w:rPr>
                  </w:pPr>
                  <w:r>
                    <w:rPr>
                      <w:rFonts w:hint="eastAsia" w:ascii="Times New Roman" w:hAnsi="Times New Roman" w:cs="Times New Roman"/>
                      <w:b w:val="0"/>
                      <w:bCs/>
                      <w:sz w:val="21"/>
                      <w:szCs w:val="21"/>
                      <w:vertAlign w:val="baseline"/>
                      <w:lang w:val="en-US" w:eastAsia="zh-CN"/>
                    </w:rPr>
                    <w:t>重量</w:t>
                  </w:r>
                </w:p>
              </w:tc>
              <w:tc>
                <w:tcPr>
                  <w:tcW w:w="554"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kern w:val="2"/>
                      <w:sz w:val="21"/>
                      <w:szCs w:val="21"/>
                      <w:vertAlign w:val="baseline"/>
                      <w:lang w:val="en-US" w:eastAsia="zh-CN" w:bidi="ar-SA"/>
                    </w:rPr>
                  </w:pPr>
                  <w:r>
                    <w:rPr>
                      <w:rFonts w:hint="eastAsia" w:ascii="Times New Roman" w:hAnsi="Times New Roman" w:cs="Times New Roman"/>
                      <w:b w:val="0"/>
                      <w:bCs/>
                      <w:sz w:val="21"/>
                      <w:szCs w:val="21"/>
                      <w:vertAlign w:val="baseline"/>
                      <w:lang w:val="en-US" w:eastAsia="zh-CN"/>
                    </w:rPr>
                    <w:t>1.2</w:t>
                  </w:r>
                </w:p>
              </w:tc>
              <w:tc>
                <w:tcPr>
                  <w:tcW w:w="443"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kern w:val="2"/>
                      <w:sz w:val="21"/>
                      <w:szCs w:val="21"/>
                      <w:vertAlign w:val="baseline"/>
                      <w:lang w:val="en-US" w:eastAsia="zh-CN" w:bidi="ar-SA"/>
                    </w:rPr>
                  </w:pPr>
                  <w:r>
                    <w:rPr>
                      <w:rFonts w:hint="eastAsia" w:ascii="Times New Roman" w:hAnsi="Times New Roman" w:cs="Times New Roman"/>
                      <w:b w:val="0"/>
                      <w:bCs/>
                      <w:sz w:val="21"/>
                      <w:szCs w:val="21"/>
                      <w:vertAlign w:val="baseline"/>
                      <w:lang w:val="en-US" w:eastAsia="zh-CN"/>
                    </w:rPr>
                    <w:t>t</w:t>
                  </w:r>
                </w:p>
              </w:tc>
              <w:tc>
                <w:tcPr>
                  <w:tcW w:w="2007"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2.5 项目用地情况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lang w:val="en-US" w:eastAsia="zh-CN"/>
              </w:rPr>
            </w:pPr>
            <w:r>
              <w:rPr>
                <w:rFonts w:hint="eastAsia" w:ascii="Times New Roman" w:hAnsi="Times New Roman" w:cs="Times New Roman"/>
                <w:b w:val="0"/>
                <w:bCs/>
                <w:sz w:val="24"/>
                <w:szCs w:val="24"/>
                <w:lang w:val="en-US" w:eastAsia="zh-CN"/>
              </w:rPr>
              <w:t>项目区为废弃学校校址，用地情况见下表。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表2-5 项目用地情况一览表</w:t>
            </w:r>
          </w:p>
          <w:tbl>
            <w:tblPr>
              <w:tblStyle w:val="20"/>
              <w:tblW w:w="7858" w:type="dxa"/>
              <w:jc w:val="center"/>
              <w:tblLayout w:type="fixed"/>
              <w:tblCellMar>
                <w:top w:w="0" w:type="dxa"/>
                <w:left w:w="108" w:type="dxa"/>
                <w:bottom w:w="0" w:type="dxa"/>
                <w:right w:w="108" w:type="dxa"/>
              </w:tblCellMar>
            </w:tblPr>
            <w:tblGrid>
              <w:gridCol w:w="1755"/>
              <w:gridCol w:w="1755"/>
              <w:gridCol w:w="2174"/>
              <w:gridCol w:w="2174"/>
            </w:tblGrid>
            <w:tr>
              <w:tblPrEx>
                <w:tblCellMar>
                  <w:top w:w="0" w:type="dxa"/>
                  <w:left w:w="108" w:type="dxa"/>
                  <w:bottom w:w="0" w:type="dxa"/>
                  <w:right w:w="108" w:type="dxa"/>
                </w:tblCellMar>
              </w:tblPrEx>
              <w:trPr>
                <w:trHeight w:val="334" w:hRule="atLeast"/>
                <w:jc w:val="center"/>
              </w:trPr>
              <w:tc>
                <w:tcPr>
                  <w:tcW w:w="1755" w:type="dxa"/>
                  <w:tcBorders>
                    <w:top w:val="single" w:color="000000" w:sz="12" w:space="0"/>
                    <w:bottom w:val="single" w:color="000000" w:sz="12"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bCs/>
                      <w:i w:val="0"/>
                      <w:iCs w:val="0"/>
                      <w:color w:val="auto"/>
                      <w:kern w:val="0"/>
                      <w:sz w:val="24"/>
                      <w:szCs w:val="24"/>
                      <w:highlight w:val="none"/>
                      <w:vertAlign w:val="baseline"/>
                      <w:lang w:val="en-US" w:eastAsia="zh-CN" w:bidi="ar-SA"/>
                    </w:rPr>
                    <w:t>序号</w:t>
                  </w:r>
                </w:p>
              </w:tc>
              <w:tc>
                <w:tcPr>
                  <w:tcW w:w="1755" w:type="dxa"/>
                  <w:tcBorders>
                    <w:top w:val="single" w:color="000000" w:sz="12" w:space="0"/>
                    <w:left w:val="single" w:color="000000" w:sz="8" w:space="0"/>
                    <w:bottom w:val="single" w:color="000000" w:sz="12"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bCs/>
                      <w:i w:val="0"/>
                      <w:iCs w:val="0"/>
                      <w:color w:val="auto"/>
                      <w:kern w:val="0"/>
                      <w:sz w:val="24"/>
                      <w:szCs w:val="24"/>
                      <w:highlight w:val="none"/>
                      <w:vertAlign w:val="baseline"/>
                      <w:lang w:val="en-US" w:eastAsia="zh-CN" w:bidi="ar-SA"/>
                    </w:rPr>
                    <w:t>名称</w:t>
                  </w:r>
                </w:p>
              </w:tc>
              <w:tc>
                <w:tcPr>
                  <w:tcW w:w="2174" w:type="dxa"/>
                  <w:tcBorders>
                    <w:top w:val="single" w:color="000000" w:sz="12" w:space="0"/>
                    <w:left w:val="single" w:color="000000" w:sz="8" w:space="0"/>
                    <w:bottom w:val="single" w:color="000000" w:sz="12"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bCs/>
                      <w:i w:val="0"/>
                      <w:iCs w:val="0"/>
                      <w:color w:val="auto"/>
                      <w:kern w:val="0"/>
                      <w:sz w:val="24"/>
                      <w:szCs w:val="24"/>
                      <w:highlight w:val="none"/>
                      <w:vertAlign w:val="baseline"/>
                      <w:lang w:val="en-US" w:eastAsia="zh-CN" w:bidi="ar-SA"/>
                    </w:rPr>
                    <w:t>面积（</w:t>
                  </w:r>
                  <w:r>
                    <w:rPr>
                      <w:rStyle w:val="43"/>
                      <w:rFonts w:hint="default" w:ascii="宋体" w:hAnsi="Times New Roman" w:eastAsia="宋体" w:cs="宋体"/>
                      <w:b/>
                      <w:bCs/>
                      <w:i w:val="0"/>
                      <w:iCs w:val="0"/>
                      <w:color w:val="auto"/>
                      <w:kern w:val="2"/>
                      <w:sz w:val="24"/>
                      <w:szCs w:val="24"/>
                      <w:highlight w:val="none"/>
                      <w:vertAlign w:val="baseline"/>
                      <w:lang w:val="en-US" w:eastAsia="zh-CN" w:bidi="ar-SA"/>
                    </w:rPr>
                    <w:t>m</w:t>
                  </w:r>
                  <w:r>
                    <w:rPr>
                      <w:rFonts w:hint="default" w:ascii="宋体" w:hAnsi="Times New Roman" w:eastAsia="宋体" w:cs="宋体"/>
                      <w:b/>
                      <w:bCs/>
                      <w:i w:val="0"/>
                      <w:iCs w:val="0"/>
                      <w:color w:val="auto"/>
                      <w:kern w:val="0"/>
                      <w:sz w:val="24"/>
                      <w:szCs w:val="24"/>
                      <w:highlight w:val="none"/>
                      <w:vertAlign w:val="superscript"/>
                      <w:lang w:val="en-US" w:eastAsia="zh-CN" w:bidi="ar-SA"/>
                    </w:rPr>
                    <w:t>2</w:t>
                  </w:r>
                  <w:r>
                    <w:rPr>
                      <w:rFonts w:hint="default" w:ascii="宋体" w:hAnsi="宋体" w:eastAsia="宋体" w:cs="宋体"/>
                      <w:b/>
                      <w:bCs/>
                      <w:i w:val="0"/>
                      <w:iCs w:val="0"/>
                      <w:color w:val="auto"/>
                      <w:kern w:val="0"/>
                      <w:sz w:val="24"/>
                      <w:szCs w:val="24"/>
                      <w:highlight w:val="none"/>
                      <w:vertAlign w:val="baseline"/>
                      <w:lang w:val="en-US" w:eastAsia="zh-CN" w:bidi="ar-SA"/>
                    </w:rPr>
                    <w:t>）</w:t>
                  </w:r>
                </w:p>
              </w:tc>
              <w:tc>
                <w:tcPr>
                  <w:tcW w:w="2174" w:type="dxa"/>
                  <w:tcBorders>
                    <w:top w:val="single" w:color="000000" w:sz="12" w:space="0"/>
                    <w:left w:val="single" w:color="000000" w:sz="8" w:space="0"/>
                    <w:bottom w:val="single" w:color="000000" w:sz="12"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bCs/>
                      <w:i w:val="0"/>
                      <w:iCs w:val="0"/>
                      <w:color w:val="auto"/>
                      <w:kern w:val="0"/>
                      <w:sz w:val="24"/>
                      <w:szCs w:val="24"/>
                      <w:highlight w:val="none"/>
                      <w:vertAlign w:val="baseline"/>
                      <w:lang w:val="en-US" w:eastAsia="zh-CN" w:bidi="ar-SA"/>
                    </w:rPr>
                    <w:t>备注</w:t>
                  </w:r>
                </w:p>
              </w:tc>
            </w:tr>
            <w:tr>
              <w:tblPrEx>
                <w:tblCellMar>
                  <w:top w:w="0" w:type="dxa"/>
                  <w:left w:w="108" w:type="dxa"/>
                  <w:bottom w:w="0" w:type="dxa"/>
                  <w:right w:w="108" w:type="dxa"/>
                </w:tblCellMar>
              </w:tblPrEx>
              <w:trPr>
                <w:trHeight w:val="604" w:hRule="atLeast"/>
                <w:jc w:val="center"/>
              </w:trPr>
              <w:tc>
                <w:tcPr>
                  <w:tcW w:w="1755" w:type="dxa"/>
                  <w:tcBorders>
                    <w:top w:val="single" w:color="000000" w:sz="12"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一</w:t>
                  </w:r>
                </w:p>
              </w:tc>
              <w:tc>
                <w:tcPr>
                  <w:tcW w:w="1755" w:type="dxa"/>
                  <w:tcBorders>
                    <w:top w:val="single" w:color="000000" w:sz="12"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建筑垃圾堆料区用地面积</w:t>
                  </w:r>
                </w:p>
              </w:tc>
              <w:tc>
                <w:tcPr>
                  <w:tcW w:w="2174" w:type="dxa"/>
                  <w:tcBorders>
                    <w:top w:val="single" w:color="000000" w:sz="12"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174794.99</w:t>
                  </w:r>
                </w:p>
              </w:tc>
              <w:tc>
                <w:tcPr>
                  <w:tcW w:w="2174" w:type="dxa"/>
                  <w:tcBorders>
                    <w:top w:val="single" w:color="000000" w:sz="12" w:space="0"/>
                    <w:left w:val="single" w:color="000000" w:sz="8" w:space="0"/>
                    <w:bottom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p>
              </w:tc>
            </w:tr>
            <w:tr>
              <w:tblPrEx>
                <w:tblCellMar>
                  <w:top w:w="0" w:type="dxa"/>
                  <w:left w:w="108" w:type="dxa"/>
                  <w:bottom w:w="0" w:type="dxa"/>
                  <w:right w:w="108" w:type="dxa"/>
                </w:tblCellMar>
              </w:tblPrEx>
              <w:trPr>
                <w:trHeight w:val="595" w:hRule="atLeast"/>
                <w:jc w:val="center"/>
              </w:trPr>
              <w:tc>
                <w:tcPr>
                  <w:tcW w:w="1755" w:type="dxa"/>
                  <w:tcBorders>
                    <w:top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二</w:t>
                  </w:r>
                </w:p>
              </w:tc>
              <w:tc>
                <w:tcPr>
                  <w:tcW w:w="175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管理区用地面积</w:t>
                  </w:r>
                </w:p>
              </w:tc>
              <w:tc>
                <w:tcPr>
                  <w:tcW w:w="217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552</w:t>
                  </w:r>
                </w:p>
              </w:tc>
              <w:tc>
                <w:tcPr>
                  <w:tcW w:w="2174" w:type="dxa"/>
                  <w:tcBorders>
                    <w:top w:val="single" w:color="000000" w:sz="8" w:space="0"/>
                    <w:left w:val="single" w:color="000000" w:sz="8" w:space="0"/>
                    <w:bottom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p>
              </w:tc>
            </w:tr>
            <w:tr>
              <w:tblPrEx>
                <w:tblCellMar>
                  <w:top w:w="0" w:type="dxa"/>
                  <w:left w:w="108" w:type="dxa"/>
                  <w:bottom w:w="0" w:type="dxa"/>
                  <w:right w:w="108" w:type="dxa"/>
                </w:tblCellMar>
              </w:tblPrEx>
              <w:trPr>
                <w:trHeight w:val="307" w:hRule="atLeast"/>
                <w:jc w:val="center"/>
              </w:trPr>
              <w:tc>
                <w:tcPr>
                  <w:tcW w:w="1755" w:type="dxa"/>
                  <w:tcBorders>
                    <w:top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1</w:t>
                  </w:r>
                </w:p>
              </w:tc>
              <w:tc>
                <w:tcPr>
                  <w:tcW w:w="175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管理区</w:t>
                  </w:r>
                </w:p>
              </w:tc>
              <w:tc>
                <w:tcPr>
                  <w:tcW w:w="217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540</w:t>
                  </w:r>
                </w:p>
              </w:tc>
              <w:tc>
                <w:tcPr>
                  <w:tcW w:w="2174" w:type="dxa"/>
                  <w:tcBorders>
                    <w:top w:val="single" w:color="000000" w:sz="8" w:space="0"/>
                    <w:left w:val="single" w:color="000000" w:sz="8" w:space="0"/>
                    <w:bottom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p>
              </w:tc>
            </w:tr>
            <w:tr>
              <w:tblPrEx>
                <w:tblCellMar>
                  <w:top w:w="0" w:type="dxa"/>
                  <w:left w:w="108" w:type="dxa"/>
                  <w:bottom w:w="0" w:type="dxa"/>
                  <w:right w:w="108" w:type="dxa"/>
                </w:tblCellMar>
              </w:tblPrEx>
              <w:trPr>
                <w:trHeight w:val="307" w:hRule="atLeast"/>
                <w:jc w:val="center"/>
              </w:trPr>
              <w:tc>
                <w:tcPr>
                  <w:tcW w:w="1755" w:type="dxa"/>
                  <w:tcBorders>
                    <w:top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2</w:t>
                  </w:r>
                </w:p>
              </w:tc>
              <w:tc>
                <w:tcPr>
                  <w:tcW w:w="175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地磅房</w:t>
                  </w:r>
                </w:p>
              </w:tc>
              <w:tc>
                <w:tcPr>
                  <w:tcW w:w="217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12</w:t>
                  </w:r>
                </w:p>
              </w:tc>
              <w:tc>
                <w:tcPr>
                  <w:tcW w:w="2174" w:type="dxa"/>
                  <w:tcBorders>
                    <w:top w:val="single" w:color="000000" w:sz="8" w:space="0"/>
                    <w:left w:val="single" w:color="000000" w:sz="8" w:space="0"/>
                    <w:bottom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p>
              </w:tc>
            </w:tr>
            <w:tr>
              <w:tblPrEx>
                <w:tblCellMar>
                  <w:top w:w="0" w:type="dxa"/>
                  <w:left w:w="108" w:type="dxa"/>
                  <w:bottom w:w="0" w:type="dxa"/>
                  <w:right w:w="108" w:type="dxa"/>
                </w:tblCellMar>
              </w:tblPrEx>
              <w:trPr>
                <w:trHeight w:val="571" w:hRule="atLeast"/>
                <w:jc w:val="center"/>
              </w:trPr>
              <w:tc>
                <w:tcPr>
                  <w:tcW w:w="1755" w:type="dxa"/>
                  <w:tcBorders>
                    <w:top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三</w:t>
                  </w:r>
                </w:p>
              </w:tc>
              <w:tc>
                <w:tcPr>
                  <w:tcW w:w="175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绿化面积</w:t>
                  </w:r>
                </w:p>
              </w:tc>
              <w:tc>
                <w:tcPr>
                  <w:tcW w:w="217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1200</w:t>
                  </w:r>
                </w:p>
              </w:tc>
              <w:tc>
                <w:tcPr>
                  <w:tcW w:w="2174" w:type="dxa"/>
                  <w:tcBorders>
                    <w:top w:val="single" w:color="000000" w:sz="8" w:space="0"/>
                    <w:left w:val="single" w:color="000000" w:sz="8" w:space="0"/>
                    <w:bottom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p>
              </w:tc>
            </w:tr>
            <w:tr>
              <w:tblPrEx>
                <w:tblCellMar>
                  <w:top w:w="0" w:type="dxa"/>
                  <w:left w:w="108" w:type="dxa"/>
                  <w:bottom w:w="0" w:type="dxa"/>
                  <w:right w:w="108" w:type="dxa"/>
                </w:tblCellMar>
              </w:tblPrEx>
              <w:trPr>
                <w:trHeight w:val="595" w:hRule="atLeast"/>
                <w:jc w:val="center"/>
              </w:trPr>
              <w:tc>
                <w:tcPr>
                  <w:tcW w:w="1755" w:type="dxa"/>
                  <w:tcBorders>
                    <w:top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240" w:lineRule="auto"/>
                    <w:jc w:val="center"/>
                    <w:rPr>
                      <w:rFonts w:hint="eastAsia" w:ascii="宋体" w:hAnsi="Times New Roman" w:eastAsia="宋体" w:cs="宋体"/>
                      <w:b/>
                      <w:bCs w:val="0"/>
                      <w:color w:val="auto"/>
                      <w:sz w:val="24"/>
                      <w:szCs w:val="24"/>
                      <w:highlight w:val="none"/>
                      <w:lang w:val="en-US" w:eastAsia="zh-CN"/>
                    </w:rPr>
                  </w:pPr>
                  <w:r>
                    <w:rPr>
                      <w:rFonts w:hint="default" w:ascii="宋体" w:hAnsi="Times New Roman" w:eastAsia="宋体" w:cs="宋体"/>
                      <w:b w:val="0"/>
                      <w:bCs w:val="0"/>
                      <w:i w:val="0"/>
                      <w:iCs w:val="0"/>
                      <w:color w:val="auto"/>
                      <w:kern w:val="2"/>
                      <w:sz w:val="24"/>
                      <w:szCs w:val="24"/>
                      <w:highlight w:val="none"/>
                      <w:vertAlign w:val="baseline"/>
                      <w:lang w:val="en-US" w:eastAsia="zh-CN" w:bidi="ar-SA"/>
                    </w:rPr>
                    <w:t>四</w:t>
                  </w:r>
                </w:p>
              </w:tc>
              <w:tc>
                <w:tcPr>
                  <w:tcW w:w="175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挡土坝、道路及硬化用地面积</w:t>
                  </w:r>
                </w:p>
              </w:tc>
              <w:tc>
                <w:tcPr>
                  <w:tcW w:w="217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default"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17</w:t>
                  </w:r>
                  <w:r>
                    <w:rPr>
                      <w:rFonts w:hint="eastAsia" w:ascii="宋体" w:hAnsi="宋体" w:cs="宋体"/>
                      <w:b w:val="0"/>
                      <w:bCs w:val="0"/>
                      <w:i w:val="0"/>
                      <w:iCs w:val="0"/>
                      <w:color w:val="auto"/>
                      <w:kern w:val="0"/>
                      <w:sz w:val="24"/>
                      <w:szCs w:val="24"/>
                      <w:highlight w:val="none"/>
                      <w:vertAlign w:val="baseline"/>
                      <w:lang w:val="en-US" w:eastAsia="zh-CN" w:bidi="ar-SA"/>
                    </w:rPr>
                    <w:t>653</w:t>
                  </w:r>
                  <w:r>
                    <w:rPr>
                      <w:rFonts w:hint="default" w:ascii="宋体" w:hAnsi="宋体" w:eastAsia="宋体" w:cs="宋体"/>
                      <w:b w:val="0"/>
                      <w:bCs w:val="0"/>
                      <w:i w:val="0"/>
                      <w:iCs w:val="0"/>
                      <w:color w:val="auto"/>
                      <w:kern w:val="0"/>
                      <w:sz w:val="24"/>
                      <w:szCs w:val="24"/>
                      <w:highlight w:val="none"/>
                      <w:vertAlign w:val="baseline"/>
                      <w:lang w:val="en-US" w:eastAsia="zh-CN" w:bidi="ar-SA"/>
                    </w:rPr>
                    <w:t>.</w:t>
                  </w:r>
                  <w:r>
                    <w:rPr>
                      <w:rFonts w:hint="eastAsia" w:ascii="宋体" w:hAnsi="宋体" w:cs="宋体"/>
                      <w:b w:val="0"/>
                      <w:bCs w:val="0"/>
                      <w:i w:val="0"/>
                      <w:iCs w:val="0"/>
                      <w:color w:val="auto"/>
                      <w:kern w:val="0"/>
                      <w:sz w:val="24"/>
                      <w:szCs w:val="24"/>
                      <w:highlight w:val="none"/>
                      <w:vertAlign w:val="baseline"/>
                      <w:lang w:val="en-US" w:eastAsia="zh-CN" w:bidi="ar-SA"/>
                    </w:rPr>
                    <w:t>67</w:t>
                  </w:r>
                </w:p>
              </w:tc>
              <w:tc>
                <w:tcPr>
                  <w:tcW w:w="2174" w:type="dxa"/>
                  <w:tcBorders>
                    <w:top w:val="single" w:color="000000" w:sz="8" w:space="0"/>
                    <w:left w:val="single" w:color="000000" w:sz="8" w:space="0"/>
                    <w:bottom w:val="single" w:color="000000" w:sz="8" w:space="0"/>
                  </w:tcBorders>
                  <w:tcMar>
                    <w:top w:w="0" w:type="dxa"/>
                    <w:left w:w="108" w:type="dxa"/>
                    <w:bottom w:w="0" w:type="dxa"/>
                    <w:right w:w="108" w:type="dxa"/>
                  </w:tcMar>
                  <w:vAlign w:val="center"/>
                </w:tcPr>
                <w:p>
                  <w:pPr>
                    <w:spacing w:line="240" w:lineRule="auto"/>
                    <w:jc w:val="center"/>
                    <w:rPr>
                      <w:rFonts w:hint="eastAsia" w:ascii="宋体" w:hAnsi="Times New Roman" w:eastAsia="宋体" w:cs="宋体"/>
                      <w:b/>
                      <w:bCs w:val="0"/>
                      <w:color w:val="auto"/>
                      <w:sz w:val="24"/>
                      <w:szCs w:val="24"/>
                      <w:highlight w:val="none"/>
                      <w:lang w:val="en-US" w:eastAsia="zh-CN"/>
                    </w:rPr>
                  </w:pPr>
                </w:p>
              </w:tc>
            </w:tr>
            <w:tr>
              <w:tblPrEx>
                <w:tblCellMar>
                  <w:top w:w="0" w:type="dxa"/>
                  <w:left w:w="108" w:type="dxa"/>
                  <w:bottom w:w="0" w:type="dxa"/>
                  <w:right w:w="108" w:type="dxa"/>
                </w:tblCellMar>
              </w:tblPrEx>
              <w:trPr>
                <w:trHeight w:val="571" w:hRule="atLeast"/>
                <w:jc w:val="center"/>
              </w:trPr>
              <w:tc>
                <w:tcPr>
                  <w:tcW w:w="1755" w:type="dxa"/>
                  <w:tcBorders>
                    <w:top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240" w:lineRule="auto"/>
                    <w:jc w:val="center"/>
                    <w:rPr>
                      <w:rFonts w:hint="eastAsia" w:ascii="宋体" w:hAnsi="Times New Roman" w:eastAsia="宋体" w:cs="宋体"/>
                      <w:b/>
                      <w:bCs w:val="0"/>
                      <w:color w:val="auto"/>
                      <w:sz w:val="24"/>
                      <w:szCs w:val="24"/>
                      <w:highlight w:val="none"/>
                      <w:lang w:val="en-US" w:eastAsia="zh-CN"/>
                    </w:rPr>
                  </w:pPr>
                  <w:r>
                    <w:rPr>
                      <w:rFonts w:hint="default" w:ascii="宋体" w:hAnsi="Times New Roman" w:eastAsia="宋体" w:cs="宋体"/>
                      <w:b w:val="0"/>
                      <w:bCs w:val="0"/>
                      <w:i w:val="0"/>
                      <w:iCs w:val="0"/>
                      <w:color w:val="auto"/>
                      <w:kern w:val="2"/>
                      <w:sz w:val="24"/>
                      <w:szCs w:val="24"/>
                      <w:highlight w:val="none"/>
                      <w:vertAlign w:val="baseline"/>
                      <w:lang w:val="en-US" w:eastAsia="zh-CN" w:bidi="ar-SA"/>
                    </w:rPr>
                    <w:t>1</w:t>
                  </w:r>
                </w:p>
              </w:tc>
              <w:tc>
                <w:tcPr>
                  <w:tcW w:w="175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挡土坝（围墙）</w:t>
                  </w:r>
                </w:p>
              </w:tc>
              <w:tc>
                <w:tcPr>
                  <w:tcW w:w="217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15400</w:t>
                  </w:r>
                </w:p>
              </w:tc>
              <w:tc>
                <w:tcPr>
                  <w:tcW w:w="2174" w:type="dxa"/>
                  <w:tcBorders>
                    <w:top w:val="single" w:color="000000" w:sz="8" w:space="0"/>
                    <w:left w:val="single" w:color="000000" w:sz="8" w:space="0"/>
                    <w:bottom w:val="single" w:color="000000" w:sz="8" w:space="0"/>
                  </w:tcBorders>
                  <w:tcMar>
                    <w:top w:w="0" w:type="dxa"/>
                    <w:left w:w="108" w:type="dxa"/>
                    <w:bottom w:w="0" w:type="dxa"/>
                    <w:right w:w="108" w:type="dxa"/>
                  </w:tcMar>
                  <w:vAlign w:val="center"/>
                </w:tcPr>
                <w:p>
                  <w:pPr>
                    <w:spacing w:line="240" w:lineRule="auto"/>
                    <w:jc w:val="center"/>
                    <w:rPr>
                      <w:rFonts w:hint="eastAsia" w:ascii="宋体" w:hAnsi="Times New Roman" w:eastAsia="宋体" w:cs="宋体"/>
                      <w:b/>
                      <w:bCs w:val="0"/>
                      <w:color w:val="auto"/>
                      <w:sz w:val="24"/>
                      <w:szCs w:val="24"/>
                      <w:highlight w:val="none"/>
                      <w:lang w:val="en-US" w:eastAsia="zh-CN"/>
                    </w:rPr>
                  </w:pPr>
                </w:p>
              </w:tc>
            </w:tr>
            <w:tr>
              <w:tblPrEx>
                <w:tblCellMar>
                  <w:top w:w="0" w:type="dxa"/>
                  <w:left w:w="108" w:type="dxa"/>
                  <w:bottom w:w="0" w:type="dxa"/>
                  <w:right w:w="108" w:type="dxa"/>
                </w:tblCellMar>
              </w:tblPrEx>
              <w:trPr>
                <w:trHeight w:val="571" w:hRule="atLeast"/>
                <w:jc w:val="center"/>
              </w:trPr>
              <w:tc>
                <w:tcPr>
                  <w:tcW w:w="1755" w:type="dxa"/>
                  <w:tcBorders>
                    <w:top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240" w:lineRule="auto"/>
                    <w:jc w:val="center"/>
                    <w:rPr>
                      <w:rFonts w:hint="eastAsia" w:ascii="宋体" w:hAnsi="Times New Roman" w:eastAsia="宋体" w:cs="宋体"/>
                      <w:b/>
                      <w:bCs w:val="0"/>
                      <w:color w:val="auto"/>
                      <w:sz w:val="24"/>
                      <w:szCs w:val="24"/>
                      <w:highlight w:val="none"/>
                      <w:lang w:val="en-US" w:eastAsia="zh-CN"/>
                    </w:rPr>
                  </w:pPr>
                  <w:r>
                    <w:rPr>
                      <w:rFonts w:hint="default" w:ascii="宋体" w:hAnsi="Times New Roman" w:eastAsia="宋体" w:cs="宋体"/>
                      <w:b/>
                      <w:bCs w:val="0"/>
                      <w:color w:val="auto"/>
                      <w:sz w:val="24"/>
                      <w:szCs w:val="24"/>
                      <w:highlight w:val="none"/>
                      <w:lang w:val="en-US" w:eastAsia="zh-CN"/>
                    </w:rPr>
                    <w:t>2</w:t>
                  </w:r>
                </w:p>
              </w:tc>
              <w:tc>
                <w:tcPr>
                  <w:tcW w:w="175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道路</w:t>
                  </w:r>
                </w:p>
              </w:tc>
              <w:tc>
                <w:tcPr>
                  <w:tcW w:w="217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1320</w:t>
                  </w:r>
                </w:p>
              </w:tc>
              <w:tc>
                <w:tcPr>
                  <w:tcW w:w="2174" w:type="dxa"/>
                  <w:tcBorders>
                    <w:top w:val="single" w:color="000000" w:sz="8" w:space="0"/>
                    <w:left w:val="single" w:color="000000" w:sz="8" w:space="0"/>
                    <w:bottom w:val="single" w:color="000000" w:sz="8" w:space="0"/>
                  </w:tcBorders>
                  <w:tcMar>
                    <w:top w:w="0" w:type="dxa"/>
                    <w:left w:w="108" w:type="dxa"/>
                    <w:bottom w:w="0" w:type="dxa"/>
                    <w:right w:w="108" w:type="dxa"/>
                  </w:tcMar>
                  <w:vAlign w:val="center"/>
                </w:tcPr>
                <w:p>
                  <w:pPr>
                    <w:spacing w:line="240" w:lineRule="auto"/>
                    <w:jc w:val="center"/>
                    <w:rPr>
                      <w:rFonts w:hint="eastAsia" w:ascii="宋体" w:hAnsi="Times New Roman" w:eastAsia="宋体" w:cs="宋体"/>
                      <w:b/>
                      <w:bCs w:val="0"/>
                      <w:color w:val="auto"/>
                      <w:sz w:val="24"/>
                      <w:szCs w:val="24"/>
                      <w:highlight w:val="none"/>
                      <w:lang w:val="en-US" w:eastAsia="zh-CN"/>
                    </w:rPr>
                  </w:pPr>
                </w:p>
              </w:tc>
            </w:tr>
            <w:tr>
              <w:tblPrEx>
                <w:tblCellMar>
                  <w:top w:w="0" w:type="dxa"/>
                  <w:left w:w="108" w:type="dxa"/>
                  <w:bottom w:w="0" w:type="dxa"/>
                  <w:right w:w="108" w:type="dxa"/>
                </w:tblCellMar>
              </w:tblPrEx>
              <w:trPr>
                <w:trHeight w:val="571" w:hRule="atLeast"/>
                <w:jc w:val="center"/>
              </w:trPr>
              <w:tc>
                <w:tcPr>
                  <w:tcW w:w="1755" w:type="dxa"/>
                  <w:tcBorders>
                    <w:top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240" w:lineRule="auto"/>
                    <w:jc w:val="center"/>
                    <w:rPr>
                      <w:rFonts w:hint="eastAsia" w:ascii="宋体" w:hAnsi="Times New Roman" w:eastAsia="宋体" w:cs="宋体"/>
                      <w:b/>
                      <w:bCs w:val="0"/>
                      <w:color w:val="auto"/>
                      <w:sz w:val="24"/>
                      <w:szCs w:val="24"/>
                      <w:highlight w:val="none"/>
                      <w:lang w:val="en-US" w:eastAsia="zh-CN"/>
                    </w:rPr>
                  </w:pPr>
                  <w:r>
                    <w:rPr>
                      <w:rFonts w:hint="default" w:ascii="宋体" w:hAnsi="Times New Roman" w:eastAsia="宋体" w:cs="宋体"/>
                      <w:b/>
                      <w:bCs w:val="0"/>
                      <w:color w:val="auto"/>
                      <w:sz w:val="24"/>
                      <w:szCs w:val="24"/>
                      <w:highlight w:val="none"/>
                      <w:lang w:val="en-US" w:eastAsia="zh-CN"/>
                    </w:rPr>
                    <w:t>3</w:t>
                  </w:r>
                </w:p>
              </w:tc>
              <w:tc>
                <w:tcPr>
                  <w:tcW w:w="175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硬化用地</w:t>
                  </w:r>
                </w:p>
              </w:tc>
              <w:tc>
                <w:tcPr>
                  <w:tcW w:w="217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28</w:t>
                  </w:r>
                  <w:r>
                    <w:rPr>
                      <w:rFonts w:hint="eastAsia" w:ascii="宋体" w:hAnsi="宋体" w:cs="宋体"/>
                      <w:b w:val="0"/>
                      <w:bCs w:val="0"/>
                      <w:i w:val="0"/>
                      <w:iCs w:val="0"/>
                      <w:color w:val="auto"/>
                      <w:kern w:val="0"/>
                      <w:sz w:val="24"/>
                      <w:szCs w:val="24"/>
                      <w:highlight w:val="none"/>
                      <w:vertAlign w:val="baseline"/>
                      <w:lang w:val="en-US" w:eastAsia="zh-CN" w:bidi="ar-SA"/>
                    </w:rPr>
                    <w:t>12</w:t>
                  </w:r>
                </w:p>
              </w:tc>
              <w:tc>
                <w:tcPr>
                  <w:tcW w:w="2174" w:type="dxa"/>
                  <w:tcBorders>
                    <w:top w:val="single" w:color="000000" w:sz="8" w:space="0"/>
                    <w:left w:val="single" w:color="000000" w:sz="8" w:space="0"/>
                    <w:bottom w:val="single" w:color="000000" w:sz="8" w:space="0"/>
                  </w:tcBorders>
                  <w:tcMar>
                    <w:top w:w="0" w:type="dxa"/>
                    <w:left w:w="108" w:type="dxa"/>
                    <w:bottom w:w="0" w:type="dxa"/>
                    <w:right w:w="108" w:type="dxa"/>
                  </w:tcMar>
                  <w:vAlign w:val="center"/>
                </w:tcPr>
                <w:p>
                  <w:pPr>
                    <w:spacing w:line="240" w:lineRule="auto"/>
                    <w:jc w:val="center"/>
                    <w:rPr>
                      <w:rFonts w:hint="eastAsia" w:ascii="宋体" w:hAnsi="Times New Roman" w:eastAsia="宋体" w:cs="宋体"/>
                      <w:b/>
                      <w:bCs w:val="0"/>
                      <w:color w:val="auto"/>
                      <w:sz w:val="24"/>
                      <w:szCs w:val="24"/>
                      <w:highlight w:val="none"/>
                      <w:lang w:val="en-US" w:eastAsia="zh-CN"/>
                    </w:rPr>
                  </w:pPr>
                </w:p>
              </w:tc>
            </w:tr>
            <w:tr>
              <w:tblPrEx>
                <w:tblCellMar>
                  <w:top w:w="0" w:type="dxa"/>
                  <w:left w:w="108" w:type="dxa"/>
                  <w:bottom w:w="0" w:type="dxa"/>
                  <w:right w:w="108" w:type="dxa"/>
                </w:tblCellMar>
              </w:tblPrEx>
              <w:trPr>
                <w:trHeight w:val="595" w:hRule="atLeast"/>
                <w:jc w:val="center"/>
              </w:trPr>
              <w:tc>
                <w:tcPr>
                  <w:tcW w:w="1755" w:type="dxa"/>
                  <w:tcBorders>
                    <w:top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240" w:lineRule="auto"/>
                    <w:jc w:val="center"/>
                    <w:rPr>
                      <w:rFonts w:hint="eastAsia" w:ascii="宋体" w:hAnsi="Times New Roman" w:eastAsia="宋体" w:cs="宋体"/>
                      <w:b/>
                      <w:bCs w:val="0"/>
                      <w:color w:val="auto"/>
                      <w:sz w:val="24"/>
                      <w:szCs w:val="24"/>
                      <w:highlight w:val="none"/>
                      <w:lang w:val="en-US" w:eastAsia="zh-CN"/>
                    </w:rPr>
                  </w:pPr>
                  <w:r>
                    <w:rPr>
                      <w:rFonts w:hint="default" w:ascii="宋体" w:hAnsi="Times New Roman" w:eastAsia="宋体" w:cs="宋体"/>
                      <w:b/>
                      <w:bCs w:val="0"/>
                      <w:color w:val="auto"/>
                      <w:sz w:val="24"/>
                      <w:szCs w:val="24"/>
                      <w:highlight w:val="none"/>
                      <w:lang w:val="en-US" w:eastAsia="zh-CN"/>
                    </w:rPr>
                    <w:t>4</w:t>
                  </w:r>
                </w:p>
              </w:tc>
              <w:tc>
                <w:tcPr>
                  <w:tcW w:w="175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eastAsia" w:ascii="宋体" w:hAnsi="宋体" w:cs="宋体"/>
                      <w:b w:val="0"/>
                      <w:bCs w:val="0"/>
                      <w:i w:val="0"/>
                      <w:iCs w:val="0"/>
                      <w:color w:val="auto"/>
                      <w:kern w:val="0"/>
                      <w:sz w:val="24"/>
                      <w:szCs w:val="24"/>
                      <w:highlight w:val="none"/>
                      <w:vertAlign w:val="baseline"/>
                      <w:lang w:val="en-US" w:eastAsia="zh-CN" w:bidi="ar-SA"/>
                    </w:rPr>
                    <w:t>沉淀</w:t>
                  </w:r>
                  <w:r>
                    <w:rPr>
                      <w:rFonts w:hint="default" w:ascii="宋体" w:hAnsi="宋体" w:eastAsia="宋体" w:cs="宋体"/>
                      <w:b w:val="0"/>
                      <w:bCs w:val="0"/>
                      <w:i w:val="0"/>
                      <w:iCs w:val="0"/>
                      <w:color w:val="auto"/>
                      <w:kern w:val="0"/>
                      <w:sz w:val="24"/>
                      <w:szCs w:val="24"/>
                      <w:highlight w:val="none"/>
                      <w:vertAlign w:val="baseline"/>
                      <w:lang w:val="en-US" w:eastAsia="zh-CN" w:bidi="ar-SA"/>
                    </w:rPr>
                    <w:t>池</w:t>
                  </w:r>
                </w:p>
              </w:tc>
              <w:tc>
                <w:tcPr>
                  <w:tcW w:w="217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default" w:ascii="宋体" w:hAnsi="Times New Roman" w:eastAsia="宋体" w:cs="宋体"/>
                      <w:b/>
                      <w:bCs w:val="0"/>
                      <w:color w:val="auto"/>
                      <w:sz w:val="24"/>
                      <w:szCs w:val="24"/>
                      <w:highlight w:val="none"/>
                      <w:lang w:val="en-US" w:eastAsia="zh-CN"/>
                    </w:rPr>
                  </w:pPr>
                  <w:r>
                    <w:rPr>
                      <w:rFonts w:hint="eastAsia" w:ascii="宋体" w:cs="宋体"/>
                      <w:b w:val="0"/>
                      <w:bCs/>
                      <w:color w:val="auto"/>
                      <w:sz w:val="24"/>
                      <w:szCs w:val="24"/>
                      <w:highlight w:val="none"/>
                      <w:lang w:val="en-US" w:eastAsia="zh-CN"/>
                    </w:rPr>
                    <w:t>15</w:t>
                  </w:r>
                </w:p>
              </w:tc>
              <w:tc>
                <w:tcPr>
                  <w:tcW w:w="2174" w:type="dxa"/>
                  <w:tcBorders>
                    <w:top w:val="single" w:color="000000" w:sz="8" w:space="0"/>
                    <w:left w:val="single" w:color="000000" w:sz="8" w:space="0"/>
                    <w:bottom w:val="single" w:color="000000" w:sz="8" w:space="0"/>
                  </w:tcBorders>
                  <w:tcMar>
                    <w:top w:w="0" w:type="dxa"/>
                    <w:left w:w="108" w:type="dxa"/>
                    <w:bottom w:w="0" w:type="dxa"/>
                    <w:right w:w="108" w:type="dxa"/>
                  </w:tcMar>
                  <w:vAlign w:val="center"/>
                </w:tcPr>
                <w:p>
                  <w:pPr>
                    <w:spacing w:line="240" w:lineRule="auto"/>
                    <w:jc w:val="center"/>
                    <w:rPr>
                      <w:rFonts w:hint="eastAsia" w:ascii="宋体" w:hAnsi="Times New Roman" w:eastAsia="宋体" w:cs="宋体"/>
                      <w:b/>
                      <w:bCs w:val="0"/>
                      <w:color w:val="auto"/>
                      <w:sz w:val="24"/>
                      <w:szCs w:val="24"/>
                      <w:highlight w:val="none"/>
                      <w:lang w:val="en-US" w:eastAsia="zh-CN"/>
                    </w:rPr>
                  </w:pPr>
                </w:p>
              </w:tc>
            </w:tr>
            <w:tr>
              <w:tblPrEx>
                <w:tblCellMar>
                  <w:top w:w="0" w:type="dxa"/>
                  <w:left w:w="108" w:type="dxa"/>
                  <w:bottom w:w="0" w:type="dxa"/>
                  <w:right w:w="108" w:type="dxa"/>
                </w:tblCellMar>
              </w:tblPrEx>
              <w:trPr>
                <w:trHeight w:val="317" w:hRule="atLeast"/>
                <w:jc w:val="center"/>
              </w:trPr>
              <w:tc>
                <w:tcPr>
                  <w:tcW w:w="1755" w:type="dxa"/>
                  <w:tcBorders>
                    <w:top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240" w:lineRule="auto"/>
                    <w:jc w:val="center"/>
                    <w:rPr>
                      <w:rFonts w:hint="default" w:ascii="宋体" w:hAnsi="Times New Roman" w:eastAsia="宋体" w:cs="宋体"/>
                      <w:b/>
                      <w:bCs w:val="0"/>
                      <w:color w:val="auto"/>
                      <w:sz w:val="24"/>
                      <w:szCs w:val="24"/>
                      <w:highlight w:val="none"/>
                      <w:lang w:val="en-US" w:eastAsia="zh-CN"/>
                    </w:rPr>
                  </w:pPr>
                  <w:r>
                    <w:rPr>
                      <w:rFonts w:hint="eastAsia" w:ascii="宋体" w:cs="宋体"/>
                      <w:b/>
                      <w:bCs w:val="0"/>
                      <w:color w:val="auto"/>
                      <w:sz w:val="24"/>
                      <w:szCs w:val="24"/>
                      <w:highlight w:val="none"/>
                      <w:lang w:val="en-US" w:eastAsia="zh-CN"/>
                    </w:rPr>
                    <w:t>5</w:t>
                  </w:r>
                </w:p>
              </w:tc>
              <w:tc>
                <w:tcPr>
                  <w:tcW w:w="175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default" w:ascii="宋体" w:hAnsi="宋体" w:cs="宋体"/>
                      <w:b w:val="0"/>
                      <w:bCs w:val="0"/>
                      <w:i w:val="0"/>
                      <w:iCs w:val="0"/>
                      <w:color w:val="auto"/>
                      <w:kern w:val="0"/>
                      <w:sz w:val="24"/>
                      <w:szCs w:val="24"/>
                      <w:highlight w:val="none"/>
                      <w:vertAlign w:val="baseline"/>
                      <w:lang w:val="en-US" w:eastAsia="zh-CN" w:bidi="ar-SA"/>
                    </w:rPr>
                  </w:pPr>
                  <w:r>
                    <w:rPr>
                      <w:rFonts w:hint="eastAsia" w:ascii="宋体" w:hAnsi="宋体" w:cs="宋体"/>
                      <w:b w:val="0"/>
                      <w:bCs w:val="0"/>
                      <w:i w:val="0"/>
                      <w:iCs w:val="0"/>
                      <w:color w:val="auto"/>
                      <w:kern w:val="0"/>
                      <w:sz w:val="24"/>
                      <w:szCs w:val="24"/>
                      <w:highlight w:val="none"/>
                      <w:vertAlign w:val="baseline"/>
                      <w:lang w:val="en-US" w:eastAsia="zh-CN" w:bidi="ar-SA"/>
                    </w:rPr>
                    <w:t>雨水渗水暂存池</w:t>
                  </w:r>
                </w:p>
              </w:tc>
              <w:tc>
                <w:tcPr>
                  <w:tcW w:w="217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default" w:ascii="宋体" w:hAnsi="宋体" w:eastAsia="宋体" w:cs="宋体"/>
                      <w:b w:val="0"/>
                      <w:bCs w:val="0"/>
                      <w:i w:val="0"/>
                      <w:iCs w:val="0"/>
                      <w:color w:val="auto"/>
                      <w:kern w:val="0"/>
                      <w:sz w:val="24"/>
                      <w:szCs w:val="24"/>
                      <w:highlight w:val="none"/>
                      <w:vertAlign w:val="baseline"/>
                      <w:lang w:val="en-US" w:eastAsia="zh-CN" w:bidi="ar-SA"/>
                    </w:rPr>
                  </w:pPr>
                  <w:r>
                    <w:rPr>
                      <w:rFonts w:hint="eastAsia" w:ascii="宋体" w:hAnsi="宋体" w:cs="宋体"/>
                      <w:b w:val="0"/>
                      <w:bCs w:val="0"/>
                      <w:i w:val="0"/>
                      <w:iCs w:val="0"/>
                      <w:color w:val="auto"/>
                      <w:kern w:val="0"/>
                      <w:sz w:val="24"/>
                      <w:szCs w:val="24"/>
                      <w:highlight w:val="none"/>
                      <w:vertAlign w:val="baseline"/>
                      <w:lang w:val="en-US" w:eastAsia="zh-CN" w:bidi="ar-SA"/>
                    </w:rPr>
                    <w:t>15</w:t>
                  </w:r>
                </w:p>
              </w:tc>
              <w:tc>
                <w:tcPr>
                  <w:tcW w:w="2174" w:type="dxa"/>
                  <w:tcBorders>
                    <w:top w:val="single" w:color="000000" w:sz="8" w:space="0"/>
                    <w:left w:val="single" w:color="000000" w:sz="8" w:space="0"/>
                    <w:bottom w:val="single" w:color="000000" w:sz="8" w:space="0"/>
                  </w:tcBorders>
                  <w:tcMar>
                    <w:top w:w="0" w:type="dxa"/>
                    <w:left w:w="108" w:type="dxa"/>
                    <w:bottom w:w="0" w:type="dxa"/>
                    <w:right w:w="108" w:type="dxa"/>
                  </w:tcMar>
                  <w:vAlign w:val="center"/>
                </w:tcPr>
                <w:p>
                  <w:pPr>
                    <w:spacing w:line="240" w:lineRule="auto"/>
                    <w:jc w:val="center"/>
                    <w:rPr>
                      <w:rFonts w:hint="eastAsia" w:ascii="宋体" w:hAnsi="Times New Roman" w:eastAsia="宋体" w:cs="宋体"/>
                      <w:b/>
                      <w:bCs w:val="0"/>
                      <w:color w:val="auto"/>
                      <w:sz w:val="24"/>
                      <w:szCs w:val="24"/>
                      <w:highlight w:val="none"/>
                      <w:lang w:val="en-US" w:eastAsia="zh-CN"/>
                    </w:rPr>
                  </w:pPr>
                </w:p>
              </w:tc>
            </w:tr>
            <w:tr>
              <w:tblPrEx>
                <w:tblCellMar>
                  <w:top w:w="0" w:type="dxa"/>
                  <w:left w:w="108" w:type="dxa"/>
                  <w:bottom w:w="0" w:type="dxa"/>
                  <w:right w:w="108" w:type="dxa"/>
                </w:tblCellMar>
              </w:tblPrEx>
              <w:trPr>
                <w:trHeight w:val="396" w:hRule="atLeast"/>
                <w:jc w:val="center"/>
              </w:trPr>
              <w:tc>
                <w:tcPr>
                  <w:tcW w:w="3510" w:type="dxa"/>
                  <w:gridSpan w:val="2"/>
                  <w:tcBorders>
                    <w:top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合计</w:t>
                  </w:r>
                </w:p>
              </w:tc>
              <w:tc>
                <w:tcPr>
                  <w:tcW w:w="217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r>
                    <w:rPr>
                      <w:rFonts w:hint="default" w:ascii="宋体" w:hAnsi="宋体" w:eastAsia="宋体" w:cs="宋体"/>
                      <w:b w:val="0"/>
                      <w:bCs w:val="0"/>
                      <w:i w:val="0"/>
                      <w:iCs w:val="0"/>
                      <w:color w:val="auto"/>
                      <w:kern w:val="0"/>
                      <w:sz w:val="24"/>
                      <w:szCs w:val="24"/>
                      <w:highlight w:val="none"/>
                      <w:vertAlign w:val="baseline"/>
                      <w:lang w:val="en-US" w:eastAsia="zh-CN" w:bidi="ar-SA"/>
                    </w:rPr>
                    <w:t>194216.65</w:t>
                  </w:r>
                </w:p>
              </w:tc>
              <w:tc>
                <w:tcPr>
                  <w:tcW w:w="2174" w:type="dxa"/>
                  <w:tcBorders>
                    <w:top w:val="single" w:color="000000" w:sz="8" w:space="0"/>
                    <w:left w:val="single" w:color="000000" w:sz="8" w:space="0"/>
                    <w:bottom w:val="single" w:color="000000" w:sz="8" w:space="0"/>
                  </w:tcBorders>
                  <w:tcMar>
                    <w:top w:w="0" w:type="dxa"/>
                    <w:left w:w="108" w:type="dxa"/>
                    <w:bottom w:w="0" w:type="dxa"/>
                    <w:right w:w="108" w:type="dxa"/>
                  </w:tcMar>
                  <w:vAlign w:val="center"/>
                </w:tcPr>
                <w:p>
                  <w:pPr>
                    <w:widowControl/>
                    <w:spacing w:line="240" w:lineRule="auto"/>
                    <w:jc w:val="center"/>
                    <w:textAlignment w:val="center"/>
                    <w:rPr>
                      <w:rFonts w:hint="eastAsia" w:ascii="宋体" w:hAnsi="Times New Roman" w:eastAsia="宋体" w:cs="宋体"/>
                      <w:b/>
                      <w:bCs w:val="0"/>
                      <w:color w:val="auto"/>
                      <w:sz w:val="24"/>
                      <w:szCs w:val="24"/>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2.6 建筑垃圾产量预测、成分及收运服务范围</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2.6.1 建筑垃圾产量现状及预测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宋体"/>
                <w:color w:val="auto"/>
                <w:sz w:val="24"/>
                <w:szCs w:val="28"/>
                <w:highlight w:val="none"/>
              </w:rPr>
              <w:t>七台河市</w:t>
            </w:r>
            <w:r>
              <w:rPr>
                <w:rFonts w:hint="eastAsia" w:ascii="Times New Roman" w:hAnsi="Times New Roman" w:eastAsia="宋体" w:cs="宋体"/>
                <w:color w:val="auto"/>
                <w:sz w:val="24"/>
                <w:szCs w:val="28"/>
                <w:highlight w:val="none"/>
                <w:lang w:val="en-US" w:eastAsia="zh-CN"/>
              </w:rPr>
              <w:t>目前</w:t>
            </w:r>
            <w:r>
              <w:rPr>
                <w:rFonts w:hint="eastAsia" w:ascii="Times New Roman" w:hAnsi="Times New Roman" w:eastAsia="宋体" w:cs="宋体"/>
                <w:color w:val="auto"/>
                <w:sz w:val="24"/>
                <w:szCs w:val="28"/>
                <w:highlight w:val="none"/>
              </w:rPr>
              <w:t>没有建筑垃圾</w:t>
            </w:r>
            <w:r>
              <w:rPr>
                <w:rFonts w:hint="eastAsia" w:ascii="Times New Roman" w:hAnsi="Times New Roman" w:eastAsia="宋体" w:cs="宋体"/>
                <w:color w:val="auto"/>
                <w:sz w:val="24"/>
                <w:szCs w:val="28"/>
                <w:highlight w:val="none"/>
                <w:lang w:eastAsia="zh-CN"/>
              </w:rPr>
              <w:t>填埋</w:t>
            </w:r>
            <w:r>
              <w:rPr>
                <w:rFonts w:hint="eastAsia" w:ascii="Times New Roman" w:hAnsi="Times New Roman" w:eastAsia="宋体" w:cs="宋体"/>
                <w:color w:val="auto"/>
                <w:sz w:val="24"/>
                <w:szCs w:val="28"/>
                <w:highlight w:val="none"/>
              </w:rPr>
              <w:t>场</w:t>
            </w:r>
            <w:r>
              <w:rPr>
                <w:rFonts w:hint="eastAsia" w:ascii="Times New Roman" w:hAnsi="Times New Roman" w:eastAsia="宋体" w:cs="宋体"/>
                <w:color w:val="auto"/>
                <w:sz w:val="24"/>
                <w:szCs w:val="28"/>
                <w:highlight w:val="none"/>
                <w:lang w:val="en-US" w:eastAsia="zh-CN"/>
              </w:rPr>
              <w:t>和</w:t>
            </w:r>
            <w:r>
              <w:rPr>
                <w:rFonts w:hint="eastAsia" w:ascii="Times New Roman" w:hAnsi="Times New Roman" w:eastAsia="宋体" w:cs="宋体"/>
                <w:color w:val="auto"/>
                <w:sz w:val="24"/>
                <w:szCs w:val="28"/>
                <w:highlight w:val="none"/>
              </w:rPr>
              <w:t>资源化再利用企业</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根据七台河市房屋施工面积、房屋竣工面积及人口数估算出七台河市每年产生的建筑垃圾37.</w:t>
            </w:r>
            <w:r>
              <w:rPr>
                <w:rFonts w:hint="eastAsia" w:ascii="Times New Roman" w:hAnsi="Times New Roman" w:eastAsia="宋体" w:cs="宋体"/>
                <w:color w:val="auto"/>
                <w:sz w:val="24"/>
                <w:szCs w:val="28"/>
                <w:highlight w:val="none"/>
                <w:lang w:val="en-US" w:eastAsia="zh-CN"/>
              </w:rPr>
              <w:t>6</w:t>
            </w:r>
            <w:r>
              <w:rPr>
                <w:rFonts w:hint="eastAsia" w:ascii="Times New Roman" w:hAnsi="Times New Roman" w:eastAsia="宋体" w:cs="宋体"/>
                <w:color w:val="auto"/>
                <w:sz w:val="24"/>
                <w:szCs w:val="28"/>
                <w:highlight w:val="none"/>
              </w:rPr>
              <w:t>万吨/年。</w:t>
            </w:r>
            <w:r>
              <w:rPr>
                <w:rFonts w:hint="eastAsia" w:ascii="Times New Roman" w:hAnsi="Times New Roman" w:eastAsia="宋体" w:cs="Times New Roman"/>
                <w:color w:val="auto"/>
                <w:sz w:val="24"/>
                <w:szCs w:val="24"/>
                <w:highlight w:val="none"/>
                <w:lang w:val="en-US" w:eastAsia="zh-CN"/>
              </w:rPr>
              <w:t>七台河市市建筑垃圾成分现状及预测见</w:t>
            </w:r>
            <w:r>
              <w:rPr>
                <w:rFonts w:hint="default" w:ascii="Times New Roman" w:hAnsi="Times New Roman" w:eastAsia="宋体" w:cs="Times New Roman"/>
                <w:color w:val="auto"/>
                <w:sz w:val="24"/>
                <w:szCs w:val="24"/>
                <w:highlight w:val="none"/>
              </w:rPr>
              <w:t>表</w:t>
            </w:r>
            <w:r>
              <w:rPr>
                <w:rFonts w:hint="eastAsia" w:ascii="Times New Roman" w:hAnsi="Times New Roman" w:eastAsia="宋体" w:cs="Times New Roman"/>
                <w:color w:val="auto"/>
                <w:sz w:val="24"/>
                <w:szCs w:val="24"/>
                <w:lang w:val="en-US" w:eastAsia="zh-CN"/>
              </w:rPr>
              <w:t>2-6。</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1"/>
                <w:szCs w:val="21"/>
                <w:lang w:val="en-US" w:eastAsia="zh-CN"/>
              </w:rPr>
              <w:t>表2-6   七台河市市建筑垃圾成分现状及预测表（%）</w:t>
            </w:r>
          </w:p>
          <w:tbl>
            <w:tblPr>
              <w:tblStyle w:val="20"/>
              <w:tblW w:w="767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292"/>
              <w:gridCol w:w="2130"/>
              <w:gridCol w:w="2131"/>
              <w:gridCol w:w="212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7" w:hRule="atLeast"/>
                <w:jc w:val="center"/>
              </w:trPr>
              <w:tc>
                <w:tcPr>
                  <w:tcW w:w="1292" w:type="dxa"/>
                  <w:tcBorders>
                    <w:top w:val="single" w:color="auto" w:sz="12" w:space="0"/>
                    <w:bottom w:val="single" w:color="000000" w:sz="12" w:space="0"/>
                    <w:right w:val="single" w:color="auto"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成分</w:t>
                  </w:r>
                </w:p>
              </w:tc>
              <w:tc>
                <w:tcPr>
                  <w:tcW w:w="2130" w:type="dxa"/>
                  <w:tcBorders>
                    <w:top w:val="single" w:color="auto" w:sz="12" w:space="0"/>
                    <w:left w:val="single" w:color="auto" w:sz="2" w:space="0"/>
                    <w:bottom w:val="single" w:color="000000" w:sz="12" w:space="0"/>
                    <w:right w:val="single" w:color="auto"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工程垃圾</w:t>
                  </w:r>
                </w:p>
              </w:tc>
              <w:tc>
                <w:tcPr>
                  <w:tcW w:w="2131" w:type="dxa"/>
                  <w:tcBorders>
                    <w:top w:val="single" w:color="auto" w:sz="12" w:space="0"/>
                    <w:left w:val="single" w:color="auto" w:sz="2" w:space="0"/>
                    <w:bottom w:val="single" w:color="000000" w:sz="12" w:space="0"/>
                    <w:right w:val="single" w:color="auto"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拆除垃圾</w:t>
                  </w:r>
                </w:p>
              </w:tc>
              <w:tc>
                <w:tcPr>
                  <w:tcW w:w="2126" w:type="dxa"/>
                  <w:tcBorders>
                    <w:top w:val="single" w:color="auto" w:sz="12" w:space="0"/>
                    <w:left w:val="single" w:color="auto" w:sz="2"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装修垃圾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9" w:hRule="atLeast"/>
                <w:jc w:val="center"/>
              </w:trPr>
              <w:tc>
                <w:tcPr>
                  <w:tcW w:w="1292" w:type="dxa"/>
                  <w:tcBorders>
                    <w:top w:val="single" w:color="000000" w:sz="12" w:space="0"/>
                    <w:bottom w:val="single" w:color="auto" w:sz="2" w:space="0"/>
                    <w:right w:val="single" w:color="auto" w:sz="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2020</w:t>
                  </w:r>
                </w:p>
              </w:tc>
              <w:tc>
                <w:tcPr>
                  <w:tcW w:w="2130" w:type="dxa"/>
                  <w:tcBorders>
                    <w:top w:val="single" w:color="000000" w:sz="12" w:space="0"/>
                    <w:left w:val="single" w:color="auto" w:sz="2" w:space="0"/>
                    <w:bottom w:val="single" w:color="auto" w:sz="2" w:space="0"/>
                    <w:right w:val="single" w:color="auto" w:sz="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10.07</w:t>
                  </w:r>
                </w:p>
              </w:tc>
              <w:tc>
                <w:tcPr>
                  <w:tcW w:w="2131" w:type="dxa"/>
                  <w:tcBorders>
                    <w:top w:val="single" w:color="000000" w:sz="12" w:space="0"/>
                    <w:left w:val="single" w:color="auto" w:sz="2" w:space="0"/>
                    <w:bottom w:val="single" w:color="auto" w:sz="2" w:space="0"/>
                    <w:right w:val="single" w:color="auto" w:sz="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14.88</w:t>
                  </w:r>
                </w:p>
              </w:tc>
              <w:tc>
                <w:tcPr>
                  <w:tcW w:w="2126" w:type="dxa"/>
                  <w:tcBorders>
                    <w:top w:val="single" w:color="000000" w:sz="12" w:space="0"/>
                    <w:left w:val="single" w:color="auto" w:sz="2" w:space="0"/>
                    <w:bottom w:val="single" w:color="auto" w:sz="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0" w:hRule="atLeast"/>
                <w:jc w:val="center"/>
              </w:trPr>
              <w:tc>
                <w:tcPr>
                  <w:tcW w:w="1292" w:type="dxa"/>
                  <w:tcBorders>
                    <w:top w:val="single" w:color="auto" w:sz="2" w:space="0"/>
                    <w:bottom w:val="single" w:color="auto" w:sz="2" w:space="0"/>
                    <w:right w:val="single" w:color="auto" w:sz="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2025</w:t>
                  </w:r>
                </w:p>
              </w:tc>
              <w:tc>
                <w:tcPr>
                  <w:tcW w:w="2130" w:type="dxa"/>
                  <w:tcBorders>
                    <w:top w:val="single" w:color="auto" w:sz="2" w:space="0"/>
                    <w:left w:val="single" w:color="auto" w:sz="2" w:space="0"/>
                    <w:bottom w:val="single" w:color="auto" w:sz="2" w:space="0"/>
                    <w:right w:val="single" w:color="auto" w:sz="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10.57</w:t>
                  </w:r>
                </w:p>
              </w:tc>
              <w:tc>
                <w:tcPr>
                  <w:tcW w:w="2131" w:type="dxa"/>
                  <w:tcBorders>
                    <w:top w:val="single" w:color="auto" w:sz="2" w:space="0"/>
                    <w:left w:val="single" w:color="auto" w:sz="2" w:space="0"/>
                    <w:bottom w:val="single" w:color="auto" w:sz="2" w:space="0"/>
                    <w:right w:val="single" w:color="auto" w:sz="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15.63</w:t>
                  </w:r>
                </w:p>
              </w:tc>
              <w:tc>
                <w:tcPr>
                  <w:tcW w:w="2126" w:type="dxa"/>
                  <w:tcBorders>
                    <w:top w:val="single" w:color="auto" w:sz="2" w:space="0"/>
                    <w:left w:val="single" w:color="auto" w:sz="2" w:space="0"/>
                    <w:bottom w:val="single" w:color="auto" w:sz="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5" w:hRule="atLeast"/>
                <w:jc w:val="center"/>
              </w:trPr>
              <w:tc>
                <w:tcPr>
                  <w:tcW w:w="1292" w:type="dxa"/>
                  <w:tcBorders>
                    <w:top w:val="single" w:color="auto" w:sz="2" w:space="0"/>
                    <w:bottom w:val="single" w:color="auto" w:sz="12" w:space="0"/>
                    <w:right w:val="single" w:color="auto" w:sz="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2035</w:t>
                  </w:r>
                </w:p>
              </w:tc>
              <w:tc>
                <w:tcPr>
                  <w:tcW w:w="2130" w:type="dxa"/>
                  <w:tcBorders>
                    <w:top w:val="single" w:color="auto" w:sz="2" w:space="0"/>
                    <w:left w:val="single" w:color="auto" w:sz="2" w:space="0"/>
                    <w:bottom w:val="single" w:color="auto" w:sz="12" w:space="0"/>
                    <w:right w:val="single" w:color="auto" w:sz="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11.34</w:t>
                  </w:r>
                </w:p>
              </w:tc>
              <w:tc>
                <w:tcPr>
                  <w:tcW w:w="2131" w:type="dxa"/>
                  <w:tcBorders>
                    <w:top w:val="single" w:color="auto" w:sz="2" w:space="0"/>
                    <w:left w:val="single" w:color="auto" w:sz="2" w:space="0"/>
                    <w:bottom w:val="single" w:color="auto" w:sz="12" w:space="0"/>
                    <w:right w:val="single" w:color="auto" w:sz="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16.75</w:t>
                  </w:r>
                </w:p>
              </w:tc>
              <w:tc>
                <w:tcPr>
                  <w:tcW w:w="2126" w:type="dxa"/>
                  <w:tcBorders>
                    <w:top w:val="single" w:color="auto" w:sz="2" w:space="0"/>
                    <w:left w:val="single" w:color="auto" w:sz="2" w:space="0"/>
                    <w:bottom w:val="single" w:color="auto" w:sz="12"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71.91</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2.6.2 收运体系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服务范围：七台河市所产生的建筑垃圾。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七台河市建筑垃圾收运由施工单位采用汽运方式运输至项目区，运输车辆采用遮盖篷布。对不符合入场要求的建筑垃圾不予接收。</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bCs w:val="0"/>
                <w:sz w:val="24"/>
                <w:szCs w:val="24"/>
                <w:lang w:val="en-US" w:eastAsia="zh-CN"/>
              </w:rPr>
              <w:t>2.6.4 垃圾成分分析</w:t>
            </w:r>
          </w:p>
          <w:p>
            <w:pPr>
              <w:keepNext w:val="0"/>
              <w:keepLines w:val="0"/>
              <w:pageBreakBefore w:val="0"/>
              <w:widowControl w:val="0"/>
              <w:tabs>
                <w:tab w:val="left" w:pos="5714"/>
              </w:tabs>
              <w:kinsoku/>
              <w:wordWrap/>
              <w:overflowPunct/>
              <w:topLinePunct w:val="0"/>
              <w:autoSpaceDE w:val="0"/>
              <w:autoSpaceDN w:val="0"/>
              <w:bidi w:val="0"/>
              <w:spacing w:line="360" w:lineRule="auto"/>
              <w:ind w:firstLine="480" w:firstLineChars="200"/>
              <w:textAlignment w:val="auto"/>
              <w:rPr>
                <w:rFonts w:hint="eastAsia" w:ascii="Times New Roman" w:hAnsi="Times New Roman" w:eastAsia="宋体" w:cs="宋体"/>
                <w:color w:val="auto"/>
                <w:sz w:val="24"/>
                <w:szCs w:val="28"/>
                <w:highlight w:val="none"/>
              </w:rPr>
            </w:pP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lang w:val="en-US" w:eastAsia="zh-CN"/>
              </w:rPr>
              <w:t>1</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工程垃圾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宋体"/>
                <w:color w:val="auto"/>
                <w:sz w:val="24"/>
                <w:szCs w:val="28"/>
                <w:highlight w:val="none"/>
              </w:rPr>
            </w:pPr>
            <w:r>
              <w:rPr>
                <w:rFonts w:hint="eastAsia" w:ascii="Times New Roman" w:hAnsi="Times New Roman" w:eastAsia="宋体" w:cs="宋体"/>
                <w:color w:val="auto"/>
                <w:sz w:val="24"/>
                <w:szCs w:val="28"/>
                <w:highlight w:val="none"/>
              </w:rPr>
              <w:t>包括了渣土、桩头、碎砌块、砂浆、混凝土、木材、包装材料、钢材等材料，其中碎砖、混凝土、砂浆、桩头、包装材料等，约占建筑工程垃圾总量的80%。</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宋体"/>
                <w:color w:val="auto"/>
                <w:sz w:val="24"/>
                <w:szCs w:val="28"/>
                <w:highlight w:val="none"/>
              </w:rPr>
            </w:pP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lang w:val="en-US" w:eastAsia="zh-CN"/>
              </w:rPr>
              <w:t>2</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拆除垃圾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宋体"/>
                <w:color w:val="auto"/>
                <w:sz w:val="24"/>
                <w:szCs w:val="28"/>
                <w:highlight w:val="none"/>
              </w:rPr>
            </w:pPr>
            <w:r>
              <w:rPr>
                <w:rFonts w:hint="eastAsia" w:ascii="Times New Roman" w:hAnsi="Times New Roman" w:eastAsia="宋体" w:cs="宋体"/>
                <w:color w:val="auto"/>
                <w:sz w:val="24"/>
                <w:szCs w:val="28"/>
                <w:highlight w:val="none"/>
              </w:rPr>
              <w:t>主要是各种碎砖块</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混有砂浆</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、混凝土块、废旧木料</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主要是门窗</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、房瓦、废金属等如钢筋、铝合金等及少量装饰装修材料如：陶瓷片、玻璃片。从近年拆毁建筑物的组成上看，混凝土与砂浆约占30%</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40%，砖瓦约占35%</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45%，陶瓷和玻璃约占5%</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8%，其他10%。在混凝土中，钢筋约占20%，粗骨料占45%</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50%。</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宋体"/>
                <w:color w:val="auto"/>
                <w:sz w:val="24"/>
                <w:szCs w:val="28"/>
                <w:highlight w:val="none"/>
              </w:rPr>
            </w:pP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lang w:val="en-US" w:eastAsia="zh-CN"/>
              </w:rPr>
              <w:t>3</w:t>
            </w:r>
            <w:r>
              <w:rPr>
                <w:rFonts w:hint="eastAsia" w:ascii="Times New Roman" w:hAnsi="Times New Roman" w:eastAsia="宋体" w:cs="宋体"/>
                <w:color w:val="auto"/>
                <w:sz w:val="24"/>
                <w:szCs w:val="28"/>
                <w:highlight w:val="none"/>
                <w:lang w:eastAsia="zh-CN"/>
              </w:rPr>
              <w:t>）</w:t>
            </w:r>
            <w:r>
              <w:rPr>
                <w:rFonts w:hint="eastAsia" w:ascii="Times New Roman" w:hAnsi="Times New Roman" w:eastAsia="宋体" w:cs="宋体"/>
                <w:color w:val="auto"/>
                <w:sz w:val="24"/>
                <w:szCs w:val="28"/>
                <w:highlight w:val="none"/>
              </w:rPr>
              <w:t>装修垃圾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宋体"/>
                <w:color w:val="auto"/>
                <w:sz w:val="24"/>
                <w:szCs w:val="28"/>
                <w:highlight w:val="none"/>
              </w:rPr>
            </w:pPr>
            <w:r>
              <w:rPr>
                <w:rFonts w:hint="eastAsia" w:ascii="Times New Roman" w:hAnsi="Times New Roman" w:eastAsia="宋体" w:cs="宋体"/>
                <w:color w:val="auto"/>
                <w:sz w:val="24"/>
                <w:szCs w:val="28"/>
                <w:highlight w:val="none"/>
              </w:rPr>
              <w:t>可回收物，包括天然木材、纸类包装物、少量砖石、混凝土、碎块、钢材、玻璃、塑料等；不可回收物，包括胶粘剂、胶合木材、废油漆和涂料及其包装物等。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宋体"/>
                <w:color w:val="auto"/>
                <w:sz w:val="24"/>
                <w:szCs w:val="28"/>
                <w:highlight w:val="none"/>
              </w:rPr>
            </w:pPr>
            <w:r>
              <w:rPr>
                <w:rFonts w:hint="eastAsia" w:ascii="Times New Roman" w:hAnsi="Times New Roman" w:eastAsia="宋体" w:cs="宋体"/>
                <w:color w:val="auto"/>
                <w:sz w:val="24"/>
                <w:szCs w:val="28"/>
                <w:highlight w:val="none"/>
              </w:rPr>
              <w:t>总的来说，建筑垃圾主要为固体废弃物垃圾，废旧的砖头、散落的砂浆混凝土、拆除的混凝土、废旧钢筋、废旧木材、废旧竹模板和木模板等。需要资源化处置的建筑垃圾对象为工程垃圾、拆除垃圾和装修垃圾。</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2.7</w:t>
            </w:r>
            <w:r>
              <w:rPr>
                <w:rFonts w:hint="eastAsia" w:ascii="Times New Roman" w:hAnsi="Times New Roman" w:cs="Times New Roman"/>
                <w:b/>
                <w:bCs w:val="0"/>
                <w:sz w:val="24"/>
                <w:szCs w:val="24"/>
                <w:highlight w:val="none"/>
                <w:lang w:val="en-US" w:eastAsia="zh-CN"/>
              </w:rPr>
              <w:t xml:space="preserve"> 建筑垃圾处理方式的分类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本项目建筑垃圾采用</w:t>
            </w:r>
            <w:r>
              <w:rPr>
                <w:rFonts w:hint="eastAsia" w:cs="Times New Roman"/>
                <w:b w:val="0"/>
                <w:bCs/>
                <w:sz w:val="24"/>
                <w:szCs w:val="24"/>
                <w:lang w:val="en-US" w:eastAsia="zh-CN"/>
              </w:rPr>
              <w:t>堆存</w:t>
            </w:r>
            <w:r>
              <w:rPr>
                <w:rFonts w:hint="eastAsia" w:ascii="Times New Roman" w:hAnsi="Times New Roman" w:cs="Times New Roman"/>
                <w:b w:val="0"/>
                <w:bCs/>
                <w:sz w:val="24"/>
                <w:szCs w:val="24"/>
                <w:lang w:val="en-US" w:eastAsia="zh-CN"/>
              </w:rPr>
              <w:t>方式处理。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目前国内外广泛采用资源化利用、填埋和</w:t>
            </w:r>
            <w:r>
              <w:rPr>
                <w:rFonts w:hint="eastAsia" w:cs="Times New Roman"/>
                <w:b w:val="0"/>
                <w:bCs/>
                <w:sz w:val="24"/>
                <w:szCs w:val="24"/>
                <w:lang w:val="en-US" w:eastAsia="zh-CN"/>
              </w:rPr>
              <w:t>堆存</w:t>
            </w:r>
            <w:r>
              <w:rPr>
                <w:rFonts w:hint="eastAsia" w:ascii="Times New Roman" w:hAnsi="Times New Roman" w:cs="Times New Roman"/>
                <w:b w:val="0"/>
                <w:bCs/>
                <w:sz w:val="24"/>
                <w:szCs w:val="24"/>
                <w:lang w:val="en-US" w:eastAsia="zh-CN"/>
              </w:rPr>
              <w:t>三种建筑垃圾处理技术。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资源化利用是指将建筑垃圾分类整理、回收利用。如土类建筑垃圾可作为制砖和道路工程等用原料；废旧混凝土、碎砖瓦等宜作为再生建材用作原料；废沥青宜作为再生沥青原料；废金属、木材、塑料、纸张、玻璃、橡胶等，宜由有关专业企业作为原料直接利用或再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填埋是指每天把运到暂存场的废物在限定的区域内铺散40—75cm的薄层，然后压实以减少废物的体积，并在每天操作之后用一层厚15—30cm的土壤覆盖、压实。它是从工程角度提出来的，标志着从选址、防护处理到作业工艺等一整套系统的处理方法。填埋是一种公认的低造价的垃圾处理方法，得到了广泛的应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lang w:val="en-US" w:eastAsia="zh-CN"/>
              </w:rPr>
            </w:pPr>
            <w:r>
              <w:rPr>
                <w:rFonts w:hint="eastAsia" w:cs="Times New Roman"/>
                <w:b w:val="0"/>
                <w:bCs/>
                <w:sz w:val="24"/>
                <w:szCs w:val="24"/>
                <w:lang w:val="en-US" w:eastAsia="zh-CN"/>
              </w:rPr>
              <w:t>堆存</w:t>
            </w:r>
            <w:r>
              <w:rPr>
                <w:rFonts w:hint="eastAsia" w:ascii="Times New Roman" w:hAnsi="Times New Roman" w:cs="Times New Roman"/>
                <w:b w:val="0"/>
                <w:bCs/>
                <w:sz w:val="24"/>
                <w:szCs w:val="24"/>
                <w:lang w:val="en-US" w:eastAsia="zh-CN"/>
              </w:rPr>
              <w:t>是利用现有低洼地块或即将开发利用但地形标高低于使用要求的地块，且地块经有关部门认可，用符合条件的建筑垃圾替代部分土石方进行回填或堆高的行为。其工艺流程简单，造价较低。</w:t>
            </w:r>
          </w:p>
          <w:p>
            <w:pPr>
              <w:pStyle w:val="15"/>
              <w:keepNext w:val="0"/>
              <w:keepLines w:val="0"/>
              <w:pageBreakBefore w:val="0"/>
              <w:widowControl w:val="0"/>
              <w:kinsoku/>
              <w:wordWrap/>
              <w:overflowPunct/>
              <w:topLinePunct w:val="0"/>
              <w:autoSpaceDE/>
              <w:autoSpaceDN/>
              <w:bidi w:val="0"/>
              <w:adjustRightInd/>
              <w:snapToGrid/>
              <w:spacing w:line="360" w:lineRule="auto"/>
              <w:ind w:firstLine="456" w:firstLineChars="200"/>
              <w:jc w:val="both"/>
              <w:textAlignment w:val="auto"/>
              <w:rPr>
                <w:rFonts w:hint="default" w:ascii="Times New Roman" w:hAnsi="Times New Roman" w:eastAsia="宋体"/>
                <w:spacing w:val="-6"/>
                <w:sz w:val="24"/>
                <w:lang w:val="en-US" w:eastAsia="zh-CN"/>
              </w:rPr>
            </w:pPr>
            <w:r>
              <w:rPr>
                <w:rFonts w:hint="eastAsia" w:ascii="Times New Roman" w:hAnsi="Times New Roman" w:eastAsia="宋体" w:cs="Times New Roman"/>
                <w:b w:val="0"/>
                <w:bCs/>
                <w:spacing w:val="-6"/>
                <w:sz w:val="24"/>
                <w:szCs w:val="24"/>
                <w:lang w:val="en-US" w:eastAsia="zh-CN"/>
              </w:rPr>
              <w:t>由于本项目为建筑垃圾暂存场，目的是用于七台河市的建筑垃圾转运，因此本项目选择</w:t>
            </w:r>
            <w:r>
              <w:rPr>
                <w:rFonts w:hint="eastAsia" w:eastAsia="宋体" w:cs="Times New Roman"/>
                <w:b w:val="0"/>
                <w:bCs/>
                <w:spacing w:val="-6"/>
                <w:sz w:val="24"/>
                <w:szCs w:val="24"/>
                <w:lang w:val="en-US" w:eastAsia="zh-CN"/>
              </w:rPr>
              <w:t>堆存</w:t>
            </w:r>
            <w:r>
              <w:rPr>
                <w:rFonts w:hint="eastAsia" w:ascii="Times New Roman" w:hAnsi="Times New Roman" w:eastAsia="宋体" w:cs="Times New Roman"/>
                <w:b w:val="0"/>
                <w:bCs/>
                <w:spacing w:val="-6"/>
                <w:sz w:val="24"/>
                <w:szCs w:val="24"/>
                <w:lang w:val="en-US" w:eastAsia="zh-CN"/>
              </w:rPr>
              <w:t>处理。</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2.8 建筑垃圾容量及入场要求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（1）建筑垃圾容量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本项目堆料区的总容量为84.44万m</w:t>
            </w:r>
            <w:r>
              <w:rPr>
                <w:rFonts w:hint="eastAsia" w:ascii="Times New Roman" w:hAnsi="Times New Roman" w:cs="Times New Roman"/>
                <w:bCs/>
                <w:sz w:val="24"/>
                <w:szCs w:val="24"/>
                <w:vertAlign w:val="superscript"/>
                <w:lang w:val="en-US" w:eastAsia="zh-CN"/>
              </w:rPr>
              <w:t>3</w:t>
            </w:r>
            <w:r>
              <w:rPr>
                <w:rFonts w:hint="eastAsia" w:ascii="Times New Roman" w:hAnsi="Times New Roman" w:cs="Times New Roman"/>
                <w:bCs/>
                <w:sz w:val="24"/>
                <w:szCs w:val="24"/>
                <w:lang w:val="en-US" w:eastAsia="zh-CN"/>
              </w:rPr>
              <w:t>，主要</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物为建筑施工废弃物（严禁填入生活垃圾、工业固体废物、危险废物、污水厂污泥及有机固废），堆料情况见下表2-10。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sz w:val="24"/>
                <w:szCs w:val="24"/>
                <w:lang w:val="en-US" w:eastAsia="zh-CN"/>
              </w:rPr>
            </w:pPr>
            <w:r>
              <w:rPr>
                <w:rFonts w:hint="eastAsia" w:ascii="Times New Roman" w:hAnsi="Times New Roman" w:cs="Times New Roman"/>
                <w:b/>
                <w:bCs w:val="0"/>
                <w:sz w:val="21"/>
                <w:szCs w:val="21"/>
                <w:lang w:val="en-US" w:eastAsia="zh-CN"/>
              </w:rPr>
              <w:t>表2-10   堆料情况一览表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2"/>
              <w:gridCol w:w="1642"/>
              <w:gridCol w:w="1826"/>
              <w:gridCol w:w="981"/>
              <w:gridCol w:w="1388"/>
              <w:gridCol w:w="14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6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序号</w:t>
                  </w:r>
                </w:p>
              </w:tc>
              <w:tc>
                <w:tcPr>
                  <w:tcW w:w="16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名称</w:t>
                  </w:r>
                </w:p>
              </w:tc>
              <w:tc>
                <w:tcPr>
                  <w:tcW w:w="1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年处理量</w:t>
                  </w:r>
                </w:p>
              </w:tc>
              <w:tc>
                <w:tcPr>
                  <w:tcW w:w="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状态</w:t>
                  </w:r>
                </w:p>
              </w:tc>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配送方式</w:t>
                  </w:r>
                </w:p>
              </w:tc>
              <w:tc>
                <w:tcPr>
                  <w:tcW w:w="14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6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w:t>
                  </w:r>
                </w:p>
              </w:tc>
              <w:tc>
                <w:tcPr>
                  <w:tcW w:w="16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建筑施工废弃物</w:t>
                  </w:r>
                </w:p>
              </w:tc>
              <w:tc>
                <w:tcPr>
                  <w:tcW w:w="1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380000m</w:t>
                  </w:r>
                  <w:r>
                    <w:rPr>
                      <w:rFonts w:hint="eastAsia" w:ascii="Times New Roman" w:hAnsi="Times New Roman" w:cs="Times New Roman"/>
                      <w:bCs/>
                      <w:sz w:val="21"/>
                      <w:szCs w:val="21"/>
                      <w:vertAlign w:val="superscript"/>
                      <w:lang w:val="en-US" w:eastAsia="zh-CN"/>
                    </w:rPr>
                    <w:t>3</w:t>
                  </w:r>
                  <w:r>
                    <w:rPr>
                      <w:rFonts w:hint="eastAsia" w:ascii="Times New Roman" w:hAnsi="Times New Roman" w:cs="Times New Roman"/>
                      <w:bCs/>
                      <w:sz w:val="21"/>
                      <w:szCs w:val="21"/>
                      <w:lang w:val="en-US" w:eastAsia="zh-CN"/>
                    </w:rPr>
                    <w:t>/d</w:t>
                  </w:r>
                </w:p>
              </w:tc>
              <w:tc>
                <w:tcPr>
                  <w:tcW w:w="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固体</w:t>
                  </w:r>
                </w:p>
              </w:tc>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汽车运输</w:t>
                  </w:r>
                </w:p>
              </w:tc>
              <w:tc>
                <w:tcPr>
                  <w:tcW w:w="14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七台河市</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cs="Times New Roman"/>
                <w:color w:val="000000"/>
                <w:kern w:val="0"/>
                <w:sz w:val="24"/>
                <w:szCs w:val="24"/>
                <w:lang w:val="en-US" w:eastAsia="zh-CN"/>
              </w:rPr>
              <w:t>据业主提供资料，根据七台河市城及周边乡镇近些年的老旧建筑拆除量、新建建筑面积及市政道路等产生的建筑垃圾计算，产生的建筑垃圾约为37.5万t/a，本项目建筑垃圾年处理量为38万t/a，</w:t>
            </w:r>
            <w:r>
              <w:rPr>
                <w:rFonts w:hint="eastAsia"/>
                <w:lang w:val="en-US" w:eastAsia="zh-CN"/>
              </w:rPr>
              <w:t>建筑垃圾</w:t>
            </w:r>
            <w:r>
              <w:rPr>
                <w:rFonts w:hint="eastAsia" w:cs="Times New Roman"/>
                <w:color w:val="000000"/>
                <w:kern w:val="0"/>
                <w:sz w:val="24"/>
                <w:szCs w:val="24"/>
                <w:lang w:val="en-US" w:eastAsia="zh-CN"/>
              </w:rPr>
              <w:t>容重1.2t/m</w:t>
            </w:r>
            <w:r>
              <w:rPr>
                <w:rFonts w:hint="eastAsia" w:cs="Times New Roman"/>
                <w:color w:val="000000"/>
                <w:kern w:val="0"/>
                <w:sz w:val="24"/>
                <w:szCs w:val="24"/>
                <w:vertAlign w:val="superscript"/>
                <w:lang w:val="en-US" w:eastAsia="zh-CN"/>
              </w:rPr>
              <w:t>3</w:t>
            </w:r>
            <w:r>
              <w:rPr>
                <w:rFonts w:hint="eastAsia" w:cs="Times New Roman"/>
                <w:color w:val="000000"/>
                <w:kern w:val="0"/>
                <w:sz w:val="24"/>
                <w:szCs w:val="24"/>
                <w:vertAlign w:val="baseline"/>
                <w:lang w:val="en-US" w:eastAsia="zh-CN"/>
              </w:rPr>
              <w:t>，压实系数1.5。</w:t>
            </w:r>
            <w:r>
              <w:rPr>
                <w:rFonts w:hint="eastAsia" w:cs="Times New Roman"/>
                <w:color w:val="000000"/>
                <w:kern w:val="0"/>
                <w:sz w:val="24"/>
                <w:szCs w:val="24"/>
                <w:lang w:val="en-US" w:eastAsia="zh-CN"/>
              </w:rPr>
              <w:t>故工程设计规模合理。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（2）入场要求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本项目主要</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七台河市产生的建筑垃圾。产生的其他一般工业固体废物、生活垃圾、危险废物不得进入本项目。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①建筑垃圾分类堆放的设计要求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的建筑垃圾包括工程渣土、工程泥浆、工程垃圾、拆除垃圾及装修垃圾。在建筑垃圾进场时，应从源头分类，按工程渣土、工程泥浆、工程垃圾、拆除垃圾及装修垃圾应分类收集、分类运输、分类处理，并设置明显的分类堆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工程渣土、工程泥浆可作为建筑垃圾</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覆土，分类堆放时设置堆放标志，并用防风防尘网遮盖；拆除垃圾及装修垃圾按金属、木材、塑料及其他等分类收集（人工分拣）、分类运输、分类处置，堆放时分类堆放时设置堆放标志，并用防风防尘网遮盖；工程垃圾堆放时设置堆放标志，并用防风防尘网遮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②进场要求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A.所有运输车均应首先通过入口地磅记录与测试，以确定和记录废物性质、分类、重量、来源。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B.经初步检验，符合要求的建筑垃圾入场</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，不符合入场要求的建筑垃圾退回产生单位。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C.生活垃圾、医疗废物、危险废物以及掺杂了上述废物的建筑垃圾，均不得进入场区</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D.须对入场的每车废物进行检视，防止其他废物进入。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③</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管理要求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进入建筑暂存场的进场建筑物料粒径宜小于0.3米，进场物料含废沥青、废旧管材、废旧木材、金属、橡胶塑料、竹木纺织物等含量大于5%的建筑垃圾进堆料区</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进场物料粒径小于0.3m且含废沥青、废旧管材、废旧木材、金属、橡胶塑料、竹木纺织物等含量不大于5%的建筑垃圾进入堆料区</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2.9 临时暂存场垃圾堆高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本期暂存场为规则场地，占地面</w:t>
            </w:r>
            <w:r>
              <w:rPr>
                <w:rFonts w:hint="eastAsia" w:ascii="Times New Roman" w:hAnsi="Times New Roman" w:cs="Times New Roman"/>
                <w:bCs/>
                <w:color w:val="auto"/>
                <w:sz w:val="24"/>
                <w:szCs w:val="24"/>
                <w:lang w:val="en-US" w:eastAsia="zh-CN"/>
              </w:rPr>
              <w:t>积约为</w:t>
            </w:r>
            <w:r>
              <w:rPr>
                <w:rFonts w:hint="eastAsia" w:ascii="宋体" w:hAnsi="宋体" w:eastAsia="宋体" w:cs="宋体"/>
                <w:i w:val="0"/>
                <w:iCs w:val="0"/>
                <w:color w:val="000000"/>
                <w:kern w:val="0"/>
                <w:sz w:val="22"/>
                <w:szCs w:val="22"/>
                <w:u w:val="none"/>
                <w:lang w:val="en-US" w:eastAsia="zh-CN"/>
              </w:rPr>
              <w:t>194216.65</w:t>
            </w:r>
            <w:r>
              <w:rPr>
                <w:rFonts w:hint="eastAsia" w:ascii="Times New Roman" w:hAnsi="Times New Roman" w:cs="Times New Roman"/>
                <w:bCs/>
                <w:color w:val="auto"/>
                <w:sz w:val="24"/>
                <w:szCs w:val="24"/>
                <w:lang w:val="en-US" w:eastAsia="zh-CN"/>
              </w:rPr>
              <w:t>平方米，</w:t>
            </w:r>
            <w:r>
              <w:rPr>
                <w:rFonts w:hint="eastAsia" w:ascii="Times New Roman" w:hAnsi="Times New Roman" w:cs="Times New Roman"/>
                <w:bCs/>
                <w:sz w:val="24"/>
                <w:szCs w:val="24"/>
                <w:lang w:val="en-US" w:eastAsia="zh-CN"/>
              </w:rPr>
              <w:t>临时暂存场使用年限为4年，设计处理量为38万t/a，</w:t>
            </w:r>
            <w:r>
              <w:rPr>
                <w:rFonts w:hint="eastAsia" w:ascii="Times New Roman" w:hAnsi="Times New Roman" w:eastAsia="宋体" w:cs="宋体"/>
                <w:color w:val="auto"/>
                <w:sz w:val="24"/>
                <w:szCs w:val="28"/>
                <w:highlight w:val="none"/>
              </w:rPr>
              <w:t>根据</w:t>
            </w:r>
            <w:r>
              <w:rPr>
                <w:rFonts w:hint="eastAsia" w:ascii="Times New Roman" w:hAnsi="Times New Roman" w:eastAsia="宋体" w:cs="宋体"/>
                <w:color w:val="auto"/>
                <w:sz w:val="24"/>
                <w:szCs w:val="28"/>
                <w:highlight w:val="none"/>
                <w:lang w:eastAsia="zh-CN"/>
              </w:rPr>
              <w:t>七台河市市容环境卫生事业发展中心</w:t>
            </w:r>
            <w:r>
              <w:rPr>
                <w:rFonts w:hint="eastAsia" w:ascii="Times New Roman" w:hAnsi="Times New Roman" w:eastAsia="宋体" w:cs="宋体"/>
                <w:color w:val="auto"/>
                <w:sz w:val="24"/>
                <w:szCs w:val="28"/>
                <w:highlight w:val="none"/>
              </w:rPr>
              <w:t>提供的资料，本项目建筑垃圾容重为1.2t/m</w:t>
            </w:r>
            <w:r>
              <w:rPr>
                <w:rFonts w:hint="eastAsia" w:ascii="Times New Roman" w:hAnsi="Times New Roman" w:eastAsia="宋体" w:cs="宋体"/>
                <w:color w:val="auto"/>
                <w:sz w:val="24"/>
                <w:szCs w:val="28"/>
                <w:highlight w:val="none"/>
                <w:vertAlign w:val="superscript"/>
              </w:rPr>
              <w:t>3</w:t>
            </w:r>
            <w:r>
              <w:rPr>
                <w:rFonts w:hint="eastAsia" w:ascii="Times New Roman" w:hAnsi="Times New Roman" w:eastAsia="宋体" w:cs="宋体"/>
                <w:color w:val="auto"/>
                <w:sz w:val="24"/>
                <w:szCs w:val="28"/>
                <w:highlight w:val="none"/>
                <w:vertAlign w:val="baseline"/>
                <w:lang w:eastAsia="zh-CN"/>
              </w:rPr>
              <w:t>，</w:t>
            </w:r>
            <w:r>
              <w:rPr>
                <w:rFonts w:hint="eastAsia" w:ascii="Times New Roman" w:hAnsi="Times New Roman" w:cs="Times New Roman"/>
                <w:bCs/>
                <w:sz w:val="24"/>
                <w:szCs w:val="24"/>
                <w:lang w:val="en-US" w:eastAsia="zh-CN"/>
              </w:rPr>
              <w:t>压实系数1.5，计算</w:t>
            </w:r>
            <w:r>
              <w:rPr>
                <w:rFonts w:hint="eastAsia" w:ascii="Times New Roman" w:hAnsi="Times New Roman" w:cs="Times New Roman"/>
                <w:bCs/>
                <w:color w:val="auto"/>
                <w:sz w:val="24"/>
                <w:szCs w:val="24"/>
                <w:lang w:val="en-US" w:eastAsia="zh-CN"/>
              </w:rPr>
              <w:t>可得建筑垃圾临时暂存场的库容为84.44万m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vertAlign w:val="baseline"/>
                <w:lang w:val="en-US" w:eastAsia="zh-CN"/>
              </w:rPr>
              <w:t>，</w:t>
            </w:r>
            <w:r>
              <w:rPr>
                <w:rFonts w:hint="eastAsia" w:ascii="Times New Roman" w:hAnsi="Times New Roman" w:cs="Times New Roman"/>
                <w:bCs/>
                <w:color w:val="auto"/>
                <w:sz w:val="24"/>
                <w:szCs w:val="24"/>
                <w:lang w:val="en-US" w:eastAsia="zh-CN"/>
              </w:rPr>
              <w:t>垃圾平均堆高4.8米</w:t>
            </w:r>
            <w:r>
              <w:rPr>
                <w:rFonts w:hint="eastAsia" w:ascii="Times New Roman" w:hAnsi="Times New Roman" w:cs="Times New Roman"/>
                <w:bCs/>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2.10 土石方平衡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sz w:val="24"/>
                <w:szCs w:val="24"/>
                <w:lang w:val="en-US" w:eastAsia="zh-CN"/>
              </w:rPr>
              <w:t>本项目挖填方量见下表</w:t>
            </w:r>
            <w:r>
              <w:rPr>
                <w:rFonts w:hint="eastAsia" w:ascii="Times New Roman" w:hAnsi="Times New Roman" w:cs="Times New Roman"/>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
                <w:bCs w:val="0"/>
                <w:color w:val="auto"/>
                <w:sz w:val="21"/>
                <w:szCs w:val="21"/>
                <w:highlight w:val="none"/>
                <w:lang w:val="en-US" w:eastAsia="zh-CN"/>
              </w:rPr>
              <w:t>表2-11 挖填方量一览表</w:t>
            </w:r>
          </w:p>
          <w:tbl>
            <w:tblPr>
              <w:tblStyle w:val="20"/>
              <w:tblW w:w="793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464"/>
              <w:gridCol w:w="1587"/>
              <w:gridCol w:w="1587"/>
              <w:gridCol w:w="1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序号</w:t>
                  </w:r>
                </w:p>
              </w:tc>
              <w:tc>
                <w:tcPr>
                  <w:tcW w:w="2464"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分项名称</w:t>
                  </w:r>
                </w:p>
              </w:tc>
              <w:tc>
                <w:tcPr>
                  <w:tcW w:w="1587"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挖方</w:t>
                  </w:r>
                </w:p>
              </w:tc>
              <w:tc>
                <w:tcPr>
                  <w:tcW w:w="1587"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垫方</w:t>
                  </w:r>
                </w:p>
              </w:tc>
              <w:tc>
                <w:tcPr>
                  <w:tcW w:w="1587"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土方平衡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1</w:t>
                  </w:r>
                </w:p>
              </w:tc>
              <w:tc>
                <w:tcPr>
                  <w:tcW w:w="2464"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平整场地</w:t>
                  </w:r>
                </w:p>
              </w:tc>
              <w:tc>
                <w:tcPr>
                  <w:tcW w:w="1587"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69918m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r>
                    <w:rPr>
                      <w:rFonts w:hint="eastAsia" w:cs="Times New Roman"/>
                      <w:bCs/>
                      <w:color w:val="auto"/>
                      <w:sz w:val="21"/>
                      <w:szCs w:val="21"/>
                      <w:vertAlign w:val="baseline"/>
                      <w:lang w:val="en-US" w:eastAsia="zh-CN"/>
                    </w:rPr>
                    <w:t>52439</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17479</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2</w:t>
                  </w:r>
                </w:p>
              </w:tc>
              <w:tc>
                <w:tcPr>
                  <w:tcW w:w="24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挡土坝</w:t>
                  </w:r>
                </w:p>
              </w:tc>
              <w:tc>
                <w:tcPr>
                  <w:tcW w:w="15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6160</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w:t>
                  </w:r>
                  <w:r>
                    <w:rPr>
                      <w:rFonts w:hint="eastAsia" w:cs="Times New Roman"/>
                      <w:bCs/>
                      <w:color w:val="auto"/>
                      <w:sz w:val="21"/>
                      <w:szCs w:val="21"/>
                      <w:vertAlign w:val="baseline"/>
                      <w:lang w:val="en-US" w:eastAsia="zh-CN"/>
                    </w:rPr>
                    <w:t>5172</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kern w:val="2"/>
                      <w:sz w:val="21"/>
                      <w:szCs w:val="21"/>
                      <w:vertAlign w:val="baseline"/>
                      <w:lang w:val="en-US" w:eastAsia="zh-CN" w:bidi="ar-SA"/>
                    </w:rPr>
                  </w:pPr>
                  <w:r>
                    <w:rPr>
                      <w:rFonts w:hint="eastAsia" w:cs="Times New Roman"/>
                      <w:bCs/>
                      <w:color w:val="auto"/>
                      <w:sz w:val="21"/>
                      <w:szCs w:val="21"/>
                      <w:vertAlign w:val="baseline"/>
                      <w:lang w:val="en-US" w:eastAsia="zh-CN"/>
                    </w:rPr>
                    <w:t>988</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10"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3</w:t>
                  </w:r>
                </w:p>
              </w:tc>
              <w:tc>
                <w:tcPr>
                  <w:tcW w:w="246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排水沟</w:t>
                  </w:r>
                </w:p>
              </w:tc>
              <w:tc>
                <w:tcPr>
                  <w:tcW w:w="158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1760</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-3000m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r>
                    <w:rPr>
                      <w:rFonts w:hint="eastAsia" w:cs="Times New Roman"/>
                      <w:bCs/>
                      <w:color w:val="auto"/>
                      <w:sz w:val="21"/>
                      <w:szCs w:val="21"/>
                      <w:vertAlign w:val="baseline"/>
                      <w:lang w:val="en-US" w:eastAsia="zh-CN"/>
                    </w:rPr>
                    <w:t>1240</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10"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4</w:t>
                  </w:r>
                </w:p>
              </w:tc>
              <w:tc>
                <w:tcPr>
                  <w:tcW w:w="246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道路</w:t>
                  </w:r>
                </w:p>
              </w:tc>
              <w:tc>
                <w:tcPr>
                  <w:tcW w:w="158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528m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r>
                    <w:rPr>
                      <w:rFonts w:hint="eastAsia" w:cs="Times New Roman"/>
                      <w:bCs/>
                      <w:color w:val="auto"/>
                      <w:sz w:val="21"/>
                      <w:szCs w:val="21"/>
                      <w:vertAlign w:val="baseline"/>
                      <w:lang w:val="en-US" w:eastAsia="zh-CN"/>
                    </w:rPr>
                    <w:t>396</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132</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5</w:t>
                  </w:r>
                </w:p>
              </w:tc>
              <w:tc>
                <w:tcPr>
                  <w:tcW w:w="246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绿化防护林带</w:t>
                  </w:r>
                </w:p>
              </w:tc>
              <w:tc>
                <w:tcPr>
                  <w:tcW w:w="158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480m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sz w:val="21"/>
                      <w:szCs w:val="21"/>
                      <w:vertAlign w:val="baseline"/>
                      <w:lang w:val="en-US" w:eastAsia="zh-CN"/>
                    </w:rPr>
                    <w:t>-</w:t>
                  </w:r>
                  <w:r>
                    <w:rPr>
                      <w:rFonts w:hint="eastAsia" w:cs="Times New Roman"/>
                      <w:bCs/>
                      <w:color w:val="auto"/>
                      <w:sz w:val="21"/>
                      <w:szCs w:val="21"/>
                      <w:vertAlign w:val="baseline"/>
                      <w:lang w:val="en-US" w:eastAsia="zh-CN"/>
                    </w:rPr>
                    <w:t>360</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cs="Times New Roman"/>
                      <w:bCs/>
                      <w:color w:val="auto"/>
                      <w:sz w:val="21"/>
                      <w:szCs w:val="21"/>
                      <w:vertAlign w:val="baseline"/>
                      <w:lang w:val="en-US" w:eastAsia="zh-CN"/>
                    </w:rPr>
                    <w:t>120</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6</w:t>
                  </w:r>
                </w:p>
              </w:tc>
              <w:tc>
                <w:tcPr>
                  <w:tcW w:w="246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30cm厚卵石</w:t>
                  </w:r>
                </w:p>
              </w:tc>
              <w:tc>
                <w:tcPr>
                  <w:tcW w:w="158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0</w:t>
                  </w:r>
                </w:p>
              </w:tc>
              <w:tc>
                <w:tcPr>
                  <w:tcW w:w="158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-174</w:t>
                  </w:r>
                  <w:r>
                    <w:rPr>
                      <w:rFonts w:hint="eastAsia" w:cs="Times New Roman"/>
                      <w:bCs/>
                      <w:color w:val="auto"/>
                      <w:sz w:val="21"/>
                      <w:szCs w:val="21"/>
                      <w:vertAlign w:val="baseline"/>
                      <w:lang w:val="en-US" w:eastAsia="zh-CN"/>
                    </w:rPr>
                    <w:t>79</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-174</w:t>
                  </w:r>
                  <w:r>
                    <w:rPr>
                      <w:rFonts w:hint="eastAsia" w:cs="Times New Roman"/>
                      <w:bCs/>
                      <w:color w:val="auto"/>
                      <w:sz w:val="21"/>
                      <w:szCs w:val="21"/>
                      <w:vertAlign w:val="baseline"/>
                      <w:lang w:val="en-US" w:eastAsia="zh-CN"/>
                    </w:rPr>
                    <w:t>79</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74" w:type="dxa"/>
                  <w:gridSpan w:val="2"/>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合计</w:t>
                  </w:r>
                </w:p>
              </w:tc>
              <w:tc>
                <w:tcPr>
                  <w:tcW w:w="1587"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78846</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r>
                    <w:rPr>
                      <w:rFonts w:hint="eastAsia" w:cs="Times New Roman"/>
                      <w:bCs/>
                      <w:color w:val="auto"/>
                      <w:sz w:val="21"/>
                      <w:szCs w:val="21"/>
                      <w:vertAlign w:val="baseline"/>
                      <w:lang w:val="en-US" w:eastAsia="zh-CN"/>
                    </w:rPr>
                    <w:t>78846</w:t>
                  </w:r>
                  <w:r>
                    <w:rPr>
                      <w:rFonts w:hint="eastAsia" w:ascii="Times New Roman" w:hAnsi="Times New Roman" w:cs="Times New Roman"/>
                      <w:bCs/>
                      <w:color w:val="auto"/>
                      <w:sz w:val="21"/>
                      <w:szCs w:val="21"/>
                      <w:vertAlign w:val="baseline"/>
                      <w:lang w:val="en-US" w:eastAsia="zh-CN"/>
                    </w:rPr>
                    <w:t>m</w:t>
                  </w:r>
                  <w:r>
                    <w:rPr>
                      <w:rFonts w:hint="eastAsia" w:ascii="Times New Roman" w:hAnsi="Times New Roman" w:cs="Times New Roman"/>
                      <w:bCs/>
                      <w:color w:val="auto"/>
                      <w:sz w:val="21"/>
                      <w:szCs w:val="21"/>
                      <w:vertAlign w:val="superscript"/>
                      <w:lang w:val="en-US" w:eastAsia="zh-CN"/>
                    </w:rPr>
                    <w:t>3</w:t>
                  </w:r>
                </w:p>
              </w:tc>
              <w:tc>
                <w:tcPr>
                  <w:tcW w:w="1587"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本项目区为废弃学校校址，仅进行场地平整等活动，项目施工中无弃土，施工活动产生的挖方土量均用于垫方，</w:t>
            </w:r>
            <w:r>
              <w:rPr>
                <w:rFonts w:hint="eastAsia" w:cs="Times New Roman"/>
                <w:bCs/>
                <w:color w:val="auto"/>
                <w:sz w:val="24"/>
                <w:szCs w:val="24"/>
                <w:lang w:val="en-US" w:eastAsia="zh-CN"/>
              </w:rPr>
              <w:t>挖方量等于垫方量</w:t>
            </w:r>
            <w:r>
              <w:rPr>
                <w:rFonts w:hint="eastAsia" w:ascii="Times New Roman" w:hAnsi="Times New Roman" w:cs="Times New Roman"/>
                <w:bCs/>
                <w:color w:val="auto"/>
                <w:sz w:val="24"/>
                <w:szCs w:val="24"/>
                <w:lang w:val="en-US" w:eastAsia="zh-CN"/>
              </w:rPr>
              <w:t>。场内无其他取土场，</w:t>
            </w:r>
            <w:r>
              <w:rPr>
                <w:rFonts w:hint="eastAsia" w:cs="Times New Roman"/>
                <w:bCs/>
                <w:color w:val="auto"/>
                <w:sz w:val="24"/>
                <w:szCs w:val="24"/>
                <w:lang w:val="en-US" w:eastAsia="zh-CN"/>
              </w:rPr>
              <w:t>平整场地时挖方土量</w:t>
            </w:r>
            <w:r>
              <w:rPr>
                <w:rFonts w:hint="eastAsia" w:ascii="Times New Roman" w:hAnsi="Times New Roman" w:cs="Times New Roman"/>
                <w:bCs/>
                <w:color w:val="auto"/>
                <w:sz w:val="24"/>
                <w:szCs w:val="24"/>
                <w:lang w:val="en-US" w:eastAsia="zh-CN"/>
              </w:rPr>
              <w:t>置于项目区堆土区，堆土区设置临时拦挡措施，土方表面加盖密布网，防止雨水冲刷。</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3 总平面图布置</w:t>
            </w:r>
          </w:p>
          <w:p>
            <w:pPr>
              <w:pStyle w:val="44"/>
              <w:keepNext w:val="0"/>
              <w:keepLines w:val="0"/>
              <w:pageBreakBefore w:val="0"/>
              <w:widowControl w:val="0"/>
              <w:kinsoku/>
              <w:wordWrap/>
              <w:overflowPunct w:val="0"/>
              <w:topLinePunct/>
              <w:autoSpaceDE/>
              <w:autoSpaceDN/>
              <w:bidi w:val="0"/>
              <w:adjustRightInd/>
              <w:snapToGrid/>
              <w:spacing w:line="360" w:lineRule="auto"/>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color w:val="auto"/>
                <w:sz w:val="24"/>
                <w:szCs w:val="24"/>
                <w:lang w:val="en-US" w:eastAsia="zh-CN"/>
              </w:rPr>
              <w:t>拟建厂址为七台河市老三中校址，</w:t>
            </w:r>
            <w:r>
              <w:rPr>
                <w:rFonts w:hint="eastAsia" w:ascii="宋体" w:hAnsi="宋体" w:eastAsia="宋体" w:cs="宋体"/>
                <w:color w:val="auto"/>
                <w:kern w:val="2"/>
                <w:sz w:val="24"/>
                <w:szCs w:val="28"/>
                <w:highlight w:val="none"/>
                <w:lang w:val="zh-CN" w:eastAsia="zh-CN" w:bidi="ar-SA"/>
              </w:rPr>
              <w:t>位于城区西南部4公里</w:t>
            </w:r>
            <w:r>
              <w:rPr>
                <w:rFonts w:hint="eastAsia" w:ascii="宋体" w:hAnsi="宋体" w:eastAsia="宋体" w:cs="宋体"/>
                <w:color w:val="auto"/>
                <w:kern w:val="2"/>
                <w:sz w:val="24"/>
                <w:szCs w:val="24"/>
                <w:highlight w:val="none"/>
                <w:lang w:val="zh-CN" w:eastAsia="zh-CN" w:bidi="ar-SA"/>
              </w:rPr>
              <w:t>，该地为</w:t>
            </w:r>
            <w:r>
              <w:rPr>
                <w:rFonts w:hint="eastAsia" w:ascii="宋体" w:hAnsi="宋体" w:cs="宋体"/>
                <w:color w:val="auto"/>
                <w:kern w:val="2"/>
                <w:sz w:val="24"/>
                <w:szCs w:val="24"/>
                <w:highlight w:val="none"/>
                <w:lang w:val="en-US" w:eastAsia="zh-CN" w:bidi="ar-SA"/>
              </w:rPr>
              <w:t>建设用</w:t>
            </w:r>
            <w:r>
              <w:rPr>
                <w:rFonts w:hint="eastAsia" w:ascii="宋体" w:hAnsi="宋体" w:eastAsia="宋体" w:cs="宋体"/>
                <w:color w:val="auto"/>
                <w:kern w:val="2"/>
                <w:sz w:val="24"/>
                <w:szCs w:val="24"/>
                <w:highlight w:val="none"/>
                <w:lang w:val="zh-CN" w:eastAsia="zh-CN" w:bidi="ar-SA"/>
              </w:rPr>
              <w:t>地，现自然地面标高为214.86-228.62m。</w:t>
            </w:r>
            <w:r>
              <w:rPr>
                <w:rFonts w:hint="eastAsia" w:ascii="宋体" w:hAnsi="宋体" w:eastAsia="宋体" w:cs="宋体"/>
                <w:color w:val="auto"/>
                <w:sz w:val="24"/>
                <w:szCs w:val="24"/>
                <w:highlight w:val="none"/>
              </w:rPr>
              <w:t>总体平面布置分为两部分：管理区、堆料区两部分构成。管理区位于厂区北侧入口处，堆料区</w:t>
            </w:r>
            <w:r>
              <w:rPr>
                <w:rFonts w:hint="eastAsia" w:ascii="宋体" w:hAnsi="宋体" w:eastAsia="宋体" w:cs="宋体"/>
                <w:color w:val="auto"/>
                <w:sz w:val="24"/>
                <w:szCs w:val="24"/>
                <w:highlight w:val="none"/>
                <w:lang w:val="en-US" w:eastAsia="zh-CN"/>
              </w:rPr>
              <w:t>和地磅房</w:t>
            </w:r>
            <w:r>
              <w:rPr>
                <w:rFonts w:hint="eastAsia" w:ascii="宋体" w:hAnsi="宋体" w:eastAsia="宋体" w:cs="宋体"/>
                <w:color w:val="auto"/>
                <w:sz w:val="24"/>
                <w:szCs w:val="24"/>
                <w:highlight w:val="none"/>
              </w:rPr>
              <w:t>位于厂区南侧。运输车从正阳街进入。</w:t>
            </w:r>
            <w:r>
              <w:rPr>
                <w:rFonts w:hint="eastAsia" w:ascii="Times New Roman" w:hAnsi="Times New Roman" w:cs="Times New Roman"/>
                <w:bCs/>
                <w:sz w:val="24"/>
                <w:szCs w:val="24"/>
                <w:lang w:val="en-US" w:eastAsia="zh-CN"/>
              </w:rPr>
              <w:t>项目平面布置图详见</w:t>
            </w:r>
            <w:r>
              <w:rPr>
                <w:rFonts w:hint="eastAsia" w:ascii="Times New Roman" w:hAnsi="Times New Roman" w:cs="Times New Roman"/>
                <w:b w:val="0"/>
                <w:bCs/>
                <w:sz w:val="24"/>
                <w:szCs w:val="24"/>
                <w:lang w:val="en-US" w:eastAsia="zh-CN"/>
              </w:rPr>
              <w:t>附图2。</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4 公用工程</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4.1 供水工程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本项目供水由七台河市供水系统提供，项目用水主要为生活用水、冲洗用水、绿化用水、道路抑尘用水及堆料区喷洒用水。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（1）生活用水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宋体"/>
                <w:color w:val="000000"/>
                <w:kern w:val="0"/>
                <w:sz w:val="24"/>
                <w:szCs w:val="24"/>
                <w:lang w:val="en-US" w:eastAsia="zh-CN"/>
              </w:rPr>
              <w:t>本项目劳动定</w:t>
            </w:r>
            <w:r>
              <w:rPr>
                <w:rFonts w:hint="eastAsia" w:ascii="Times New Roman" w:hAnsi="Times New Roman" w:eastAsia="宋体" w:cs="宋体"/>
                <w:color w:val="auto"/>
                <w:kern w:val="0"/>
                <w:sz w:val="24"/>
                <w:szCs w:val="24"/>
                <w:lang w:val="en-US" w:eastAsia="zh-CN"/>
              </w:rPr>
              <w:t>员为</w:t>
            </w:r>
            <w:r>
              <w:rPr>
                <w:rFonts w:hint="eastAsia"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lang w:val="en-US" w:eastAsia="zh-CN"/>
              </w:rPr>
              <w:t>人，年生产</w:t>
            </w:r>
            <w:r>
              <w:rPr>
                <w:rFonts w:hint="eastAsia" w:ascii="Times New Roman" w:hAnsi="Times New Roman" w:eastAsia="宋体" w:cs="Times New Roman"/>
                <w:color w:val="auto"/>
                <w:kern w:val="0"/>
                <w:sz w:val="24"/>
                <w:szCs w:val="24"/>
                <w:highlight w:val="none"/>
                <w:lang w:val="en-US" w:eastAsia="zh-CN"/>
              </w:rPr>
              <w:t>250</w:t>
            </w:r>
            <w:r>
              <w:rPr>
                <w:rFonts w:hint="default" w:ascii="Times New Roman" w:hAnsi="Times New Roman" w:eastAsia="宋体" w:cs="Times New Roman"/>
                <w:color w:val="auto"/>
                <w:kern w:val="0"/>
                <w:sz w:val="24"/>
                <w:szCs w:val="24"/>
                <w:lang w:val="en-US" w:eastAsia="zh-CN"/>
              </w:rPr>
              <w:t>天，</w:t>
            </w:r>
            <w:r>
              <w:rPr>
                <w:rFonts w:hint="eastAsia" w:cs="Times New Roman"/>
                <w:bCs/>
                <w:color w:val="auto"/>
                <w:sz w:val="24"/>
                <w:szCs w:val="24"/>
                <w:lang w:val="en-US" w:eastAsia="zh-CN"/>
              </w:rPr>
              <w:t>本项目用水参考</w:t>
            </w:r>
            <w:r>
              <w:rPr>
                <w:rFonts w:hint="eastAsia" w:ascii="Times New Roman" w:hAnsi="Times New Roman" w:eastAsia="宋体" w:cs="Times New Roman"/>
                <w:color w:val="auto"/>
                <w:kern w:val="0"/>
                <w:sz w:val="24"/>
                <w:szCs w:val="24"/>
                <w:lang w:val="en-US" w:eastAsia="zh-CN"/>
              </w:rPr>
              <w:t>《黑龙江省用水定额》（</w:t>
            </w:r>
            <w:r>
              <w:rPr>
                <w:rFonts w:ascii="Times New Roman" w:hAnsi="Times New Roman" w:eastAsia="宋体" w:cs="黑体"/>
                <w:color w:val="auto"/>
                <w:kern w:val="0"/>
                <w:sz w:val="24"/>
                <w:szCs w:val="28"/>
                <w:lang w:val="en-US" w:eastAsia="zh-CN"/>
              </w:rPr>
              <w:t>DB23/T727—2021</w:t>
            </w:r>
            <w:r>
              <w:rPr>
                <w:rFonts w:hint="eastAsia"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职工</w:t>
            </w:r>
            <w:r>
              <w:rPr>
                <w:rFonts w:hint="default" w:ascii="Times New Roman" w:hAnsi="Times New Roman" w:eastAsia="宋体" w:cs="Times New Roman"/>
                <w:color w:val="auto"/>
                <w:kern w:val="0"/>
                <w:sz w:val="24"/>
                <w:szCs w:val="24"/>
                <w:lang w:val="en-US" w:eastAsia="zh-CN"/>
              </w:rPr>
              <w:t>生活用水按用水量</w:t>
            </w:r>
            <w:r>
              <w:rPr>
                <w:rFonts w:hint="eastAsia" w:ascii="Times New Roman" w:hAnsi="Times New Roman" w:eastAsia="宋体" w:cs="Times New Roman"/>
                <w:color w:val="auto"/>
                <w:kern w:val="0"/>
                <w:sz w:val="24"/>
                <w:szCs w:val="24"/>
                <w:lang w:val="en-US" w:eastAsia="zh-CN"/>
              </w:rPr>
              <w:t>50</w:t>
            </w:r>
            <w:r>
              <w:rPr>
                <w:rFonts w:hint="default" w:ascii="Times New Roman" w:hAnsi="Times New Roman" w:eastAsia="宋体" w:cs="Times New Roman"/>
                <w:color w:val="auto"/>
                <w:kern w:val="0"/>
                <w:sz w:val="24"/>
                <w:szCs w:val="24"/>
                <w:lang w:val="en-US" w:eastAsia="zh-CN"/>
              </w:rPr>
              <w:t>L/</w:t>
            </w:r>
            <w:r>
              <w:rPr>
                <w:rFonts w:hint="eastAsia" w:ascii="Times New Roman" w:hAnsi="Times New Roman" w:eastAsia="宋体" w:cs="宋体"/>
                <w:color w:val="auto"/>
                <w:kern w:val="0"/>
                <w:sz w:val="24"/>
                <w:szCs w:val="24"/>
                <w:lang w:val="en-US" w:eastAsia="zh-CN"/>
              </w:rPr>
              <w:t>人</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宋体"/>
                <w:color w:val="auto"/>
                <w:kern w:val="0"/>
                <w:sz w:val="24"/>
                <w:szCs w:val="24"/>
                <w:lang w:val="en-US" w:eastAsia="zh-CN"/>
              </w:rPr>
              <w:t>天测算，则用水量为</w:t>
            </w:r>
            <w:r>
              <w:rPr>
                <w:rFonts w:hint="eastAsia" w:ascii="Times New Roman" w:hAnsi="Times New Roman" w:eastAsia="宋体" w:cs="Times New Roman"/>
                <w:color w:val="auto"/>
                <w:kern w:val="0"/>
                <w:sz w:val="24"/>
                <w:szCs w:val="24"/>
                <w:highlight w:val="none"/>
                <w:lang w:val="en-US" w:eastAsia="zh-CN"/>
              </w:rPr>
              <w:t>0.5</w:t>
            </w:r>
            <w:r>
              <w:rPr>
                <w:rFonts w:hint="eastAsia" w:ascii="Times New Roman" w:hAnsi="Times New Roman" w:eastAsia="宋体" w:cs="Times New Roman"/>
                <w:color w:val="auto"/>
                <w:kern w:val="0"/>
                <w:sz w:val="24"/>
                <w:szCs w:val="24"/>
                <w:lang w:val="en-US" w:eastAsia="zh-CN"/>
              </w:rPr>
              <w:t>m</w:t>
            </w:r>
            <w:r>
              <w:rPr>
                <w:rFonts w:hint="eastAsia"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/d</w:t>
            </w:r>
            <w:r>
              <w:rPr>
                <w:rFonts w:hint="eastAsia" w:ascii="Times New Roman" w:hAnsi="Times New Roman" w:eastAsia="宋体" w:cs="宋体"/>
                <w:color w:val="auto"/>
                <w:kern w:val="0"/>
                <w:sz w:val="24"/>
                <w:szCs w:val="24"/>
                <w:lang w:val="en-US" w:eastAsia="zh-CN"/>
              </w:rPr>
              <w:t>（</w:t>
            </w:r>
            <w:r>
              <w:rPr>
                <w:rFonts w:hint="eastAsia" w:ascii="Times New Roman" w:hAnsi="Times New Roman" w:eastAsia="宋体" w:cs="Times New Roman"/>
                <w:color w:val="auto"/>
                <w:kern w:val="0"/>
                <w:sz w:val="24"/>
                <w:szCs w:val="24"/>
                <w:highlight w:val="none"/>
                <w:lang w:val="en-US" w:eastAsia="zh-CN"/>
              </w:rPr>
              <w:t>125</w:t>
            </w:r>
            <w:r>
              <w:rPr>
                <w:rFonts w:hint="eastAsia" w:ascii="Times New Roman" w:hAnsi="Times New Roman" w:eastAsia="宋体" w:cs="Times New Roman"/>
                <w:color w:val="auto"/>
                <w:kern w:val="0"/>
                <w:sz w:val="24"/>
                <w:szCs w:val="24"/>
                <w:lang w:val="en-US" w:eastAsia="zh-CN"/>
              </w:rPr>
              <w:t>m</w:t>
            </w:r>
            <w:r>
              <w:rPr>
                <w:rFonts w:hint="eastAsia"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/a</w:t>
            </w:r>
            <w:r>
              <w:rPr>
                <w:rFonts w:hint="eastAsia" w:ascii="Times New Roman" w:hAnsi="Times New Roman" w:eastAsia="宋体" w:cs="宋体"/>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（2）冲洗用水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本项目自备</w:t>
            </w:r>
            <w:r>
              <w:rPr>
                <w:rFonts w:hint="eastAsia" w:ascii="Times New Roman" w:hAnsi="Times New Roman" w:cs="Times New Roman"/>
                <w:bCs/>
                <w:color w:val="auto"/>
                <w:sz w:val="24"/>
                <w:szCs w:val="24"/>
                <w:lang w:val="en-US" w:eastAsia="zh-CN"/>
              </w:rPr>
              <w:t>自卸车</w:t>
            </w:r>
            <w:r>
              <w:rPr>
                <w:rFonts w:hint="default" w:ascii="Times New Roman" w:hAnsi="Times New Roman" w:cs="Times New Roman"/>
                <w:bCs/>
                <w:color w:val="auto"/>
                <w:sz w:val="24"/>
                <w:szCs w:val="24"/>
                <w:lang w:val="en-US" w:eastAsia="zh-CN"/>
              </w:rPr>
              <w:t>1</w:t>
            </w:r>
            <w:r>
              <w:rPr>
                <w:rFonts w:hint="eastAsia" w:ascii="Times New Roman" w:hAnsi="Times New Roman" w:cs="Times New Roman"/>
                <w:bCs/>
                <w:color w:val="auto"/>
                <w:sz w:val="24"/>
                <w:szCs w:val="24"/>
                <w:lang w:val="en-US" w:eastAsia="zh-CN"/>
              </w:rPr>
              <w:t>辆，冲洗用水按200L·辆/次计算，每天冲洗5次，则冲洗用水量为</w:t>
            </w:r>
            <w:r>
              <w:rPr>
                <w:rFonts w:hint="default" w:ascii="Times New Roman" w:hAnsi="Times New Roman" w:cs="Times New Roman"/>
                <w:bCs/>
                <w:color w:val="auto"/>
                <w:sz w:val="24"/>
                <w:szCs w:val="24"/>
                <w:lang w:val="en-US" w:eastAsia="zh-CN"/>
              </w:rPr>
              <w:t>1</w:t>
            </w:r>
            <w:r>
              <w:rPr>
                <w:rFonts w:hint="eastAsia" w:ascii="Times New Roman" w:hAnsi="Times New Roman" w:cs="Times New Roman"/>
                <w:bCs/>
                <w:color w:val="auto"/>
                <w:sz w:val="24"/>
                <w:szCs w:val="24"/>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/d（</w:t>
            </w:r>
            <w:r>
              <w:rPr>
                <w:rFonts w:hint="default" w:ascii="Times New Roman" w:hAnsi="Times New Roman" w:cs="Times New Roman"/>
                <w:bCs/>
                <w:color w:val="auto"/>
                <w:sz w:val="24"/>
                <w:szCs w:val="24"/>
                <w:lang w:val="en-US" w:eastAsia="zh-CN"/>
              </w:rPr>
              <w:t>250</w:t>
            </w:r>
            <w:r>
              <w:rPr>
                <w:rFonts w:hint="eastAsia" w:ascii="Times New Roman" w:hAnsi="Times New Roman" w:cs="Times New Roman"/>
                <w:bCs/>
                <w:color w:val="auto"/>
                <w:sz w:val="24"/>
                <w:szCs w:val="24"/>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/a）</w:t>
            </w:r>
            <w:r>
              <w:rPr>
                <w:rFonts w:hint="eastAsia" w:ascii="Times New Roman" w:hAnsi="Times New Roman" w:cs="Times New Roman"/>
                <w:bCs/>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（3）绿化用水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default" w:ascii="Times New Roman" w:hAnsi="Times New Roman" w:eastAsia="宋体" w:cs="Times New Roman"/>
                <w:color w:val="auto"/>
                <w:kern w:val="0"/>
                <w:sz w:val="24"/>
                <w:szCs w:val="24"/>
                <w:highlight w:val="none"/>
                <w:lang w:val="en-US" w:eastAsia="zh-CN"/>
              </w:rPr>
              <w:t>根据建设单位提供资料，本项目建成后绿化面积约为</w:t>
            </w:r>
            <w:r>
              <w:rPr>
                <w:rFonts w:hint="eastAsia" w:ascii="Times New Roman" w:hAnsi="Times New Roman" w:eastAsia="宋体" w:cs="Times New Roman"/>
                <w:color w:val="auto"/>
                <w:kern w:val="0"/>
                <w:sz w:val="24"/>
                <w:szCs w:val="24"/>
                <w:highlight w:val="none"/>
                <w:lang w:val="en-US" w:eastAsia="zh-CN"/>
              </w:rPr>
              <w:t>1200</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，其用水量</w:t>
            </w:r>
            <w:r>
              <w:rPr>
                <w:rFonts w:hint="eastAsia" w:cs="Times New Roman"/>
                <w:bCs/>
                <w:sz w:val="24"/>
                <w:szCs w:val="24"/>
                <w:lang w:val="en-US" w:eastAsia="zh-CN"/>
              </w:rPr>
              <w:t>参考</w:t>
            </w:r>
            <w:r>
              <w:rPr>
                <w:rFonts w:hint="eastAsia" w:ascii="Times New Roman" w:hAnsi="Times New Roman" w:eastAsia="宋体" w:cs="Times New Roman"/>
                <w:color w:val="auto"/>
                <w:kern w:val="0"/>
                <w:sz w:val="24"/>
                <w:szCs w:val="24"/>
                <w:lang w:val="en-US" w:eastAsia="zh-CN"/>
              </w:rPr>
              <w:t>《黑龙江省用水定额》（</w:t>
            </w:r>
            <w:r>
              <w:rPr>
                <w:rFonts w:ascii="Times New Roman" w:hAnsi="Times New Roman" w:eastAsia="宋体" w:cs="黑体"/>
                <w:color w:val="000000"/>
                <w:kern w:val="0"/>
                <w:sz w:val="24"/>
                <w:szCs w:val="28"/>
                <w:lang w:val="en-US" w:eastAsia="zh-CN"/>
              </w:rPr>
              <w:t>DB23/T727—2021</w:t>
            </w:r>
            <w:r>
              <w:rPr>
                <w:rFonts w:hint="eastAsia"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，按</w:t>
            </w:r>
            <w:r>
              <w:rPr>
                <w:rFonts w:hint="default" w:ascii="Times New Roman" w:hAnsi="Times New Roman" w:eastAsia="宋体" w:cs="Times New Roman"/>
                <w:color w:val="auto"/>
                <w:kern w:val="0"/>
                <w:sz w:val="24"/>
                <w:szCs w:val="24"/>
                <w:highlight w:val="none"/>
                <w:lang w:val="en-US" w:eastAsia="zh-CN"/>
              </w:rPr>
              <w:t>2L/（m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天</w:t>
            </w:r>
            <w:r>
              <w:rPr>
                <w:rFonts w:hint="default" w:ascii="Times New Roman" w:hAnsi="Times New Roman" w:eastAsia="宋体" w:cs="Times New Roman"/>
                <w:color w:val="auto"/>
                <w:kern w:val="0"/>
                <w:sz w:val="24"/>
                <w:szCs w:val="24"/>
                <w:highlight w:val="none"/>
                <w:lang w:val="en-US" w:eastAsia="zh-CN"/>
              </w:rPr>
              <w:t>）计，</w:t>
            </w:r>
            <w:r>
              <w:rPr>
                <w:rFonts w:hint="eastAsia" w:cs="Times New Roman"/>
                <w:color w:val="auto"/>
                <w:kern w:val="0"/>
                <w:sz w:val="24"/>
                <w:szCs w:val="24"/>
                <w:highlight w:val="none"/>
                <w:lang w:val="en-US" w:eastAsia="zh-CN"/>
              </w:rPr>
              <w:t>绿化天数按60%计算，</w:t>
            </w:r>
            <w:r>
              <w:rPr>
                <w:rFonts w:hint="default" w:ascii="Times New Roman" w:hAnsi="Times New Roman" w:eastAsia="宋体" w:cs="Times New Roman"/>
                <w:color w:val="auto"/>
                <w:kern w:val="0"/>
                <w:sz w:val="24"/>
                <w:szCs w:val="24"/>
                <w:highlight w:val="none"/>
                <w:lang w:val="en-US" w:eastAsia="zh-CN"/>
              </w:rPr>
              <w:t>共计用水量</w:t>
            </w:r>
            <w:r>
              <w:rPr>
                <w:rFonts w:hint="eastAsia" w:ascii="Times New Roman" w:hAnsi="Times New Roman" w:eastAsia="宋体" w:cs="Times New Roman"/>
                <w:color w:val="auto"/>
                <w:kern w:val="0"/>
                <w:sz w:val="24"/>
                <w:szCs w:val="24"/>
                <w:highlight w:val="none"/>
                <w:lang w:val="en-US" w:eastAsia="zh-CN"/>
              </w:rPr>
              <w:t>约</w:t>
            </w:r>
            <w:r>
              <w:rPr>
                <w:rFonts w:hint="default" w:ascii="Times New Roman" w:hAnsi="Times New Roman" w:eastAsia="宋体" w:cs="Times New Roman"/>
                <w:color w:val="auto"/>
                <w:kern w:val="0"/>
                <w:sz w:val="24"/>
                <w:szCs w:val="24"/>
                <w:highlight w:val="none"/>
                <w:lang w:val="en-US" w:eastAsia="zh-CN"/>
              </w:rPr>
              <w:t>为</w:t>
            </w:r>
            <w:r>
              <w:rPr>
                <w:rFonts w:hint="eastAsia" w:ascii="Times New Roman" w:hAnsi="Times New Roman" w:eastAsia="宋体" w:cs="Times New Roman"/>
                <w:color w:val="auto"/>
                <w:kern w:val="0"/>
                <w:sz w:val="24"/>
                <w:szCs w:val="24"/>
                <w:highlight w:val="none"/>
                <w:lang w:val="en-US" w:eastAsia="zh-CN"/>
              </w:rPr>
              <w:t>2.4</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，年用水量</w:t>
            </w:r>
            <w:r>
              <w:rPr>
                <w:rFonts w:hint="default"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360</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（4）</w:t>
            </w:r>
            <w:r>
              <w:rPr>
                <w:rFonts w:hint="eastAsia" w:ascii="Times New Roman" w:hAnsi="Times New Roman" w:cs="Times New Roman"/>
                <w:bCs/>
                <w:sz w:val="24"/>
                <w:szCs w:val="24"/>
                <w:highlight w:val="none"/>
                <w:lang w:val="en-US" w:eastAsia="zh-CN"/>
              </w:rPr>
              <w:t>道路抑尘用水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vertAlign w:val="baseline"/>
                <w:lang w:val="en-US" w:eastAsia="zh-CN"/>
              </w:rPr>
            </w:pPr>
            <w:r>
              <w:rPr>
                <w:rFonts w:hint="eastAsia" w:ascii="Times New Roman" w:hAnsi="Times New Roman" w:cs="Times New Roman"/>
                <w:bCs/>
                <w:sz w:val="24"/>
                <w:szCs w:val="24"/>
                <w:lang w:val="en-US" w:eastAsia="zh-CN"/>
              </w:rPr>
              <w:t>本项目新建进出场道路220m，宽6m，占地面积1320m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vertAlign w:val="baseline"/>
                <w:lang w:val="en-US" w:eastAsia="zh-CN"/>
              </w:rPr>
              <w:t>，用水</w:t>
            </w:r>
            <w:r>
              <w:rPr>
                <w:rFonts w:hint="eastAsia" w:ascii="Times New Roman" w:hAnsi="Times New Roman" w:cs="Times New Roman"/>
                <w:bCs/>
                <w:color w:val="auto"/>
                <w:sz w:val="24"/>
                <w:szCs w:val="24"/>
                <w:vertAlign w:val="baseline"/>
                <w:lang w:val="en-US" w:eastAsia="zh-CN"/>
              </w:rPr>
              <w:t>按2.5L/（m</w:t>
            </w:r>
            <w:r>
              <w:rPr>
                <w:rFonts w:hint="eastAsia" w:ascii="Times New Roman" w:hAnsi="Times New Roman" w:cs="Times New Roman"/>
                <w:bCs/>
                <w:color w:val="auto"/>
                <w:sz w:val="24"/>
                <w:szCs w:val="24"/>
                <w:vertAlign w:val="superscript"/>
                <w:lang w:val="en-US" w:eastAsia="zh-CN"/>
              </w:rPr>
              <w:t>2</w:t>
            </w:r>
            <w:r>
              <w:rPr>
                <w:rFonts w:hint="eastAsia" w:ascii="Times New Roman" w:hAnsi="Times New Roman" w:cs="Times New Roman"/>
                <w:bCs/>
                <w:color w:val="auto"/>
                <w:sz w:val="24"/>
                <w:szCs w:val="24"/>
                <w:vertAlign w:val="baseline"/>
                <w:lang w:val="en-US" w:eastAsia="zh-CN"/>
              </w:rPr>
              <w:t>/d）计算，则本项目道路抑尘用水量为3.3m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vertAlign w:val="baseline"/>
                <w:lang w:val="en-US" w:eastAsia="zh-CN"/>
              </w:rPr>
              <w:t>/d（825m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vertAlign w:val="baseline"/>
                <w:lang w:val="en-US" w:eastAsia="zh-CN"/>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（5）堆料区喷洒用水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32"/>
                <w:lang w:val="en-US" w:eastAsia="zh-CN"/>
              </w:rPr>
            </w:pPr>
            <w:r>
              <w:rPr>
                <w:rFonts w:hint="eastAsia"/>
                <w:color w:val="auto"/>
                <w:sz w:val="24"/>
                <w:szCs w:val="32"/>
                <w:lang w:val="en-US" w:eastAsia="zh-CN"/>
              </w:rPr>
              <w:t>本项目堆料区平均每天作业面积按</w:t>
            </w:r>
            <w:r>
              <w:rPr>
                <w:rFonts w:hint="eastAsia"/>
                <w:color w:val="auto"/>
                <w:sz w:val="24"/>
                <w:szCs w:val="32"/>
                <w:highlight w:val="none"/>
                <w:lang w:val="en-US" w:eastAsia="zh-CN"/>
              </w:rPr>
              <w:t>1000</w:t>
            </w:r>
            <w:r>
              <w:rPr>
                <w:rFonts w:hint="eastAsia"/>
                <w:color w:val="auto"/>
                <w:sz w:val="24"/>
                <w:szCs w:val="32"/>
                <w:lang w:val="en-US" w:eastAsia="zh-CN"/>
              </w:rPr>
              <w:t>m</w:t>
            </w:r>
            <w:r>
              <w:rPr>
                <w:rFonts w:hint="eastAsia"/>
                <w:color w:val="auto"/>
                <w:sz w:val="24"/>
                <w:szCs w:val="32"/>
                <w:vertAlign w:val="superscript"/>
                <w:lang w:val="en-US" w:eastAsia="zh-CN"/>
              </w:rPr>
              <w:t>2</w:t>
            </w:r>
            <w:r>
              <w:rPr>
                <w:rFonts w:hint="eastAsia"/>
                <w:color w:val="auto"/>
                <w:sz w:val="24"/>
                <w:szCs w:val="32"/>
                <w:lang w:val="en-US" w:eastAsia="zh-CN"/>
              </w:rPr>
              <w:t>计，降尘用水定额按1L/m</w:t>
            </w:r>
            <w:r>
              <w:rPr>
                <w:rFonts w:hint="eastAsia"/>
                <w:color w:val="auto"/>
                <w:sz w:val="24"/>
                <w:szCs w:val="32"/>
                <w:vertAlign w:val="superscript"/>
                <w:lang w:val="en-US" w:eastAsia="zh-CN"/>
              </w:rPr>
              <w:t>2</w:t>
            </w:r>
            <w:r>
              <w:rPr>
                <w:rFonts w:hint="eastAsia"/>
                <w:color w:val="auto"/>
                <w:sz w:val="24"/>
                <w:szCs w:val="32"/>
                <w:lang w:val="en-US" w:eastAsia="zh-CN"/>
              </w:rPr>
              <w:t>・d计，全年按</w:t>
            </w:r>
            <w:r>
              <w:rPr>
                <w:rFonts w:hint="eastAsia"/>
                <w:color w:val="auto"/>
                <w:sz w:val="24"/>
                <w:szCs w:val="32"/>
                <w:highlight w:val="none"/>
                <w:lang w:val="en-US" w:eastAsia="zh-CN"/>
              </w:rPr>
              <w:t>250</w:t>
            </w:r>
            <w:r>
              <w:rPr>
                <w:rFonts w:hint="eastAsia"/>
                <w:color w:val="auto"/>
                <w:sz w:val="24"/>
                <w:szCs w:val="32"/>
                <w:lang w:val="en-US" w:eastAsia="zh-CN"/>
              </w:rPr>
              <w:t>d计，则本项目堆料区降尘用水量为</w:t>
            </w:r>
            <w:r>
              <w:rPr>
                <w:rFonts w:hint="eastAsia"/>
                <w:color w:val="auto"/>
                <w:sz w:val="24"/>
                <w:szCs w:val="32"/>
                <w:highlight w:val="none"/>
                <w:lang w:val="en-US" w:eastAsia="zh-CN"/>
              </w:rPr>
              <w:t>250</w:t>
            </w:r>
            <w:r>
              <w:rPr>
                <w:rFonts w:hint="eastAsia"/>
                <w:color w:val="auto"/>
                <w:sz w:val="24"/>
                <w:szCs w:val="32"/>
                <w:lang w:val="en-US" w:eastAsia="zh-CN"/>
              </w:rPr>
              <w:t>m</w:t>
            </w:r>
            <w:r>
              <w:rPr>
                <w:rFonts w:hint="eastAsia"/>
                <w:color w:val="auto"/>
                <w:sz w:val="24"/>
                <w:szCs w:val="32"/>
                <w:vertAlign w:val="superscript"/>
                <w:lang w:val="en-US" w:eastAsia="zh-CN"/>
              </w:rPr>
              <w:t>3</w:t>
            </w:r>
            <w:r>
              <w:rPr>
                <w:rFonts w:hint="eastAsia"/>
                <w:color w:val="auto"/>
                <w:sz w:val="24"/>
                <w:szCs w:val="32"/>
                <w:lang w:val="en-US" w:eastAsia="zh-CN"/>
              </w:rPr>
              <w:t>/a。</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4.2 排水工程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本项目排水主要包括生活污水、冲洗废水及雨水渗水。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（1）生活污水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sz w:val="24"/>
                <w:szCs w:val="24"/>
                <w:lang w:val="en-US" w:eastAsia="zh-CN"/>
              </w:rPr>
              <w:t>本项目生活用水</w:t>
            </w:r>
            <w:r>
              <w:rPr>
                <w:rFonts w:hint="eastAsia" w:ascii="Times New Roman" w:hAnsi="Times New Roman" w:cs="Times New Roman"/>
                <w:bCs/>
                <w:color w:val="auto"/>
                <w:sz w:val="24"/>
                <w:szCs w:val="24"/>
                <w:lang w:val="en-US" w:eastAsia="zh-CN"/>
              </w:rPr>
              <w:t>量为</w:t>
            </w:r>
            <w:r>
              <w:rPr>
                <w:rFonts w:hint="eastAsia" w:cs="Times New Roman"/>
                <w:color w:val="auto"/>
                <w:kern w:val="0"/>
                <w:sz w:val="24"/>
                <w:szCs w:val="24"/>
                <w:highlight w:val="none"/>
                <w:lang w:val="en-US" w:eastAsia="zh-CN"/>
              </w:rPr>
              <w:t>0.5</w:t>
            </w:r>
            <w:r>
              <w:rPr>
                <w:rFonts w:hint="eastAsia" w:ascii="Times New Roman" w:hAnsi="Times New Roman" w:eastAsia="宋体" w:cs="Times New Roman"/>
                <w:color w:val="auto"/>
                <w:kern w:val="0"/>
                <w:sz w:val="24"/>
                <w:szCs w:val="24"/>
                <w:lang w:val="en-US" w:eastAsia="zh-CN"/>
              </w:rPr>
              <w:t>m</w:t>
            </w:r>
            <w:r>
              <w:rPr>
                <w:rFonts w:hint="eastAsia"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/d</w:t>
            </w:r>
            <w:r>
              <w:rPr>
                <w:rFonts w:hint="eastAsia" w:ascii="宋体" w:hAnsi="宋体" w:eastAsia="宋体" w:cs="宋体"/>
                <w:color w:val="auto"/>
                <w:kern w:val="0"/>
                <w:sz w:val="24"/>
                <w:szCs w:val="24"/>
                <w:lang w:val="en-US" w:eastAsia="zh-CN"/>
              </w:rPr>
              <w:t>（</w:t>
            </w:r>
            <w:r>
              <w:rPr>
                <w:rFonts w:hint="eastAsia" w:cs="Times New Roman"/>
                <w:color w:val="auto"/>
                <w:kern w:val="0"/>
                <w:sz w:val="24"/>
                <w:szCs w:val="24"/>
                <w:highlight w:val="none"/>
                <w:lang w:val="en-US" w:eastAsia="zh-CN"/>
              </w:rPr>
              <w:t>125</w:t>
            </w:r>
            <w:r>
              <w:rPr>
                <w:rFonts w:hint="eastAsia" w:ascii="Times New Roman" w:hAnsi="Times New Roman" w:eastAsia="宋体" w:cs="Times New Roman"/>
                <w:color w:val="auto"/>
                <w:kern w:val="0"/>
                <w:sz w:val="24"/>
                <w:szCs w:val="24"/>
                <w:lang w:val="en-US" w:eastAsia="zh-CN"/>
              </w:rPr>
              <w:t>m</w:t>
            </w:r>
            <w:r>
              <w:rPr>
                <w:rFonts w:hint="eastAsia"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/a</w:t>
            </w:r>
            <w:r>
              <w:rPr>
                <w:rFonts w:hint="eastAsia" w:ascii="宋体" w:hAnsi="宋体" w:eastAsia="宋体" w:cs="宋体"/>
                <w:color w:val="auto"/>
                <w:kern w:val="0"/>
                <w:sz w:val="24"/>
                <w:szCs w:val="24"/>
                <w:lang w:val="en-US" w:eastAsia="zh-CN"/>
              </w:rPr>
              <w:t>），</w:t>
            </w:r>
            <w:r>
              <w:rPr>
                <w:rFonts w:hint="default" w:ascii="Times New Roman" w:hAnsi="Times New Roman" w:eastAsia="宋体" w:cs="Times New Roman"/>
                <w:color w:val="auto"/>
                <w:kern w:val="0"/>
                <w:sz w:val="24"/>
                <w:szCs w:val="24"/>
                <w:highlight w:val="none"/>
                <w:lang w:val="en-US" w:eastAsia="zh-CN"/>
              </w:rPr>
              <w:t>排水量按用水量的</w:t>
            </w:r>
            <w:r>
              <w:rPr>
                <w:rFonts w:hint="eastAsia" w:ascii="Times New Roman" w:hAnsi="Times New Roman" w:eastAsia="宋体" w:cs="Times New Roman"/>
                <w:color w:val="auto"/>
                <w:kern w:val="0"/>
                <w:sz w:val="24"/>
                <w:szCs w:val="24"/>
                <w:highlight w:val="none"/>
                <w:lang w:val="en-US" w:eastAsia="zh-CN"/>
              </w:rPr>
              <w:t>80</w:t>
            </w:r>
            <w:r>
              <w:rPr>
                <w:rFonts w:hint="default" w:ascii="Times New Roman" w:hAnsi="Times New Roman" w:eastAsia="宋体" w:cs="Times New Roman"/>
                <w:color w:val="auto"/>
                <w:kern w:val="0"/>
                <w:sz w:val="24"/>
                <w:szCs w:val="24"/>
                <w:highlight w:val="none"/>
                <w:lang w:val="en-US" w:eastAsia="zh-CN"/>
              </w:rPr>
              <w:t>%进行计算，则</w:t>
            </w:r>
            <w:r>
              <w:rPr>
                <w:rFonts w:hint="eastAsia" w:ascii="Times New Roman" w:hAnsi="Times New Roman" w:eastAsia="宋体" w:cs="Times New Roman"/>
                <w:color w:val="auto"/>
                <w:kern w:val="0"/>
                <w:sz w:val="24"/>
                <w:szCs w:val="24"/>
                <w:lang w:val="en-US" w:eastAsia="zh-CN"/>
              </w:rPr>
              <w:t>生活污水</w:t>
            </w:r>
            <w:r>
              <w:rPr>
                <w:rFonts w:hint="eastAsia" w:ascii="Times New Roman" w:hAnsi="Times New Roman" w:eastAsia="宋体" w:cs="Times New Roman"/>
                <w:color w:val="auto"/>
                <w:kern w:val="0"/>
                <w:sz w:val="24"/>
                <w:szCs w:val="24"/>
                <w:highlight w:val="none"/>
                <w:lang w:val="en-US" w:eastAsia="zh-CN"/>
              </w:rPr>
              <w:t>排放量</w:t>
            </w:r>
            <w:r>
              <w:rPr>
                <w:rFonts w:hint="default" w:ascii="Times New Roman" w:hAnsi="Times New Roman" w:eastAsia="宋体" w:cs="Times New Roman"/>
                <w:color w:val="auto"/>
                <w:kern w:val="0"/>
                <w:sz w:val="24"/>
                <w:szCs w:val="24"/>
                <w:highlight w:val="none"/>
                <w:lang w:val="en-US" w:eastAsia="zh-CN"/>
              </w:rPr>
              <w:t>为</w:t>
            </w:r>
            <w:r>
              <w:rPr>
                <w:rFonts w:hint="eastAsia" w:ascii="Times New Roman" w:hAnsi="Times New Roman" w:eastAsia="宋体" w:cs="Times New Roman"/>
                <w:color w:val="auto"/>
                <w:kern w:val="0"/>
                <w:sz w:val="24"/>
                <w:szCs w:val="24"/>
                <w:highlight w:val="none"/>
                <w:lang w:val="en-US" w:eastAsia="zh-CN"/>
              </w:rPr>
              <w:t>0.</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eastAsia" w:ascii="宋体" w:hAnsi="宋体" w:eastAsia="宋体" w:cs="宋体"/>
                <w:color w:val="auto"/>
                <w:kern w:val="0"/>
                <w:sz w:val="24"/>
                <w:szCs w:val="24"/>
                <w:lang w:val="en-US" w:eastAsia="zh-CN"/>
              </w:rPr>
              <w:t>（</w:t>
            </w:r>
            <w:r>
              <w:rPr>
                <w:rFonts w:hint="eastAsia" w:ascii="宋体" w:hAnsi="宋体" w:cs="宋体"/>
                <w:color w:val="auto"/>
                <w:kern w:val="0"/>
                <w:sz w:val="24"/>
                <w:szCs w:val="24"/>
                <w:lang w:val="en-US" w:eastAsia="zh-CN"/>
              </w:rPr>
              <w:t>100</w:t>
            </w:r>
            <w:r>
              <w:rPr>
                <w:rFonts w:hint="eastAsia" w:ascii="Times New Roman" w:hAnsi="Times New Roman" w:eastAsia="宋体" w:cs="Times New Roman"/>
                <w:color w:val="auto"/>
                <w:kern w:val="0"/>
                <w:sz w:val="24"/>
                <w:szCs w:val="24"/>
                <w:lang w:val="en-US" w:eastAsia="zh-CN"/>
              </w:rPr>
              <w:t>m</w:t>
            </w:r>
            <w:r>
              <w:rPr>
                <w:rFonts w:hint="eastAsia"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/a</w:t>
            </w:r>
            <w:r>
              <w:rPr>
                <w:rFonts w:hint="eastAsia" w:ascii="宋体" w:hAnsi="宋体" w:eastAsia="宋体" w:cs="宋体"/>
                <w:color w:val="auto"/>
                <w:kern w:val="0"/>
                <w:sz w:val="24"/>
                <w:szCs w:val="24"/>
                <w:lang w:val="en-US" w:eastAsia="zh-CN"/>
              </w:rPr>
              <w:t>）</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生活污水排入管理区的化粪池中后由吸污车拉运至污水处理厂处置。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（2）冲洗废水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本项目冲洗用水量</w:t>
            </w:r>
            <w:r>
              <w:rPr>
                <w:rFonts w:hint="eastAsia" w:ascii="Times New Roman" w:hAnsi="Times New Roman" w:cs="Times New Roman"/>
                <w:bCs/>
                <w:color w:val="auto"/>
                <w:sz w:val="24"/>
                <w:szCs w:val="24"/>
                <w:lang w:val="en-US" w:eastAsia="zh-CN"/>
              </w:rPr>
              <w:t>为</w:t>
            </w:r>
            <w:r>
              <w:rPr>
                <w:rFonts w:hint="default" w:ascii="Times New Roman" w:hAnsi="Times New Roman" w:cs="Times New Roman"/>
                <w:bCs/>
                <w:color w:val="auto"/>
                <w:sz w:val="24"/>
                <w:szCs w:val="24"/>
                <w:lang w:val="en-US" w:eastAsia="zh-CN"/>
              </w:rPr>
              <w:t>1</w:t>
            </w:r>
            <w:r>
              <w:rPr>
                <w:rFonts w:hint="eastAsia" w:ascii="Times New Roman" w:hAnsi="Times New Roman" w:cs="Times New Roman"/>
                <w:bCs/>
                <w:color w:val="auto"/>
                <w:sz w:val="24"/>
                <w:szCs w:val="24"/>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/d（</w:t>
            </w:r>
            <w:r>
              <w:rPr>
                <w:rFonts w:hint="default" w:ascii="Times New Roman" w:hAnsi="Times New Roman" w:cs="Times New Roman"/>
                <w:bCs/>
                <w:color w:val="auto"/>
                <w:sz w:val="24"/>
                <w:szCs w:val="24"/>
                <w:lang w:val="en-US" w:eastAsia="zh-CN"/>
              </w:rPr>
              <w:t>250</w:t>
            </w:r>
            <w:r>
              <w:rPr>
                <w:rFonts w:hint="eastAsia" w:ascii="Times New Roman" w:hAnsi="Times New Roman" w:cs="Times New Roman"/>
                <w:bCs/>
                <w:color w:val="auto"/>
                <w:sz w:val="24"/>
                <w:szCs w:val="24"/>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/a），</w:t>
            </w:r>
            <w:r>
              <w:rPr>
                <w:rFonts w:hint="default" w:ascii="Times New Roman" w:hAnsi="Times New Roman" w:eastAsia="宋体" w:cs="Times New Roman"/>
                <w:color w:val="auto"/>
                <w:kern w:val="0"/>
                <w:sz w:val="24"/>
                <w:szCs w:val="24"/>
                <w:highlight w:val="none"/>
                <w:lang w:val="en-US" w:eastAsia="zh-CN"/>
              </w:rPr>
              <w:t>排水量按用水量的</w:t>
            </w:r>
            <w:r>
              <w:rPr>
                <w:rFonts w:hint="eastAsia" w:cs="Times New Roman"/>
                <w:color w:val="auto"/>
                <w:kern w:val="0"/>
                <w:sz w:val="24"/>
                <w:szCs w:val="24"/>
                <w:highlight w:val="none"/>
                <w:lang w:val="en-US" w:eastAsia="zh-CN"/>
              </w:rPr>
              <w:t>8</w:t>
            </w:r>
            <w:r>
              <w:rPr>
                <w:rFonts w:hint="eastAsia" w:ascii="Times New Roman" w:hAnsi="Times New Roman" w:eastAsia="宋体" w:cs="Times New Roman"/>
                <w:color w:val="auto"/>
                <w:kern w:val="0"/>
                <w:sz w:val="24"/>
                <w:szCs w:val="24"/>
                <w:highlight w:val="none"/>
                <w:lang w:val="en-US" w:eastAsia="zh-CN"/>
              </w:rPr>
              <w:t>0</w:t>
            </w:r>
            <w:r>
              <w:rPr>
                <w:rFonts w:hint="default" w:ascii="Times New Roman" w:hAnsi="Times New Roman" w:eastAsia="宋体" w:cs="Times New Roman"/>
                <w:color w:val="auto"/>
                <w:kern w:val="0"/>
                <w:sz w:val="24"/>
                <w:szCs w:val="24"/>
                <w:highlight w:val="none"/>
                <w:lang w:val="en-US" w:eastAsia="zh-CN"/>
              </w:rPr>
              <w:t>%进行计算，</w:t>
            </w:r>
            <w:r>
              <w:rPr>
                <w:rFonts w:hint="eastAsia" w:ascii="Times New Roman" w:hAnsi="Times New Roman" w:eastAsia="宋体" w:cs="Times New Roman"/>
                <w:color w:val="auto"/>
                <w:kern w:val="0"/>
                <w:sz w:val="24"/>
                <w:szCs w:val="24"/>
                <w:highlight w:val="none"/>
                <w:lang w:val="en-US" w:eastAsia="zh-CN"/>
              </w:rPr>
              <w:t>则冲洗废水排放量为</w:t>
            </w:r>
            <w:r>
              <w:rPr>
                <w:rFonts w:hint="eastAsia" w:cs="Times New Roman"/>
                <w:color w:val="auto"/>
                <w:kern w:val="0"/>
                <w:sz w:val="24"/>
                <w:szCs w:val="24"/>
                <w:highlight w:val="none"/>
                <w:lang w:val="en-US" w:eastAsia="zh-CN"/>
              </w:rPr>
              <w:t>0.8</w:t>
            </w:r>
            <w:r>
              <w:rPr>
                <w:rFonts w:hint="eastAsia" w:ascii="Times New Roman" w:hAnsi="Times New Roman" w:cs="Times New Roman"/>
                <w:bCs/>
                <w:color w:val="auto"/>
                <w:sz w:val="24"/>
                <w:szCs w:val="24"/>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/d（</w:t>
            </w:r>
            <w:r>
              <w:rPr>
                <w:rFonts w:hint="eastAsia" w:cs="Times New Roman"/>
                <w:bCs/>
                <w:color w:val="auto"/>
                <w:sz w:val="24"/>
                <w:szCs w:val="24"/>
                <w:lang w:val="en-US" w:eastAsia="zh-CN"/>
              </w:rPr>
              <w:t>200</w:t>
            </w:r>
            <w:r>
              <w:rPr>
                <w:rFonts w:hint="eastAsia" w:ascii="Times New Roman" w:hAnsi="Times New Roman" w:cs="Times New Roman"/>
                <w:bCs/>
                <w:color w:val="auto"/>
                <w:sz w:val="24"/>
                <w:szCs w:val="24"/>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/a）。冲</w:t>
            </w:r>
            <w:r>
              <w:rPr>
                <w:rFonts w:hint="eastAsia" w:ascii="Times New Roman" w:hAnsi="Times New Roman" w:cs="Times New Roman"/>
                <w:bCs/>
                <w:sz w:val="24"/>
                <w:szCs w:val="24"/>
                <w:lang w:val="en-US" w:eastAsia="zh-CN"/>
              </w:rPr>
              <w:t>洗废水</w:t>
            </w:r>
            <w:r>
              <w:rPr>
                <w:rFonts w:hint="eastAsia" w:ascii="Times New Roman" w:hAnsi="Times New Roman" w:eastAsia="宋体" w:cs="Times New Roman"/>
                <w:color w:val="auto"/>
                <w:kern w:val="0"/>
                <w:sz w:val="24"/>
                <w:szCs w:val="24"/>
                <w:highlight w:val="none"/>
                <w:lang w:val="en-US" w:eastAsia="zh-CN"/>
              </w:rPr>
              <w:t>排入管理区的化粪池中后由吸污车拉运至污水处理厂处置。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highlight w:val="none"/>
                <w:lang w:val="en-US" w:eastAsia="zh-CN"/>
              </w:rPr>
            </w:pPr>
            <w:r>
              <w:rPr>
                <w:rFonts w:hint="eastAsia" w:ascii="Times New Roman" w:hAnsi="Times New Roman" w:cs="Times New Roman"/>
                <w:bCs/>
                <w:sz w:val="24"/>
                <w:szCs w:val="24"/>
                <w:highlight w:val="none"/>
                <w:lang w:val="en-US" w:eastAsia="zh-CN"/>
              </w:rPr>
              <w:t>（3）雨水渗水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ascii="宋体" w:hAnsi="宋体" w:eastAsia="宋体" w:cs="宋体"/>
                <w:sz w:val="24"/>
                <w:szCs w:val="24"/>
              </w:rPr>
              <w:t>本</w:t>
            </w:r>
            <w:r>
              <w:rPr>
                <w:rFonts w:hint="eastAsia" w:ascii="宋体" w:hAnsi="宋体" w:eastAsia="宋体" w:cs="宋体"/>
                <w:sz w:val="24"/>
                <w:szCs w:val="24"/>
                <w:lang w:val="en-US" w:eastAsia="zh-CN"/>
              </w:rPr>
              <w:t>暂存</w:t>
            </w:r>
            <w:r>
              <w:rPr>
                <w:rFonts w:ascii="宋体" w:hAnsi="宋体" w:eastAsia="宋体" w:cs="宋体"/>
                <w:sz w:val="24"/>
                <w:szCs w:val="24"/>
              </w:rPr>
              <w:t>场的</w:t>
            </w:r>
            <w:r>
              <w:rPr>
                <w:rFonts w:hint="eastAsia" w:ascii="宋体" w:hAnsi="宋体" w:eastAsia="宋体" w:cs="宋体"/>
                <w:sz w:val="24"/>
                <w:szCs w:val="24"/>
                <w:lang w:eastAsia="zh-CN"/>
              </w:rPr>
              <w:t>雨水渗水</w:t>
            </w:r>
            <w:r>
              <w:rPr>
                <w:rFonts w:ascii="宋体" w:hAnsi="宋体" w:eastAsia="宋体" w:cs="宋体"/>
                <w:sz w:val="24"/>
                <w:szCs w:val="24"/>
              </w:rPr>
              <w:t>产生量主要来自</w:t>
            </w:r>
            <w:r>
              <w:rPr>
                <w:rFonts w:hint="eastAsia" w:ascii="宋体" w:hAnsi="宋体" w:eastAsia="宋体" w:cs="宋体"/>
                <w:sz w:val="24"/>
                <w:szCs w:val="24"/>
                <w:lang w:val="en-US" w:eastAsia="zh-CN"/>
              </w:rPr>
              <w:t>堆料</w:t>
            </w:r>
            <w:r>
              <w:rPr>
                <w:rFonts w:ascii="宋体" w:hAnsi="宋体" w:eastAsia="宋体" w:cs="宋体"/>
                <w:sz w:val="24"/>
                <w:szCs w:val="24"/>
              </w:rPr>
              <w:t>区集雨面积范围内下渗入垃圾堆体的降雨量。本项目</w:t>
            </w:r>
            <w:r>
              <w:rPr>
                <w:rFonts w:hint="eastAsia" w:ascii="宋体" w:hAnsi="宋体" w:eastAsia="宋体" w:cs="宋体"/>
                <w:sz w:val="24"/>
                <w:szCs w:val="24"/>
                <w:lang w:eastAsia="zh-CN"/>
              </w:rPr>
              <w:t>雨水渗水</w:t>
            </w:r>
            <w:r>
              <w:rPr>
                <w:rFonts w:ascii="宋体" w:hAnsi="宋体" w:eastAsia="宋体" w:cs="宋体"/>
                <w:sz w:val="24"/>
                <w:szCs w:val="24"/>
              </w:rPr>
              <w:t>产生量计算公式如下：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cs="Times New Roman"/>
                <w:bCs/>
                <w:sz w:val="24"/>
                <w:szCs w:val="24"/>
                <w:lang w:val="en-US" w:eastAsia="zh-CN"/>
              </w:rPr>
            </w:pPr>
            <w:r>
              <w:rPr>
                <w:rFonts w:hint="eastAsia" w:ascii="Times New Roman" w:hAnsi="Times New Roman" w:eastAsia="宋体" w:cs="Times New Roman"/>
                <w:color w:val="auto"/>
                <w:sz w:val="24"/>
                <w:lang w:eastAsia="zh-CN"/>
              </w:rPr>
              <w:t>Q= (C</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I</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A)/</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000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式中：Q——雨水渗水产生量（m</w:t>
            </w:r>
            <w:r>
              <w:rPr>
                <w:rFonts w:hint="eastAsia" w:ascii="Times New Roman" w:hAnsi="Times New Roman" w:cs="Times New Roman"/>
                <w:bCs/>
                <w:sz w:val="24"/>
                <w:szCs w:val="24"/>
                <w:vertAlign w:val="superscript"/>
                <w:lang w:val="en-US" w:eastAsia="zh-CN"/>
              </w:rPr>
              <w:t>3</w:t>
            </w:r>
            <w:r>
              <w:rPr>
                <w:rFonts w:hint="eastAsia" w:ascii="Times New Roman" w:hAnsi="Times New Roman" w:cs="Times New Roman"/>
                <w:bCs/>
                <w:sz w:val="24"/>
                <w:szCs w:val="24"/>
                <w:lang w:val="en-US" w:eastAsia="zh-CN"/>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I——多年平均日降雨量（mm/d）；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sz w:val="24"/>
                <w:szCs w:val="24"/>
                <w:lang w:val="en-US" w:eastAsia="zh-CN"/>
              </w:rPr>
              <w:t>A——作业单元汇水面积（m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lang w:val="en-US" w:eastAsia="zh-CN"/>
              </w:rPr>
              <w:t>）</w:t>
            </w:r>
            <w:r>
              <w:rPr>
                <w:rFonts w:hint="eastAsia" w:cs="Times New Roman"/>
                <w:bCs/>
                <w:sz w:val="24"/>
                <w:szCs w:val="24"/>
                <w:lang w:val="en-US" w:eastAsia="zh-CN"/>
              </w:rPr>
              <w:t>，</w:t>
            </w:r>
            <w:r>
              <w:rPr>
                <w:rFonts w:hint="eastAsia" w:cs="Times New Roman"/>
                <w:bCs/>
                <w:color w:val="auto"/>
                <w:sz w:val="24"/>
                <w:szCs w:val="24"/>
                <w:lang w:val="en-US" w:eastAsia="zh-CN"/>
              </w:rPr>
              <w:t>取1000m</w:t>
            </w:r>
            <w:r>
              <w:rPr>
                <w:rFonts w:hint="eastAsia" w:cs="Times New Roman"/>
                <w:bCs/>
                <w:color w:val="auto"/>
                <w:sz w:val="24"/>
                <w:szCs w:val="24"/>
                <w:vertAlign w:val="superscript"/>
                <w:lang w:val="en-US" w:eastAsia="zh-CN"/>
              </w:rPr>
              <w:t>2</w:t>
            </w:r>
            <w:r>
              <w:rPr>
                <w:rFonts w:hint="eastAsia" w:ascii="Times New Roman" w:hAnsi="Times New Roman" w:cs="Times New Roman"/>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C——雨水下渗系数，因土质、地形垃圾种类、填埋方式而异，C=0.2；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暴雨日降雨量为60mm，</w:t>
            </w:r>
            <w:r>
              <w:rPr>
                <w:rFonts w:hint="eastAsia" w:ascii="Times New Roman" w:hAnsi="Times New Roman" w:cs="Times New Roman"/>
                <w:bCs/>
                <w:color w:val="auto"/>
                <w:sz w:val="24"/>
                <w:szCs w:val="24"/>
                <w:vertAlign w:val="baseline"/>
                <w:lang w:val="en-US" w:eastAsia="zh-CN"/>
              </w:rPr>
              <w:t>经计算，本项目雨水渗水产生量为</w:t>
            </w:r>
            <w:r>
              <w:rPr>
                <w:rFonts w:hint="eastAsia" w:cs="Times New Roman"/>
                <w:bCs/>
                <w:color w:val="auto"/>
                <w:sz w:val="24"/>
                <w:szCs w:val="24"/>
                <w:highlight w:val="none"/>
                <w:vertAlign w:val="baseline"/>
                <w:lang w:val="en-US" w:eastAsia="zh-CN"/>
              </w:rPr>
              <w:t>12</w:t>
            </w:r>
            <w:r>
              <w:rPr>
                <w:rFonts w:hint="eastAsia" w:ascii="Times New Roman" w:hAnsi="Times New Roman" w:cs="Times New Roman"/>
                <w:bCs/>
                <w:color w:val="auto"/>
                <w:sz w:val="24"/>
                <w:szCs w:val="24"/>
                <w:vertAlign w:val="baseline"/>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vertAlign w:val="baseline"/>
                <w:lang w:val="en-US" w:eastAsia="zh-CN"/>
              </w:rPr>
              <w:t>/d。</w:t>
            </w:r>
            <w:r>
              <w:rPr>
                <w:rFonts w:hint="eastAsia" w:ascii="Times New Roman" w:hAnsi="Times New Roman" w:cs="Times New Roman"/>
                <w:bCs/>
                <w:sz w:val="24"/>
                <w:szCs w:val="24"/>
                <w:vertAlign w:val="baseline"/>
                <w:lang w:val="en-US" w:eastAsia="zh-CN"/>
              </w:rPr>
              <w:t>雨水渗水经收集</w:t>
            </w:r>
            <w:r>
              <w:rPr>
                <w:rFonts w:hint="eastAsia" w:cs="Times New Roman"/>
                <w:bCs/>
                <w:sz w:val="24"/>
                <w:szCs w:val="24"/>
                <w:vertAlign w:val="baseline"/>
                <w:lang w:val="en-US" w:eastAsia="zh-CN"/>
              </w:rPr>
              <w:t>排入沉淀池沉淀后，排入雨水渗水暂存池，与化粪池污水一起由</w:t>
            </w:r>
            <w:r>
              <w:rPr>
                <w:rFonts w:hint="eastAsia" w:ascii="Times New Roman" w:hAnsi="Times New Roman" w:cs="Times New Roman"/>
                <w:bCs/>
                <w:sz w:val="24"/>
                <w:szCs w:val="24"/>
                <w:highlight w:val="none"/>
                <w:vertAlign w:val="baseline"/>
                <w:lang w:val="en-US" w:eastAsia="zh-CN"/>
              </w:rPr>
              <w:t>吸污车拉运至</w:t>
            </w:r>
            <w:r>
              <w:rPr>
                <w:rFonts w:hint="eastAsia" w:cs="Times New Roman"/>
                <w:bCs/>
                <w:sz w:val="24"/>
                <w:szCs w:val="24"/>
                <w:highlight w:val="none"/>
                <w:vertAlign w:val="baseline"/>
                <w:lang w:val="en-US" w:eastAsia="zh-CN"/>
              </w:rPr>
              <w:t>七台河市第二</w:t>
            </w:r>
            <w:r>
              <w:rPr>
                <w:rFonts w:hint="eastAsia" w:ascii="Times New Roman" w:hAnsi="Times New Roman" w:cs="Times New Roman"/>
                <w:bCs/>
                <w:sz w:val="24"/>
                <w:szCs w:val="24"/>
                <w:highlight w:val="none"/>
                <w:vertAlign w:val="baseline"/>
                <w:lang w:val="en-US" w:eastAsia="zh-CN"/>
              </w:rPr>
              <w:t>污水处理厂处理</w:t>
            </w:r>
            <w:r>
              <w:rPr>
                <w:rFonts w:hint="eastAsia" w:cs="Times New Roman"/>
                <w:bCs/>
                <w:sz w:val="24"/>
                <w:szCs w:val="24"/>
                <w:vertAlign w:val="baseline"/>
                <w:lang w:val="en-US" w:eastAsia="zh-CN"/>
              </w:rPr>
              <w:t>。</w:t>
            </w:r>
            <w:r>
              <w:rPr>
                <w:rFonts w:hint="eastAsia" w:ascii="Times New Roman" w:hAnsi="Times New Roman" w:cs="Times New Roman"/>
                <w:bCs/>
                <w:color w:val="auto"/>
                <w:sz w:val="24"/>
                <w:szCs w:val="24"/>
                <w:lang w:val="en-US" w:eastAsia="zh-CN"/>
              </w:rPr>
              <w:t>本项目水平衡图见下图。</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object>
                <v:shape id="_x0000_i1025" o:spt="75" type="#_x0000_t75" style="height:255.85pt;width:393.15pt;" o:ole="t" filled="f" stroked="f" coordsize="21600,21600">
                  <v:path/>
                  <v:fill on="f" focussize="0,0"/>
                  <v:stroke on="f"/>
                  <v:imagedata r:id="rId11" embosscolor="#FFFFFF" o:title=""/>
                  <o:lock v:ext="edit" aspectratio="t"/>
                  <w10:wrap type="none"/>
                  <w10:anchorlock/>
                </v:shape>
                <o:OLEObject Type="Embed" ProgID="Visio.Drawing.15" ShapeID="_x0000_i1025" DrawAspect="Content" ObjectID="_1468075725" r:id="rId1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4"/>
                <w:szCs w:val="24"/>
                <w:highlight w:val="none"/>
                <w:lang w:val="en-US" w:eastAsia="zh-CN"/>
              </w:rPr>
            </w:pPr>
            <w:r>
              <w:rPr>
                <w:rFonts w:hint="eastAsia" w:ascii="Times New Roman" w:hAnsi="Times New Roman" w:cs="Times New Roman"/>
                <w:b/>
                <w:bCs w:val="0"/>
                <w:sz w:val="21"/>
                <w:szCs w:val="21"/>
                <w:highlight w:val="none"/>
                <w:lang w:val="en-US" w:eastAsia="zh-CN"/>
              </w:rPr>
              <w:t>图2-1 项目水平衡图   单位：m</w:t>
            </w:r>
            <w:r>
              <w:rPr>
                <w:rFonts w:hint="eastAsia" w:ascii="Times New Roman" w:hAnsi="Times New Roman" w:cs="Times New Roman"/>
                <w:b/>
                <w:bCs w:val="0"/>
                <w:sz w:val="21"/>
                <w:szCs w:val="21"/>
                <w:highlight w:val="none"/>
                <w:vertAlign w:val="superscript"/>
                <w:lang w:val="en-US" w:eastAsia="zh-CN"/>
              </w:rPr>
              <w:t>3</w:t>
            </w:r>
            <w:r>
              <w:rPr>
                <w:rFonts w:hint="eastAsia" w:ascii="Times New Roman" w:hAnsi="Times New Roman" w:cs="Times New Roman"/>
                <w:b/>
                <w:bCs w:val="0"/>
                <w:sz w:val="21"/>
                <w:szCs w:val="21"/>
                <w:highlight w:val="none"/>
                <w:lang w:val="en-US" w:eastAsia="zh-CN"/>
              </w:rPr>
              <w:t>/d</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4.3 供热工程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本项目采取集中供暖。</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4.4 供电工程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本项目临时暂存场附近设有10kV高压线路，经变压器降压后供给全部用电负荷。</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5 工作制度及劳动定员</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rPr>
                <w:rFonts w:ascii="Times New Roman" w:hAnsi="Times New Roman" w:cs="宋体"/>
                <w:bCs/>
                <w:sz w:val="24"/>
                <w:szCs w:val="21"/>
              </w:rPr>
            </w:pPr>
            <w:r>
              <w:rPr>
                <w:rFonts w:hint="default" w:ascii="Times New Roman" w:hAnsi="Times New Roman" w:eastAsia="宋体" w:cs="Times New Roman"/>
                <w:spacing w:val="-6"/>
                <w:sz w:val="24"/>
                <w:szCs w:val="24"/>
                <w:lang w:val="en-US" w:eastAsia="zh-CN"/>
              </w:rPr>
              <w:t>本项目劳动</w:t>
            </w:r>
            <w:r>
              <w:rPr>
                <w:rFonts w:hint="default" w:ascii="Times New Roman" w:hAnsi="Times New Roman" w:eastAsia="宋体" w:cs="Times New Roman"/>
                <w:color w:val="auto"/>
                <w:spacing w:val="-6"/>
                <w:sz w:val="24"/>
                <w:szCs w:val="24"/>
                <w:lang w:val="en-US" w:eastAsia="zh-CN"/>
              </w:rPr>
              <w:t>定员</w:t>
            </w:r>
            <w:r>
              <w:rPr>
                <w:rFonts w:hint="eastAsia" w:ascii="Times New Roman" w:hAnsi="Times New Roman" w:cs="Times New Roman"/>
                <w:color w:val="auto"/>
                <w:spacing w:val="-6"/>
                <w:sz w:val="24"/>
                <w:szCs w:val="24"/>
                <w:highlight w:val="none"/>
                <w:lang w:val="en-US" w:eastAsia="zh-CN"/>
              </w:rPr>
              <w:t>10</w:t>
            </w:r>
            <w:r>
              <w:rPr>
                <w:rFonts w:hint="default" w:ascii="Times New Roman" w:hAnsi="Times New Roman" w:eastAsia="宋体" w:cs="Times New Roman"/>
                <w:color w:val="auto"/>
                <w:spacing w:val="-6"/>
                <w:sz w:val="24"/>
                <w:szCs w:val="24"/>
                <w:lang w:val="en-US" w:eastAsia="zh-CN"/>
              </w:rPr>
              <w:t>人，工作采用</w:t>
            </w:r>
            <w:r>
              <w:rPr>
                <w:rFonts w:hint="default" w:ascii="Times New Roman" w:hAnsi="Times New Roman" w:cs="Times New Roman"/>
                <w:color w:val="auto"/>
                <w:spacing w:val="-6"/>
                <w:sz w:val="24"/>
                <w:szCs w:val="24"/>
                <w:highlight w:val="none"/>
                <w:lang w:val="en-US" w:eastAsia="zh-CN"/>
              </w:rPr>
              <w:t>一</w:t>
            </w:r>
            <w:r>
              <w:rPr>
                <w:rFonts w:hint="default" w:ascii="Times New Roman" w:hAnsi="Times New Roman" w:eastAsia="宋体" w:cs="Times New Roman"/>
                <w:color w:val="auto"/>
                <w:spacing w:val="-6"/>
                <w:sz w:val="24"/>
                <w:szCs w:val="24"/>
                <w:lang w:val="en-US" w:eastAsia="zh-CN"/>
              </w:rPr>
              <w:t>班制，每天工作</w:t>
            </w:r>
            <w:r>
              <w:rPr>
                <w:rFonts w:hint="default" w:ascii="Times New Roman" w:hAnsi="Times New Roman" w:cs="Times New Roman"/>
                <w:color w:val="auto"/>
                <w:spacing w:val="-6"/>
                <w:sz w:val="24"/>
                <w:szCs w:val="24"/>
                <w:highlight w:val="none"/>
                <w:lang w:val="en-US" w:eastAsia="zh-CN"/>
              </w:rPr>
              <w:t>8</w:t>
            </w:r>
            <w:r>
              <w:rPr>
                <w:rFonts w:hint="default" w:ascii="Times New Roman" w:hAnsi="Times New Roman" w:eastAsia="宋体" w:cs="Times New Roman"/>
                <w:color w:val="auto"/>
                <w:spacing w:val="-6"/>
                <w:sz w:val="24"/>
                <w:szCs w:val="24"/>
                <w:lang w:val="en-US" w:eastAsia="zh-CN"/>
              </w:rPr>
              <w:t>小时，年工作</w:t>
            </w:r>
            <w:r>
              <w:rPr>
                <w:rFonts w:hint="eastAsia" w:ascii="Times New Roman" w:hAnsi="Times New Roman" w:cs="Times New Roman"/>
                <w:color w:val="auto"/>
                <w:spacing w:val="-6"/>
                <w:sz w:val="24"/>
                <w:szCs w:val="24"/>
                <w:highlight w:val="none"/>
                <w:lang w:val="en-US" w:eastAsia="zh-CN"/>
              </w:rPr>
              <w:t>250</w:t>
            </w:r>
            <w:r>
              <w:rPr>
                <w:rFonts w:hint="default" w:ascii="Times New Roman" w:hAnsi="Times New Roman" w:eastAsia="宋体" w:cs="Times New Roman"/>
                <w:color w:val="auto"/>
                <w:spacing w:val="-6"/>
                <w:sz w:val="24"/>
                <w:szCs w:val="24"/>
                <w:lang w:val="en-US" w:eastAsia="zh-CN"/>
              </w:rPr>
              <w:t>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pPr>
              <w:pStyle w:val="18"/>
              <w:adjustRightInd w:val="0"/>
              <w:snapToGrid w:val="0"/>
              <w:spacing w:before="0" w:beforeAutospacing="0" w:after="0" w:afterAutospacing="0"/>
              <w:jc w:val="center"/>
              <w:outlineLvl w:val="9"/>
              <w:rPr>
                <w:rFonts w:ascii="Times New Roman" w:hAnsi="Times New Roman" w:cs="宋体"/>
                <w:sz w:val="24"/>
                <w:szCs w:val="21"/>
              </w:rPr>
            </w:pPr>
            <w:r>
              <w:rPr>
                <w:rFonts w:hint="eastAsia" w:ascii="Times New Roman" w:hAnsi="Times New Roman" w:cs="宋体"/>
                <w:sz w:val="24"/>
                <w:szCs w:val="21"/>
              </w:rPr>
              <w:t>工艺流程和产排污环节</w:t>
            </w:r>
          </w:p>
        </w:tc>
        <w:tc>
          <w:tcPr>
            <w:tcW w:w="8161" w:type="dxa"/>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1 施工期</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1.1 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olor w:val="000000"/>
                <w:sz w:val="24"/>
                <w:szCs w:val="24"/>
              </w:rPr>
            </w:pPr>
            <w:r>
              <w:rPr>
                <w:rFonts w:hint="eastAsia"/>
                <w:color w:val="000000"/>
                <w:sz w:val="24"/>
                <w:szCs w:val="24"/>
              </w:rPr>
              <w:t>施工期工艺流程及产污环节见下图：</w:t>
            </w:r>
          </w:p>
          <w:p>
            <w:pPr>
              <w:pStyle w:val="4"/>
              <w:spacing w:after="0"/>
              <w:ind w:left="0" w:leftChars="0" w:firstLine="0"/>
              <w:jc w:val="center"/>
              <w:outlineLvl w:val="9"/>
              <w:rPr>
                <w:color w:val="000000"/>
              </w:rPr>
            </w:pPr>
            <w:r>
              <w:rPr>
                <w:rFonts w:hint="eastAsia"/>
                <w:color w:val="000000"/>
              </w:rPr>
              <w:object>
                <v:shape id="_x0000_i1026" o:spt="75" type="#_x0000_t75" style="height:300.45pt;width:316.5pt;" o:ole="t" filled="f" stroked="f" coordsize="21600,21600">
                  <v:path/>
                  <v:fill on="f" focussize="0,0"/>
                  <v:stroke on="f"/>
                  <v:imagedata r:id="rId13" cropleft="16968f" croptop="7449f" cropright="20932f" cropbottom="6807f" embosscolor="#FFFFFF" o:title=""/>
                  <o:lock v:ext="edit" aspectratio="t"/>
                  <w10:wrap type="none"/>
                  <w10:anchorlock/>
                </v:shape>
                <o:OLEObject Type="Embed" ProgID="Visio.Drawing.15" ShapeID="_x0000_i1026" DrawAspect="Content" ObjectID="_1468075726" r:id="rId12">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Cs/>
                <w:sz w:val="24"/>
                <w:szCs w:val="24"/>
                <w:highlight w:val="none"/>
                <w:lang w:val="en-US" w:eastAsia="zh-CN"/>
              </w:rPr>
            </w:pPr>
            <w:r>
              <w:rPr>
                <w:rFonts w:hint="eastAsia"/>
                <w:b/>
                <w:bCs/>
                <w:color w:val="000000"/>
                <w:sz w:val="21"/>
                <w:szCs w:val="21"/>
                <w:highlight w:val="none"/>
              </w:rPr>
              <w:t>图</w:t>
            </w:r>
            <w:r>
              <w:rPr>
                <w:rFonts w:hint="eastAsia"/>
                <w:b/>
                <w:bCs/>
                <w:sz w:val="21"/>
                <w:szCs w:val="21"/>
                <w:highlight w:val="none"/>
                <w:lang w:val="en-US" w:eastAsia="zh-CN"/>
              </w:rPr>
              <w:t xml:space="preserve">2-2 </w:t>
            </w:r>
            <w:r>
              <w:rPr>
                <w:rFonts w:hint="eastAsia"/>
                <w:b/>
                <w:bCs/>
                <w:color w:val="000000"/>
                <w:sz w:val="21"/>
                <w:szCs w:val="21"/>
                <w:highlight w:val="none"/>
              </w:rPr>
              <w:t>施工期工艺流程及产污环节图</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 xml:space="preserve">1.2 产排污环节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（1）废气：主要为施工中产生的施工扬尘和汽车尾气。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（2）废水：主要为施工中产生的生产废水和生活污水。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（3）噪声：主要为施工机械和设备产生的噪声。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（4）固废：主要为建筑垃圾和施工人员生活垃圾。</w:t>
            </w:r>
          </w:p>
          <w:p>
            <w:pPr>
              <w:keepNext/>
              <w:keepLines w:val="0"/>
              <w:pageBreakBefore w:val="0"/>
              <w:widowControl w:val="0"/>
              <w:kinsoku/>
              <w:wordWrap/>
              <w:overflowPunct w:val="0"/>
              <w:topLinePunct w:val="0"/>
              <w:autoSpaceDE/>
              <w:autoSpaceDN/>
              <w:bidi w:val="0"/>
              <w:adjustRightInd/>
              <w:snapToGrid w:val="0"/>
              <w:spacing w:before="0" w:after="0" w:line="360" w:lineRule="auto"/>
              <w:ind w:left="0" w:firstLine="0"/>
              <w:textAlignment w:val="auto"/>
              <w:outlineLvl w:val="9"/>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1.2.1 施工废气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000000"/>
                <w:kern w:val="0"/>
                <w:sz w:val="24"/>
                <w:szCs w:val="24"/>
                <w:lang w:val="en-US" w:eastAsia="zh-CN"/>
              </w:rPr>
            </w:pPr>
            <w:r>
              <w:rPr>
                <w:rFonts w:hint="default" w:ascii="Times New Roman" w:hAnsi="Times New Roman" w:eastAsia="宋体" w:cs="Times New Roman"/>
                <w:b w:val="0"/>
                <w:bCs w:val="0"/>
                <w:color w:val="000000"/>
                <w:kern w:val="0"/>
                <w:sz w:val="24"/>
                <w:szCs w:val="24"/>
                <w:lang w:val="en-US" w:eastAsia="zh-CN"/>
              </w:rPr>
              <w:t>（1）</w:t>
            </w:r>
            <w:r>
              <w:rPr>
                <w:rFonts w:hint="eastAsia" w:ascii="宋体" w:hAnsi="宋体" w:eastAsia="宋体" w:cs="宋体"/>
                <w:b w:val="0"/>
                <w:bCs w:val="0"/>
                <w:color w:val="000000"/>
                <w:kern w:val="0"/>
                <w:sz w:val="24"/>
                <w:szCs w:val="24"/>
                <w:lang w:val="en-US" w:eastAsia="zh-CN"/>
              </w:rPr>
              <w:t>扬尘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sz w:val="24"/>
                <w:szCs w:val="24"/>
              </w:rPr>
            </w:pPr>
            <w:r>
              <w:rPr>
                <w:rFonts w:hint="default" w:ascii="Times New Roman" w:hAnsi="Times New Roman" w:eastAsia="宋体" w:cs="Times New Roman"/>
                <w:color w:val="000000"/>
                <w:kern w:val="0"/>
                <w:sz w:val="24"/>
                <w:szCs w:val="24"/>
                <w:lang w:val="en-US" w:eastAsia="zh-CN"/>
              </w:rPr>
              <w:t>施工期扬尘主要来自开挖过程和运输过程，其来源包括主体工程的挖掘、建筑垃圾堆放造成的扬尘；车辆运输中遗撒和道路扬尘；风力作用下产生的扬尘等。其中道路扬尘占到施工扬尘总量的60%。粉尘的排放量大小直接与施工期的管理措施、气象条件都有关系，在天气干燥及风速较大时影响较为明显，该区块及周围近范围大气中总悬浮颗粒TSP及可吸入颗粒物浓度将大大增大。据同类工程调研，距施工场地100m处的TSP日平均浓度为0.10～0.75mg/m</w:t>
            </w:r>
            <w:r>
              <w:rPr>
                <w:rFonts w:hint="default" w:ascii="Times New Roman" w:hAnsi="Times New Roman" w:eastAsia="宋体" w:cs="Times New Roman"/>
                <w:color w:val="000000"/>
                <w:kern w:val="0"/>
                <w:sz w:val="24"/>
                <w:szCs w:val="24"/>
                <w:vertAlign w:val="superscript"/>
                <w:lang w:val="en-US" w:eastAsia="zh-CN"/>
              </w:rPr>
              <w:t>3</w:t>
            </w:r>
            <w:r>
              <w:rPr>
                <w:rFonts w:hint="default" w:ascii="Times New Roman" w:hAnsi="Times New Roman" w:eastAsia="宋体" w:cs="Times New Roman"/>
                <w:color w:val="000000"/>
                <w:kern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sz w:val="24"/>
                <w:szCs w:val="24"/>
                <w:lang w:val="en-US" w:eastAsia="zh-CN"/>
              </w:rPr>
            </w:pPr>
            <w:r>
              <w:rPr>
                <w:rFonts w:hint="eastAsia"/>
                <w:sz w:val="24"/>
                <w:szCs w:val="24"/>
                <w:lang w:val="en-US" w:eastAsia="zh-CN"/>
              </w:rPr>
              <w:t>（2）汽车尾气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建筑材料运输车辆地面停车位周围空间较大，而且每次汽车进出都在不同的时候，因此建筑材料运输车辆产生的汽车尾气集中排放很小，而地面大气扩散较好，故对周围环境影响较小。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1.2.2 施工废水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rPr>
              <w:t>本项目施工期主要为施工废水以及施工人员生活污水。</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（1）施工废水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rPr>
              <w:t>施工过程中的建筑废水主要来源于泥浆废水、运输车辆和施工机械冲洗废水以及混凝土养护废水，其主要污染物为SS。</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rPr>
              <w:t>施工废水经简易处理后回用于清洗车辆、地面洒水等作业，不外排。</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（2）施工期生活污水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rPr>
              <w:t>施工期</w:t>
            </w:r>
            <w:r>
              <w:rPr>
                <w:rFonts w:hint="eastAsia" w:ascii="Times New Roman" w:hAnsi="Times New Roman" w:eastAsia="宋体" w:cs="Times New Roman"/>
                <w:color w:val="000000"/>
                <w:kern w:val="0"/>
                <w:sz w:val="24"/>
                <w:szCs w:val="24"/>
                <w:lang w:val="en-US" w:eastAsia="zh-CN"/>
              </w:rPr>
              <w:t>生活污水排入化粪池中</w:t>
            </w:r>
            <w:r>
              <w:rPr>
                <w:rFonts w:hint="default" w:ascii="Times New Roman" w:hAnsi="Times New Roman" w:eastAsia="宋体" w:cs="Times New Roman"/>
                <w:color w:val="000000"/>
                <w:kern w:val="0"/>
                <w:sz w:val="24"/>
                <w:szCs w:val="24"/>
                <w:lang w:val="en-US" w:eastAsia="zh-CN"/>
              </w:rPr>
              <w:t>，</w:t>
            </w:r>
            <w:r>
              <w:rPr>
                <w:rFonts w:hint="eastAsia" w:ascii="Times New Roman" w:hAnsi="Times New Roman" w:eastAsia="宋体" w:cs="Times New Roman"/>
                <w:color w:val="000000"/>
                <w:kern w:val="0"/>
                <w:sz w:val="24"/>
                <w:szCs w:val="24"/>
                <w:lang w:val="en-US" w:eastAsia="zh-CN"/>
              </w:rPr>
              <w:t>由吸污车拉运至污水处理厂处理</w:t>
            </w:r>
            <w:r>
              <w:rPr>
                <w:rFonts w:hint="default" w:ascii="Times New Roman" w:hAnsi="Times New Roman" w:eastAsia="宋体" w:cs="Times New Roman"/>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bCs/>
                <w:sz w:val="24"/>
                <w:szCs w:val="24"/>
                <w:lang w:val="en-US" w:eastAsia="zh-CN"/>
              </w:rPr>
            </w:pPr>
            <w:r>
              <w:rPr>
                <w:rFonts w:hint="eastAsia"/>
                <w:b/>
                <w:bCs/>
                <w:sz w:val="24"/>
                <w:szCs w:val="24"/>
                <w:lang w:val="en-US" w:eastAsia="zh-CN"/>
              </w:rPr>
              <w:t>1.2.3 施工期噪声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rPr>
              <w:t>本项目施工期噪声源主要是各类机械设备和运输车辆噪声。施工场地噪声主要是施工机械设备噪声、物料装卸碰撞噪声、施工人员的活动噪声和物料运输车辆产生的噪声。根据类比调查施工期主要噪声设备为：静压打桩机：82-95dB，振捣棒：85-95dB，混凝土运输车：75-80dB，锯机：83-92dB。打桩机、振捣棒、混凝土运输车、锯机等机械产生的噪声传到施工场界的值将会超过《建筑施工场界环境噪声排放标准》(GB12523-2011)限值标准，对其周边会产生一定的影响。因此，项目施工过程应严格执行《建筑施工场界环境噪声排放标准》(GB12523-2011)，同时采取适当的防护措施使其环境的影响减至最低水平。</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1.2.4 施工期固体废物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施工期过程中产生的建筑垃圾，主要包括砂石、石块、碎砖瓦、废木料、废金属、废钢筋等杂物，包装袋、散落的砂浆和混凝土、碎砖和碎混凝土块、搬运过程中散落的黄沙、石子和块石等。产生的建筑垃圾在施工场地指定地点储存，并采取洒水、设置围挡等保护措施，待项目运行后进行处置。</w:t>
            </w:r>
          </w:p>
          <w:p>
            <w:pPr>
              <w:keepNext w:val="0"/>
              <w:keepLines w:val="0"/>
              <w:pageBreakBefore w:val="0"/>
              <w:widowControl w:val="0"/>
              <w:kinsoku/>
              <w:wordWrap/>
              <w:overflowPunct/>
              <w:topLinePunct w:val="0"/>
              <w:autoSpaceDE/>
              <w:autoSpaceDN/>
              <w:bidi w:val="0"/>
              <w:adjustRightInd w:val="0"/>
              <w:snapToGrid w:val="0"/>
              <w:spacing w:line="360" w:lineRule="auto"/>
              <w:ind w:firstLine="436" w:firstLineChars="200"/>
              <w:jc w:val="both"/>
              <w:textAlignment w:val="auto"/>
              <w:outlineLvl w:val="9"/>
              <w:rPr>
                <w:rFonts w:hint="eastAsia" w:ascii="Times New Roman" w:hAnsi="Times New Roman" w:cs="Times New Roman"/>
                <w:bCs/>
                <w:sz w:val="24"/>
                <w:szCs w:val="24"/>
                <w:lang w:val="en-US" w:eastAsia="zh-CN"/>
              </w:rPr>
            </w:pPr>
            <w:r>
              <w:rPr>
                <w:rFonts w:hint="eastAsia" w:ascii="宋体" w:hAnsi="宋体" w:eastAsia="宋体" w:cs="宋体"/>
                <w:color w:val="000000"/>
                <w:spacing w:val="-11"/>
                <w:kern w:val="0"/>
                <w:sz w:val="24"/>
                <w:szCs w:val="24"/>
                <w:lang w:val="en-US" w:eastAsia="zh-CN"/>
              </w:rPr>
              <w:t>施工期施工人员会产生一定量的生活垃圾，统一收集后由环卫部门统一清运。</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2 运营期</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2.1 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本项目运营期工艺流程图及产排污环节见下图</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object>
                <v:shape id="_x0000_i1027" o:spt="75" type="#_x0000_t75" style="height:181.05pt;width:395.8pt;" o:ole="t" filled="f" stroked="f" coordsize="21600,21600">
                  <v:path/>
                  <v:fill on="f" focussize="0,0"/>
                  <v:stroke on="f"/>
                  <v:imagedata r:id="rId15" embosscolor="#FFFFFF" o:title=""/>
                  <o:lock v:ext="edit" aspectratio="t"/>
                  <w10:wrap type="none"/>
                  <w10:anchorlock/>
                </v:shape>
                <o:OLEObject Type="Embed" ProgID="Visio.Drawing.15" ShapeID="_x0000_i1027" DrawAspect="Content" ObjectID="_1468075727" r:id="rId1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Cs/>
                <w:sz w:val="24"/>
                <w:szCs w:val="24"/>
                <w:highlight w:val="yellow"/>
                <w:lang w:val="en-US" w:eastAsia="zh-CN"/>
              </w:rPr>
            </w:pPr>
            <w:r>
              <w:rPr>
                <w:rFonts w:hint="eastAsia" w:ascii="Times New Roman" w:hAnsi="Times New Roman" w:cs="Times New Roman"/>
                <w:b/>
                <w:bCs w:val="0"/>
                <w:sz w:val="21"/>
                <w:szCs w:val="21"/>
                <w:highlight w:val="none"/>
                <w:lang w:val="en-US" w:eastAsia="zh-CN"/>
              </w:rPr>
              <w:t>图2-3 运营期工艺流程及产排污环节图</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（1）</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工艺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城镇建筑垃圾由建筑垃圾专用运输车运至暂存场，经暂存场入口的地磅称重、记录后进入垃圾暂存场，严格控制进入暂存场的最大建筑垃圾粒径，在现场人员的指挥下按</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作业顺序进行倾倒、推平、压实、覆土、喷水降尘，垃圾运输车倾倒完毕后出场。垃圾堆料区的</w:t>
            </w:r>
            <w:r>
              <w:rPr>
                <w:rFonts w:hint="eastAsia" w:ascii="Times New Roman" w:hAnsi="Times New Roman" w:cs="Times New Roman"/>
                <w:bCs/>
                <w:sz w:val="24"/>
                <w:szCs w:val="24"/>
                <w:vertAlign w:val="baseline"/>
                <w:lang w:val="en-US" w:eastAsia="zh-CN"/>
              </w:rPr>
              <w:t>雨水渗水经收集</w:t>
            </w:r>
            <w:r>
              <w:rPr>
                <w:rFonts w:hint="eastAsia" w:cs="Times New Roman"/>
                <w:bCs/>
                <w:sz w:val="24"/>
                <w:szCs w:val="24"/>
                <w:vertAlign w:val="baseline"/>
                <w:lang w:val="en-US" w:eastAsia="zh-CN"/>
              </w:rPr>
              <w:t>排入沉淀池沉淀后，排入雨水渗水暂存池，与化粪池污水一起由</w:t>
            </w:r>
            <w:r>
              <w:rPr>
                <w:rFonts w:hint="eastAsia" w:ascii="Times New Roman" w:hAnsi="Times New Roman" w:cs="Times New Roman"/>
                <w:bCs/>
                <w:sz w:val="24"/>
                <w:szCs w:val="24"/>
                <w:highlight w:val="none"/>
                <w:vertAlign w:val="baseline"/>
                <w:lang w:val="en-US" w:eastAsia="zh-CN"/>
              </w:rPr>
              <w:t>吸污车拉运至</w:t>
            </w:r>
            <w:r>
              <w:rPr>
                <w:rFonts w:hint="eastAsia" w:cs="Times New Roman"/>
                <w:bCs/>
                <w:sz w:val="24"/>
                <w:szCs w:val="24"/>
                <w:highlight w:val="none"/>
                <w:vertAlign w:val="baseline"/>
                <w:lang w:val="en-US" w:eastAsia="zh-CN"/>
              </w:rPr>
              <w:t>七台河市第二</w:t>
            </w:r>
            <w:r>
              <w:rPr>
                <w:rFonts w:hint="eastAsia" w:ascii="Times New Roman" w:hAnsi="Times New Roman" w:cs="Times New Roman"/>
                <w:bCs/>
                <w:sz w:val="24"/>
                <w:szCs w:val="24"/>
                <w:highlight w:val="none"/>
                <w:vertAlign w:val="baseline"/>
                <w:lang w:val="en-US" w:eastAsia="zh-CN"/>
              </w:rPr>
              <w:t>污水处理厂处理</w:t>
            </w:r>
            <w:r>
              <w:rPr>
                <w:rFonts w:hint="eastAsia" w:cs="Times New Roman"/>
                <w:bCs/>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（2）</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作业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垃圾卫生</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是专业性很强的作业过程，除采用通用机械完成挖土、运土、铺土、推土、碾压和夯实等一般性土方工程作业外，还需根据垃圾的组成、强度及外形等特性以及垃圾场处理规模等因素选用一些专用机械、机具，以确保暂存场在运行过程中能够达到全天候运行的目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highlight w:val="yellow"/>
                <w:lang w:val="en-US" w:eastAsia="zh-CN"/>
              </w:rPr>
            </w:pPr>
            <w:r>
              <w:rPr>
                <w:rFonts w:hint="eastAsia" w:ascii="Times New Roman" w:hAnsi="Times New Roman" w:cs="Times New Roman"/>
                <w:bCs/>
                <w:sz w:val="24"/>
                <w:szCs w:val="24"/>
                <w:highlight w:val="none"/>
                <w:lang w:val="en-US" w:eastAsia="zh-CN"/>
              </w:rPr>
              <w:t>堆料作业区划分为若干相对独立的作业区，然后按顺序逐区进行“单元式”</w:t>
            </w:r>
            <w:r>
              <w:rPr>
                <w:rFonts w:hint="eastAsia" w:cs="Times New Roman"/>
                <w:bCs/>
                <w:sz w:val="24"/>
                <w:szCs w:val="24"/>
                <w:highlight w:val="none"/>
                <w:lang w:val="en-US" w:eastAsia="zh-CN"/>
              </w:rPr>
              <w:t>堆存</w:t>
            </w:r>
            <w:r>
              <w:rPr>
                <w:rFonts w:hint="eastAsia" w:ascii="Times New Roman" w:hAnsi="Times New Roman" w:cs="Times New Roman"/>
                <w:bCs/>
                <w:sz w:val="24"/>
                <w:szCs w:val="24"/>
                <w:highlight w:val="none"/>
                <w:lang w:val="en-US" w:eastAsia="zh-CN"/>
              </w:rPr>
              <w:t>作业，单元数量和大小在设计过程中视具体情况而定，一般以一日一层作业量为一单元，每日一覆盖。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垃圾车进入堆料区内卸车，卸下的垃圾用推土机将其摊匀、压实，为防止扬尘，在摊匀、压实过程中根据场地垃圾干燥程度，为减少扬尘，将清水回喷作业面。当堆高4.8米左右时，可在顶上覆盖土压实，如此重复作业，直至封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（3）封场工程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建筑垃圾</w:t>
            </w:r>
            <w:r>
              <w:rPr>
                <w:rFonts w:hint="eastAsia" w:cs="Times New Roman"/>
                <w:bCs/>
                <w:sz w:val="24"/>
                <w:szCs w:val="24"/>
                <w:lang w:val="en-US" w:eastAsia="zh-CN"/>
              </w:rPr>
              <w:t>堆存</w:t>
            </w:r>
            <w:r>
              <w:rPr>
                <w:rFonts w:hint="eastAsia" w:ascii="Times New Roman" w:hAnsi="Times New Roman" w:cs="Times New Roman"/>
                <w:bCs/>
                <w:sz w:val="24"/>
                <w:szCs w:val="24"/>
                <w:lang w:val="en-US" w:eastAsia="zh-CN"/>
              </w:rPr>
              <w:t>至设计高度，应进行封场覆盖。暂存场封场覆盖防渗系统设计如下：在铺1.0mm厚土工膜（两布一膜）作为防渗层，其上在铺300g/m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lang w:val="en-US" w:eastAsia="zh-CN"/>
              </w:rPr>
              <w:t>土工滤网，再铺一层土工复合排水网作排水层。</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bCs/>
                <w:sz w:val="24"/>
                <w:szCs w:val="24"/>
                <w:lang w:val="en-US" w:eastAsia="zh-CN"/>
              </w:rPr>
            </w:pPr>
            <w:r>
              <w:rPr>
                <w:rFonts w:hint="eastAsia" w:ascii="Times New Roman" w:hAnsi="Times New Roman" w:cs="Times New Roman"/>
                <w:b/>
                <w:bCs w:val="0"/>
                <w:sz w:val="24"/>
                <w:szCs w:val="24"/>
                <w:lang w:val="en-US" w:eastAsia="zh-CN"/>
              </w:rPr>
              <w:t>2.2 产排污环节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sz w:val="24"/>
                <w:szCs w:val="24"/>
                <w:lang w:val="en-US" w:eastAsia="zh-CN"/>
              </w:rPr>
            </w:pPr>
            <w:r>
              <w:rPr>
                <w:rFonts w:hint="eastAsia"/>
                <w:sz w:val="24"/>
                <w:szCs w:val="24"/>
                <w:lang w:val="en-US" w:eastAsia="zh-CN"/>
              </w:rPr>
              <w:t>本项目营运期污染工序与污染因子见下表。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表2-</w:t>
            </w:r>
            <w:r>
              <w:rPr>
                <w:rFonts w:hint="eastAsia" w:ascii="Times New Roman" w:hAnsi="Times New Roman" w:cs="Times New Roman"/>
                <w:b/>
                <w:bCs/>
                <w:sz w:val="21"/>
                <w:szCs w:val="21"/>
                <w:lang w:val="en-US" w:eastAsia="zh-CN"/>
              </w:rPr>
              <w:t>12</w:t>
            </w:r>
            <w:r>
              <w:rPr>
                <w:rFonts w:hint="default" w:ascii="Times New Roman" w:hAnsi="Times New Roman" w:cs="Times New Roman"/>
                <w:b/>
                <w:bCs/>
                <w:sz w:val="21"/>
                <w:szCs w:val="21"/>
                <w:lang w:val="en-US" w:eastAsia="zh-CN"/>
              </w:rPr>
              <w:t xml:space="preserve">     项目产排污情况汇总表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2973"/>
              <w:gridCol w:w="3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8"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污染类别</w:t>
                  </w:r>
                </w:p>
              </w:tc>
              <w:tc>
                <w:tcPr>
                  <w:tcW w:w="2973"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污染源/污染工序</w:t>
                  </w:r>
                </w:p>
              </w:tc>
              <w:tc>
                <w:tcPr>
                  <w:tcW w:w="3731"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8" w:type="dxa"/>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废气</w:t>
                  </w:r>
                </w:p>
              </w:tc>
              <w:tc>
                <w:tcPr>
                  <w:tcW w:w="2973"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堆料、运输、堆存</w:t>
                  </w:r>
                </w:p>
              </w:tc>
              <w:tc>
                <w:tcPr>
                  <w:tcW w:w="3731"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8"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废水</w:t>
                  </w:r>
                </w:p>
              </w:tc>
              <w:tc>
                <w:tcPr>
                  <w:tcW w:w="297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员工生活、冲洗、雨水渗水</w:t>
                  </w:r>
                </w:p>
              </w:tc>
              <w:tc>
                <w:tcPr>
                  <w:tcW w:w="3731"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生活污水、冲洗废水、雨水渗水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238"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噪声</w:t>
                  </w:r>
                </w:p>
              </w:tc>
              <w:tc>
                <w:tcPr>
                  <w:tcW w:w="297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运输车辆、装载机、推土机、挖掘机</w:t>
                  </w:r>
                </w:p>
              </w:tc>
              <w:tc>
                <w:tcPr>
                  <w:tcW w:w="3731"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238" w:type="dxa"/>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固废</w:t>
                  </w:r>
                </w:p>
              </w:tc>
              <w:tc>
                <w:tcPr>
                  <w:tcW w:w="2973"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员工生活、化粪池、雨水渗水收集池与沉淀池</w:t>
                  </w:r>
                </w:p>
              </w:tc>
              <w:tc>
                <w:tcPr>
                  <w:tcW w:w="3731"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生活垃圾、污泥</w:t>
                  </w:r>
                </w:p>
              </w:tc>
            </w:tr>
          </w:tbl>
          <w:p>
            <w:pPr>
              <w:adjustRightInd w:val="0"/>
              <w:snapToGrid w:val="0"/>
              <w:outlineLvl w:val="9"/>
              <w:rPr>
                <w:rFonts w:ascii="Times New Roman" w:hAnsi="Times New Roman"/>
                <w:bCs/>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18"/>
              <w:adjustRightInd w:val="0"/>
              <w:snapToGrid w:val="0"/>
              <w:spacing w:before="0" w:beforeAutospacing="0" w:after="0" w:afterAutospacing="0"/>
              <w:jc w:val="center"/>
              <w:rPr>
                <w:rFonts w:ascii="Times New Roman" w:hAnsi="Times New Roman" w:cs="宋体"/>
                <w:sz w:val="24"/>
                <w:szCs w:val="21"/>
              </w:rPr>
            </w:pPr>
            <w:r>
              <w:rPr>
                <w:rFonts w:hint="eastAsia" w:ascii="Times New Roman" w:hAnsi="Times New Roman" w:cs="宋体"/>
                <w:bCs/>
                <w:kern w:val="2"/>
                <w:sz w:val="24"/>
                <w:szCs w:val="21"/>
              </w:rPr>
              <w:t>与项目有关的原有环境污染问题</w:t>
            </w:r>
          </w:p>
        </w:tc>
        <w:tc>
          <w:tcPr>
            <w:tcW w:w="8161" w:type="dxa"/>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bCs/>
                <w:sz w:val="24"/>
                <w:szCs w:val="21"/>
              </w:rPr>
            </w:pPr>
            <w:r>
              <w:rPr>
                <w:rFonts w:hint="eastAsia" w:ascii="Times New Roman" w:hAnsi="Times New Roman" w:cs="Times New Roman"/>
                <w:bCs/>
                <w:sz w:val="24"/>
                <w:szCs w:val="24"/>
                <w:lang w:val="en-US" w:eastAsia="zh-CN"/>
              </w:rPr>
              <w:t>本项目场地为原有废弃学校校址，无原有环境污染问题。</w:t>
            </w:r>
          </w:p>
        </w:tc>
      </w:tr>
    </w:tbl>
    <w:p>
      <w:pPr>
        <w:pStyle w:val="18"/>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jc w:val="center"/>
        <w:outlineLvl w:val="0"/>
        <w:rPr>
          <w:rFonts w:ascii="黑体" w:hAnsi="黑体" w:eastAsia="黑体"/>
          <w:snapToGrid w:val="0"/>
          <w:sz w:val="30"/>
          <w:szCs w:val="30"/>
        </w:rPr>
      </w:pPr>
      <w:bookmarkStart w:id="8" w:name="_Toc2395"/>
      <w:r>
        <w:rPr>
          <w:rFonts w:hint="eastAsia" w:ascii="黑体" w:hAnsi="黑体" w:eastAsia="黑体"/>
          <w:snapToGrid w:val="0"/>
          <w:sz w:val="30"/>
          <w:szCs w:val="30"/>
        </w:rPr>
        <w:t>三、区域环境质量现状、环境保护目标及评价标准</w:t>
      </w:r>
      <w:bookmarkEnd w:id="8"/>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rFonts w:hint="eastAsia" w:ascii="Times New Roman" w:hAnsi="Times New Roman" w:cs="宋体"/>
                <w:kern w:val="0"/>
                <w:sz w:val="24"/>
                <w:szCs w:val="21"/>
              </w:rPr>
            </w:pPr>
            <w:r>
              <w:rPr>
                <w:rFonts w:hint="eastAsia" w:ascii="Times New Roman" w:hAnsi="Times New Roman" w:cs="宋体"/>
                <w:kern w:val="0"/>
                <w:sz w:val="24"/>
                <w:szCs w:val="21"/>
              </w:rPr>
              <w:t>区域</w:t>
            </w:r>
          </w:p>
          <w:p>
            <w:pPr>
              <w:adjustRightInd w:val="0"/>
              <w:snapToGrid w:val="0"/>
              <w:jc w:val="center"/>
              <w:rPr>
                <w:rFonts w:hint="eastAsia" w:ascii="Times New Roman" w:hAnsi="Times New Roman" w:cs="宋体"/>
                <w:kern w:val="0"/>
                <w:sz w:val="24"/>
                <w:szCs w:val="21"/>
              </w:rPr>
            </w:pPr>
            <w:r>
              <w:rPr>
                <w:rFonts w:hint="eastAsia" w:ascii="Times New Roman" w:hAnsi="Times New Roman" w:cs="宋体"/>
                <w:kern w:val="0"/>
                <w:sz w:val="24"/>
                <w:szCs w:val="21"/>
              </w:rPr>
              <w:t>环境</w:t>
            </w:r>
          </w:p>
          <w:p>
            <w:pPr>
              <w:adjustRightInd w:val="0"/>
              <w:snapToGrid w:val="0"/>
              <w:jc w:val="center"/>
              <w:rPr>
                <w:rFonts w:hint="eastAsia" w:ascii="Times New Roman" w:hAnsi="Times New Roman" w:cs="宋体"/>
                <w:kern w:val="0"/>
                <w:sz w:val="24"/>
                <w:szCs w:val="21"/>
              </w:rPr>
            </w:pPr>
            <w:r>
              <w:rPr>
                <w:rFonts w:hint="eastAsia" w:ascii="Times New Roman" w:hAnsi="Times New Roman" w:cs="宋体"/>
                <w:kern w:val="0"/>
                <w:sz w:val="24"/>
                <w:szCs w:val="21"/>
              </w:rPr>
              <w:t>质量</w:t>
            </w:r>
          </w:p>
          <w:p>
            <w:pPr>
              <w:adjustRightInd w:val="0"/>
              <w:snapToGrid w:val="0"/>
              <w:jc w:val="center"/>
              <w:rPr>
                <w:rFonts w:ascii="Times New Roman" w:hAnsi="Times New Roman" w:cs="宋体"/>
                <w:kern w:val="0"/>
                <w:sz w:val="24"/>
                <w:szCs w:val="21"/>
              </w:rPr>
            </w:pPr>
            <w:r>
              <w:rPr>
                <w:rFonts w:hint="eastAsia" w:ascii="Times New Roman" w:hAnsi="Times New Roman" w:cs="宋体"/>
                <w:kern w:val="0"/>
                <w:sz w:val="24"/>
                <w:szCs w:val="21"/>
              </w:rPr>
              <w:t>现状</w:t>
            </w:r>
          </w:p>
        </w:tc>
        <w:tc>
          <w:tcPr>
            <w:tcW w:w="8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b/>
                <w:bCs/>
                <w:kern w:val="0"/>
                <w:sz w:val="24"/>
                <w:szCs w:val="24"/>
                <w:lang w:val="en-US" w:eastAsia="zh-CN"/>
              </w:rPr>
              <w:t>1 大气环境质量现状</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b/>
                <w:bCs/>
                <w:kern w:val="0"/>
                <w:sz w:val="24"/>
                <w:szCs w:val="24"/>
                <w:lang w:val="en-US" w:eastAsia="zh-CN"/>
              </w:rPr>
            </w:pPr>
            <w:r>
              <w:rPr>
                <w:color w:val="000000"/>
                <w:sz w:val="24"/>
              </w:rPr>
              <w:t>根据《20</w:t>
            </w:r>
            <w:r>
              <w:rPr>
                <w:rFonts w:hint="eastAsia"/>
                <w:color w:val="000000"/>
                <w:sz w:val="24"/>
              </w:rPr>
              <w:t>2</w:t>
            </w:r>
            <w:r>
              <w:rPr>
                <w:color w:val="000000"/>
                <w:sz w:val="24"/>
              </w:rPr>
              <w:t>2年黑龙江省生态环境状况公报》，</w:t>
            </w:r>
            <w:r>
              <w:rPr>
                <w:rFonts w:hint="eastAsia"/>
                <w:color w:val="000000"/>
                <w:sz w:val="24"/>
              </w:rPr>
              <w:t>202</w:t>
            </w:r>
            <w:r>
              <w:rPr>
                <w:color w:val="000000"/>
                <w:sz w:val="24"/>
              </w:rPr>
              <w:t>2年全省13个地级及以上城市有11个环境空气质量达标，哈尔滨</w:t>
            </w:r>
            <w:r>
              <w:rPr>
                <w:rFonts w:hint="eastAsia"/>
                <w:color w:val="000000"/>
                <w:sz w:val="24"/>
              </w:rPr>
              <w:t>、</w:t>
            </w:r>
            <w:r>
              <w:rPr>
                <w:color w:val="000000"/>
                <w:sz w:val="24"/>
              </w:rPr>
              <w:t>绥化未达标</w:t>
            </w:r>
            <w:r>
              <w:rPr>
                <w:rFonts w:hint="eastAsia"/>
                <w:color w:val="000000"/>
                <w:sz w:val="24"/>
              </w:rPr>
              <w:t>。</w:t>
            </w:r>
            <w:r>
              <w:rPr>
                <w:color w:val="000000"/>
                <w:sz w:val="24"/>
              </w:rPr>
              <w:t>本项目位</w:t>
            </w:r>
            <w:r>
              <w:rPr>
                <w:sz w:val="24"/>
              </w:rPr>
              <w:t>于</w:t>
            </w:r>
            <w:r>
              <w:rPr>
                <w:rFonts w:hint="eastAsia"/>
                <w:sz w:val="24"/>
              </w:rPr>
              <w:t>黑龙江省</w:t>
            </w:r>
            <w:r>
              <w:rPr>
                <w:rFonts w:hint="eastAsia"/>
                <w:sz w:val="24"/>
                <w:lang w:val="en-US" w:eastAsia="zh-CN"/>
              </w:rPr>
              <w:t>七台河市老三中校址处</w:t>
            </w:r>
            <w:r>
              <w:rPr>
                <w:sz w:val="24"/>
              </w:rPr>
              <w:t>，因此本项目所在区域</w:t>
            </w:r>
            <w:r>
              <w:rPr>
                <w:rFonts w:hint="eastAsia"/>
                <w:sz w:val="24"/>
              </w:rPr>
              <w:t>属于</w:t>
            </w:r>
            <w:r>
              <w:rPr>
                <w:sz w:val="24"/>
              </w:rPr>
              <w:t>环境空气质量达标</w:t>
            </w:r>
            <w:r>
              <w:rPr>
                <w:rFonts w:hint="eastAsia"/>
                <w:sz w:val="24"/>
              </w:rPr>
              <w:t>区</w:t>
            </w:r>
            <w:r>
              <w:rPr>
                <w:sz w:val="24"/>
              </w:rPr>
              <w:t>。</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b/>
                <w:bCs/>
                <w:kern w:val="0"/>
                <w:sz w:val="24"/>
                <w:szCs w:val="24"/>
                <w:lang w:val="en-US" w:eastAsia="zh-CN"/>
              </w:rPr>
              <w:t>1.1 基本污染物环境质量现状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宋体"/>
                <w:sz w:val="24"/>
                <w:szCs w:val="24"/>
              </w:rPr>
            </w:pPr>
            <w:r>
              <w:rPr>
                <w:rFonts w:hint="eastAsia" w:ascii="Times New Roman" w:hAnsi="Times New Roman"/>
                <w:sz w:val="24"/>
              </w:rPr>
              <w:t>本项目采用202</w:t>
            </w:r>
            <w:r>
              <w:rPr>
                <w:rFonts w:ascii="Times New Roman" w:hAnsi="Times New Roman"/>
                <w:sz w:val="24"/>
              </w:rPr>
              <w:t>2</w:t>
            </w:r>
            <w:r>
              <w:rPr>
                <w:rFonts w:hint="eastAsia" w:ascii="Times New Roman" w:hAnsi="Times New Roman"/>
                <w:sz w:val="24"/>
              </w:rPr>
              <w:t>年七台河市连续365天环境空气质量监测数据进行分析，按照HJ663中各评价项目的年评价指标进行区域环境空气质量达标情况判断。具体见表3-1。</w:t>
            </w:r>
            <w:r>
              <w:rPr>
                <w:rFonts w:ascii="Times New Roman" w:hAnsi="Times New Roman" w:eastAsia="宋体" w:cs="宋体"/>
                <w:sz w:val="24"/>
                <w:szCs w:val="24"/>
              </w:rPr>
              <w:t xml:space="preserve"> </w:t>
            </w:r>
          </w:p>
          <w:p>
            <w:pPr>
              <w:pStyle w:val="48"/>
              <w:keepNext w:val="0"/>
              <w:keepLines w:val="0"/>
              <w:pageBreakBefore w:val="0"/>
              <w:widowControl w:val="0"/>
              <w:kinsoku/>
              <w:wordWrap/>
              <w:overflowPunct/>
              <w:topLinePunct w:val="0"/>
              <w:autoSpaceDE/>
              <w:autoSpaceDN/>
              <w:bidi w:val="0"/>
              <w:adjustRightInd/>
              <w:snapToGrid/>
              <w:spacing w:before="0" w:after="0" w:line="240" w:lineRule="auto"/>
              <w:ind w:firstLine="0"/>
              <w:textAlignment w:val="auto"/>
              <w:rPr>
                <w:color w:val="0000FF"/>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1</w:t>
            </w:r>
            <w:r>
              <w:rPr>
                <w:rFonts w:hint="default" w:ascii="Times New Roman" w:hAnsi="Times New Roman" w:cs="Times New Roman"/>
                <w:color w:val="auto"/>
              </w:rPr>
              <w:t xml:space="preserve"> </w:t>
            </w:r>
            <w:r>
              <w:rPr>
                <w:rFonts w:hint="eastAsia" w:ascii="Times New Roman" w:hAnsi="Times New Roman" w:cs="Times New Roman"/>
                <w:color w:val="auto"/>
                <w:lang w:val="en-US" w:eastAsia="zh-CN"/>
              </w:rPr>
              <w:t>七台河市环境空气质量统计</w:t>
            </w:r>
            <w:r>
              <w:rPr>
                <w:rFonts w:hint="default" w:ascii="Times New Roman" w:hAnsi="Times New Roman" w:cs="Times New Roman"/>
                <w:color w:val="auto"/>
              </w:rPr>
              <w:t>表</w:t>
            </w:r>
          </w:p>
          <w:tbl>
            <w:tblPr>
              <w:tblStyle w:val="2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1"/>
              <w:gridCol w:w="2597"/>
              <w:gridCol w:w="1176"/>
              <w:gridCol w:w="1109"/>
              <w:gridCol w:w="1109"/>
              <w:gridCol w:w="1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tcBorders>
                    <w:top w:val="single" w:color="auto" w:sz="12" w:space="0"/>
                    <w:bottom w:val="single" w:color="auto" w:sz="12" w:space="0"/>
                    <w:right w:val="single" w:color="auto" w:sz="4" w:space="0"/>
                  </w:tcBorders>
                  <w:vAlign w:val="center"/>
                </w:tcPr>
                <w:p>
                  <w:pPr>
                    <w:pStyle w:val="49"/>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val="en-US" w:eastAsia="zh-CN"/>
                    </w:rPr>
                    <w:t>污染物</w:t>
                  </w:r>
                </w:p>
              </w:tc>
              <w:tc>
                <w:tcPr>
                  <w:tcW w:w="2597" w:type="dxa"/>
                  <w:tcBorders>
                    <w:top w:val="single" w:color="auto" w:sz="12" w:space="0"/>
                    <w:left w:val="single" w:color="auto" w:sz="4" w:space="0"/>
                    <w:bottom w:val="single" w:color="auto" w:sz="12" w:space="0"/>
                    <w:right w:val="single" w:color="auto" w:sz="4" w:space="0"/>
                  </w:tcBorders>
                  <w:vAlign w:val="center"/>
                </w:tcPr>
                <w:p>
                  <w:pPr>
                    <w:pStyle w:val="4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年评价指标</w:t>
                  </w:r>
                </w:p>
              </w:tc>
              <w:tc>
                <w:tcPr>
                  <w:tcW w:w="1176" w:type="dxa"/>
                  <w:tcBorders>
                    <w:top w:val="single" w:color="auto" w:sz="12" w:space="0"/>
                    <w:left w:val="single" w:color="auto" w:sz="4" w:space="0"/>
                    <w:bottom w:val="single" w:color="auto" w:sz="12" w:space="0"/>
                    <w:right w:val="single" w:color="auto" w:sz="4" w:space="0"/>
                  </w:tcBorders>
                  <w:vAlign w:val="center"/>
                </w:tcPr>
                <w:p>
                  <w:pPr>
                    <w:pStyle w:val="4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现状浓度μg/m</w:t>
                  </w:r>
                  <w:r>
                    <w:rPr>
                      <w:rFonts w:hint="default" w:ascii="Times New Roman" w:hAnsi="Times New Roman" w:cs="Times New Roman"/>
                      <w:b/>
                      <w:bCs/>
                      <w:color w:val="auto"/>
                      <w:sz w:val="21"/>
                      <w:szCs w:val="21"/>
                      <w:vertAlign w:val="superscript"/>
                    </w:rPr>
                    <w:t>3</w:t>
                  </w:r>
                </w:p>
              </w:tc>
              <w:tc>
                <w:tcPr>
                  <w:tcW w:w="1109" w:type="dxa"/>
                  <w:tcBorders>
                    <w:top w:val="single" w:color="auto" w:sz="12" w:space="0"/>
                    <w:left w:val="single" w:color="auto" w:sz="4" w:space="0"/>
                    <w:bottom w:val="single" w:color="auto" w:sz="12" w:space="0"/>
                    <w:right w:val="single" w:color="auto" w:sz="4" w:space="0"/>
                  </w:tcBorders>
                  <w:vAlign w:val="center"/>
                </w:tcPr>
                <w:p>
                  <w:pPr>
                    <w:pStyle w:val="4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评价标准μg/m</w:t>
                  </w:r>
                  <w:r>
                    <w:rPr>
                      <w:rFonts w:hint="default" w:ascii="Times New Roman" w:hAnsi="Times New Roman" w:cs="Times New Roman"/>
                      <w:b/>
                      <w:bCs/>
                      <w:color w:val="auto"/>
                      <w:sz w:val="21"/>
                      <w:szCs w:val="21"/>
                      <w:vertAlign w:val="superscript"/>
                    </w:rPr>
                    <w:t>3</w:t>
                  </w:r>
                </w:p>
              </w:tc>
              <w:tc>
                <w:tcPr>
                  <w:tcW w:w="1109" w:type="dxa"/>
                  <w:tcBorders>
                    <w:top w:val="single" w:color="auto" w:sz="12" w:space="0"/>
                    <w:left w:val="single" w:color="auto" w:sz="4" w:space="0"/>
                    <w:bottom w:val="single" w:color="auto" w:sz="12" w:space="0"/>
                    <w:right w:val="single" w:color="auto" w:sz="4" w:space="0"/>
                  </w:tcBorders>
                  <w:vAlign w:val="center"/>
                </w:tcPr>
                <w:p>
                  <w:pPr>
                    <w:pStyle w:val="4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占标率/%</w:t>
                  </w:r>
                </w:p>
              </w:tc>
              <w:tc>
                <w:tcPr>
                  <w:tcW w:w="1057" w:type="dxa"/>
                  <w:tcBorders>
                    <w:top w:val="single" w:color="auto" w:sz="12" w:space="0"/>
                    <w:left w:val="single" w:color="auto" w:sz="4" w:space="0"/>
                    <w:bottom w:val="single" w:color="auto" w:sz="12" w:space="0"/>
                  </w:tcBorders>
                  <w:vAlign w:val="center"/>
                </w:tcPr>
                <w:p>
                  <w:pPr>
                    <w:pStyle w:val="4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tcBorders>
                    <w:top w:val="single" w:color="auto" w:sz="12"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2597" w:type="dxa"/>
                  <w:tcBorders>
                    <w:top w:val="single" w:color="auto" w:sz="12"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176" w:type="dxa"/>
                  <w:tcBorders>
                    <w:top w:val="single" w:color="auto" w:sz="12"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3</w:t>
                  </w:r>
                </w:p>
              </w:tc>
              <w:tc>
                <w:tcPr>
                  <w:tcW w:w="1109" w:type="dxa"/>
                  <w:tcBorders>
                    <w:top w:val="single" w:color="auto" w:sz="12"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109" w:type="dxa"/>
                  <w:tcBorders>
                    <w:top w:val="single" w:color="auto" w:sz="12"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21.7</w:t>
                  </w:r>
                </w:p>
              </w:tc>
              <w:tc>
                <w:tcPr>
                  <w:tcW w:w="1057" w:type="dxa"/>
                  <w:tcBorders>
                    <w:top w:val="single" w:color="auto" w:sz="12" w:space="0"/>
                    <w:left w:val="single" w:color="auto" w:sz="4" w:space="0"/>
                    <w:bottom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tcBorders>
                    <w:top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2597"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176"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w:t>
                  </w:r>
                </w:p>
              </w:tc>
              <w:tc>
                <w:tcPr>
                  <w:tcW w:w="1109"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109"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1057" w:type="dxa"/>
                  <w:tcBorders>
                    <w:top w:val="single" w:color="auto" w:sz="4" w:space="0"/>
                    <w:left w:val="single" w:color="auto" w:sz="4" w:space="0"/>
                    <w:bottom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tcBorders>
                    <w:top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2597"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日平均第95百分位数</w:t>
                  </w:r>
                </w:p>
              </w:tc>
              <w:tc>
                <w:tcPr>
                  <w:tcW w:w="1176"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1100</w:t>
                  </w:r>
                </w:p>
              </w:tc>
              <w:tc>
                <w:tcPr>
                  <w:tcW w:w="1109"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4000</w:t>
                  </w:r>
                </w:p>
              </w:tc>
              <w:tc>
                <w:tcPr>
                  <w:tcW w:w="1109"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27.5</w:t>
                  </w:r>
                </w:p>
              </w:tc>
              <w:tc>
                <w:tcPr>
                  <w:tcW w:w="1057" w:type="dxa"/>
                  <w:tcBorders>
                    <w:top w:val="single" w:color="auto" w:sz="4" w:space="0"/>
                    <w:left w:val="single" w:color="auto" w:sz="4" w:space="0"/>
                    <w:bottom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tcBorders>
                    <w:top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2597"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8小时</w:t>
                  </w:r>
                  <w:r>
                    <w:rPr>
                      <w:rFonts w:hint="default" w:ascii="Times New Roman" w:hAnsi="Times New Roman" w:cs="Times New Roman"/>
                      <w:color w:val="auto"/>
                      <w:sz w:val="21"/>
                      <w:szCs w:val="21"/>
                    </w:rPr>
                    <w:t>平均第90百分位数</w:t>
                  </w:r>
                </w:p>
              </w:tc>
              <w:tc>
                <w:tcPr>
                  <w:tcW w:w="1176"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eastAsia" w:cs="Times New Roman"/>
                      <w:color w:val="auto"/>
                      <w:sz w:val="21"/>
                      <w:szCs w:val="21"/>
                      <w:lang w:val="en-US" w:eastAsia="zh-CN"/>
                    </w:rPr>
                    <w:t>4</w:t>
                  </w:r>
                </w:p>
              </w:tc>
              <w:tc>
                <w:tcPr>
                  <w:tcW w:w="1109"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1109"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1057" w:type="dxa"/>
                  <w:tcBorders>
                    <w:top w:val="single" w:color="auto" w:sz="4" w:space="0"/>
                    <w:left w:val="single" w:color="auto" w:sz="4" w:space="0"/>
                    <w:bottom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tcBorders>
                    <w:top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2597"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176"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w:t>
                  </w:r>
                </w:p>
              </w:tc>
              <w:tc>
                <w:tcPr>
                  <w:tcW w:w="1109"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1109" w:type="dxa"/>
                  <w:tcBorders>
                    <w:top w:val="single" w:color="auto" w:sz="4" w:space="0"/>
                    <w:left w:val="single" w:color="auto" w:sz="4" w:space="0"/>
                    <w:bottom w:val="single" w:color="auto" w:sz="4"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68.6</w:t>
                  </w:r>
                </w:p>
              </w:tc>
              <w:tc>
                <w:tcPr>
                  <w:tcW w:w="1057" w:type="dxa"/>
                  <w:tcBorders>
                    <w:top w:val="single" w:color="auto" w:sz="4" w:space="0"/>
                    <w:left w:val="single" w:color="auto" w:sz="4" w:space="0"/>
                    <w:bottom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达</w:t>
                  </w:r>
                  <w:r>
                    <w:rPr>
                      <w:rFonts w:hint="default" w:ascii="Times New Roman" w:hAnsi="Times New Roman" w:cs="Times New Roman"/>
                      <w:color w:val="auto"/>
                      <w:sz w:val="21"/>
                      <w:szCs w:val="21"/>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tcBorders>
                    <w:top w:val="single" w:color="auto" w:sz="4" w:space="0"/>
                    <w:bottom w:val="single" w:color="auto" w:sz="12"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2597" w:type="dxa"/>
                  <w:tcBorders>
                    <w:top w:val="single" w:color="auto" w:sz="4" w:space="0"/>
                    <w:left w:val="single" w:color="auto" w:sz="4" w:space="0"/>
                    <w:bottom w:val="single" w:color="auto" w:sz="12"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176" w:type="dxa"/>
                  <w:tcBorders>
                    <w:top w:val="single" w:color="auto" w:sz="4" w:space="0"/>
                    <w:left w:val="single" w:color="auto" w:sz="4" w:space="0"/>
                    <w:bottom w:val="single" w:color="auto" w:sz="12"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w:t>
                  </w:r>
                </w:p>
              </w:tc>
              <w:tc>
                <w:tcPr>
                  <w:tcW w:w="1109" w:type="dxa"/>
                  <w:tcBorders>
                    <w:top w:val="single" w:color="auto" w:sz="4" w:space="0"/>
                    <w:left w:val="single" w:color="auto" w:sz="4" w:space="0"/>
                    <w:bottom w:val="single" w:color="auto" w:sz="12" w:space="0"/>
                    <w:right w:val="single" w:color="auto" w:sz="4" w:space="0"/>
                    <w:tl2br w:val="nil"/>
                    <w:tr2bl w:val="nil"/>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1109" w:type="dxa"/>
                  <w:tcBorders>
                    <w:top w:val="single" w:color="auto" w:sz="4" w:space="0"/>
                    <w:left w:val="single" w:color="auto" w:sz="4" w:space="0"/>
                    <w:bottom w:val="single" w:color="auto" w:sz="12" w:space="0"/>
                    <w:right w:val="single" w:color="auto" w:sz="4" w:space="0"/>
                    <w:tl2br w:val="nil"/>
                    <w:tr2bl w:val="nil"/>
                  </w:tcBorders>
                  <w:vAlign w:val="center"/>
                </w:tcPr>
                <w:p>
                  <w:pPr>
                    <w:pStyle w:val="4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77.1</w:t>
                  </w:r>
                </w:p>
              </w:tc>
              <w:tc>
                <w:tcPr>
                  <w:tcW w:w="1057" w:type="dxa"/>
                  <w:tcBorders>
                    <w:top w:val="single" w:color="auto" w:sz="4" w:space="0"/>
                    <w:left w:val="single" w:color="auto" w:sz="4" w:space="0"/>
                    <w:bottom w:val="single" w:color="auto" w:sz="12" w:space="0"/>
                    <w:tl2br w:val="nil"/>
                    <w:tr2bl w:val="nil"/>
                  </w:tcBorders>
                  <w:vAlign w:val="center"/>
                </w:tcPr>
                <w:p>
                  <w:pPr>
                    <w:pStyle w:val="4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达</w:t>
                  </w:r>
                  <w:r>
                    <w:rPr>
                      <w:rFonts w:hint="default" w:ascii="Times New Roman" w:hAnsi="Times New Roman" w:cs="Times New Roman"/>
                      <w:color w:val="auto"/>
                      <w:sz w:val="21"/>
                      <w:szCs w:val="21"/>
                    </w:rPr>
                    <w:t>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pPr>
            <w:r>
              <w:rPr>
                <w:rFonts w:hint="default" w:ascii="Times New Roman" w:hAnsi="Times New Roman" w:eastAsia="宋体" w:cs="Times New Roman"/>
                <w:b w:val="0"/>
                <w:bCs/>
                <w:color w:val="auto"/>
                <w:sz w:val="24"/>
                <w:szCs w:val="24"/>
                <w:lang w:eastAsia="zh-CN"/>
              </w:rPr>
              <w:t>由上表可以看出：项目所在区域PM</w:t>
            </w:r>
            <w:r>
              <w:rPr>
                <w:rFonts w:hint="default" w:ascii="Times New Roman" w:hAnsi="Times New Roman" w:eastAsia="宋体" w:cs="Times New Roman"/>
                <w:b w:val="0"/>
                <w:bCs/>
                <w:color w:val="auto"/>
                <w:sz w:val="24"/>
                <w:szCs w:val="24"/>
                <w:vertAlign w:val="subscript"/>
                <w:lang w:eastAsia="zh-CN"/>
              </w:rPr>
              <w:t>10</w:t>
            </w:r>
            <w:r>
              <w:rPr>
                <w:rFonts w:hint="eastAsia" w:ascii="Times New Roman" w:hAnsi="Times New Roman" w:eastAsia="宋体" w:cs="Times New Roman"/>
                <w:b w:val="0"/>
                <w:bCs/>
                <w:color w:val="auto"/>
                <w:sz w:val="24"/>
                <w:szCs w:val="24"/>
                <w:vertAlign w:val="subscript"/>
                <w:lang w:eastAsia="zh-CN"/>
              </w:rPr>
              <w:t>、</w:t>
            </w:r>
            <w:r>
              <w:rPr>
                <w:rFonts w:hint="default" w:ascii="Times New Roman" w:hAnsi="Times New Roman" w:eastAsia="宋体" w:cs="Times New Roman"/>
                <w:b w:val="0"/>
                <w:bCs/>
                <w:color w:val="auto"/>
                <w:sz w:val="24"/>
                <w:szCs w:val="24"/>
                <w:lang w:eastAsia="zh-CN"/>
              </w:rPr>
              <w:t>PM</w:t>
            </w:r>
            <w:r>
              <w:rPr>
                <w:rFonts w:hint="default" w:ascii="Times New Roman" w:hAnsi="Times New Roman" w:eastAsia="宋体" w:cs="Times New Roman"/>
                <w:b w:val="0"/>
                <w:bCs/>
                <w:color w:val="auto"/>
                <w:sz w:val="24"/>
                <w:szCs w:val="24"/>
                <w:vertAlign w:val="subscript"/>
                <w:lang w:eastAsia="zh-CN"/>
              </w:rPr>
              <w:t>2.5</w:t>
            </w:r>
            <w:r>
              <w:rPr>
                <w:rFonts w:hint="default" w:ascii="Times New Roman" w:hAnsi="Times New Roman" w:eastAsia="宋体" w:cs="Times New Roman"/>
                <w:b w:val="0"/>
                <w:bCs/>
                <w:color w:val="auto"/>
                <w:sz w:val="24"/>
                <w:szCs w:val="24"/>
                <w:lang w:eastAsia="zh-CN"/>
              </w:rPr>
              <w:t>的年平均浓度</w:t>
            </w:r>
            <w:r>
              <w:rPr>
                <w:rFonts w:hint="eastAsia"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eastAsia="zh-CN"/>
              </w:rPr>
              <w:t>CO第95百分位数日平均浓度、O</w:t>
            </w:r>
            <w:r>
              <w:rPr>
                <w:rFonts w:hint="default" w:ascii="Times New Roman" w:hAnsi="Times New Roman" w:eastAsia="宋体" w:cs="Times New Roman"/>
                <w:b w:val="0"/>
                <w:bCs/>
                <w:color w:val="auto"/>
                <w:sz w:val="24"/>
                <w:szCs w:val="24"/>
                <w:vertAlign w:val="subscript"/>
                <w:lang w:eastAsia="zh-CN"/>
              </w:rPr>
              <w:t>3</w:t>
            </w:r>
            <w:r>
              <w:rPr>
                <w:rFonts w:hint="default" w:ascii="Times New Roman" w:hAnsi="Times New Roman" w:eastAsia="宋体" w:cs="Times New Roman"/>
                <w:b w:val="0"/>
                <w:bCs/>
                <w:color w:val="auto"/>
                <w:sz w:val="24"/>
                <w:szCs w:val="24"/>
                <w:lang w:eastAsia="zh-CN"/>
              </w:rPr>
              <w:t>最大8小时第90百分位数日平均浓度、SO</w:t>
            </w:r>
            <w:r>
              <w:rPr>
                <w:rFonts w:hint="default" w:ascii="Times New Roman" w:hAnsi="Times New Roman" w:eastAsia="宋体" w:cs="Times New Roman"/>
                <w:b w:val="0"/>
                <w:bCs/>
                <w:color w:val="auto"/>
                <w:sz w:val="24"/>
                <w:szCs w:val="24"/>
                <w:vertAlign w:val="subscript"/>
                <w:lang w:eastAsia="zh-CN"/>
              </w:rPr>
              <w:t>2</w:t>
            </w:r>
            <w:r>
              <w:rPr>
                <w:rFonts w:hint="default" w:ascii="Times New Roman" w:hAnsi="Times New Roman" w:eastAsia="宋体" w:cs="Times New Roman"/>
                <w:b w:val="0"/>
                <w:bCs/>
                <w:color w:val="auto"/>
                <w:sz w:val="24"/>
                <w:szCs w:val="24"/>
                <w:lang w:eastAsia="zh-CN"/>
              </w:rPr>
              <w:t>的年均浓度和NO</w:t>
            </w:r>
            <w:r>
              <w:rPr>
                <w:rFonts w:hint="default" w:ascii="Times New Roman" w:hAnsi="Times New Roman" w:eastAsia="宋体" w:cs="Times New Roman"/>
                <w:b w:val="0"/>
                <w:bCs/>
                <w:color w:val="auto"/>
                <w:sz w:val="24"/>
                <w:szCs w:val="24"/>
                <w:vertAlign w:val="subscript"/>
                <w:lang w:eastAsia="zh-CN"/>
              </w:rPr>
              <w:t>2</w:t>
            </w:r>
            <w:r>
              <w:rPr>
                <w:rFonts w:hint="default" w:ascii="Times New Roman" w:hAnsi="Times New Roman" w:eastAsia="宋体" w:cs="Times New Roman"/>
                <w:b w:val="0"/>
                <w:bCs/>
                <w:color w:val="auto"/>
                <w:sz w:val="24"/>
                <w:szCs w:val="24"/>
                <w:lang w:eastAsia="zh-CN"/>
              </w:rPr>
              <w:t>的年均浓度均满足《环境空气质量标准》GB3095-2012）的二级标准要求，故本项目所在区域为达标区域。</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b/>
                <w:bCs/>
                <w:sz w:val="24"/>
                <w:szCs w:val="24"/>
                <w:lang w:val="en-US" w:eastAsia="zh-CN"/>
              </w:rPr>
            </w:pPr>
            <w:r>
              <w:rPr>
                <w:rFonts w:hint="eastAsia"/>
                <w:b/>
                <w:bCs/>
                <w:sz w:val="24"/>
                <w:szCs w:val="24"/>
                <w:lang w:val="en-US" w:eastAsia="zh-CN"/>
              </w:rPr>
              <w:t>1.2 其他污染物环境质量现状</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b/>
                <w:bCs/>
                <w:sz w:val="24"/>
                <w:szCs w:val="24"/>
                <w:lang w:val="en-US" w:eastAsia="zh-CN"/>
              </w:rPr>
            </w:pPr>
            <w:r>
              <w:rPr>
                <w:rFonts w:hint="eastAsia"/>
                <w:b/>
                <w:bCs/>
                <w:sz w:val="24"/>
                <w:szCs w:val="24"/>
                <w:lang w:val="en-US" w:eastAsia="zh-CN"/>
              </w:rPr>
              <w:t>1.2.1 监测数据来源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宋体"/>
                <w:sz w:val="24"/>
                <w:szCs w:val="24"/>
              </w:rPr>
            </w:pPr>
            <w:r>
              <w:rPr>
                <w:rFonts w:ascii="Times New Roman" w:hAnsi="Times New Roman" w:eastAsia="宋体" w:cs="宋体"/>
                <w:sz w:val="24"/>
                <w:szCs w:val="24"/>
              </w:rPr>
              <w:t>本项目</w:t>
            </w:r>
            <w:r>
              <w:rPr>
                <w:rFonts w:hint="eastAsia" w:ascii="Times New Roman" w:hAnsi="Times New Roman" w:eastAsia="宋体" w:cs="宋体"/>
                <w:sz w:val="24"/>
                <w:szCs w:val="24"/>
                <w:lang w:val="en-US" w:eastAsia="zh-CN"/>
              </w:rPr>
              <w:t>建筑垃圾</w:t>
            </w:r>
            <w:r>
              <w:rPr>
                <w:rFonts w:ascii="Times New Roman" w:hAnsi="Times New Roman" w:eastAsia="宋体" w:cs="宋体"/>
                <w:sz w:val="24"/>
                <w:szCs w:val="24"/>
              </w:rPr>
              <w:t>装卸过程中，会产生颗粒物，因此本项目其他污染物环境质量因子选取为TSP。本项目TSP现状监测数据引自《</w:t>
            </w:r>
            <w:r>
              <w:rPr>
                <w:rFonts w:ascii="宋体" w:hAnsi="宋体" w:eastAsia="宋体" w:cs="宋体"/>
                <w:sz w:val="24"/>
                <w:szCs w:val="24"/>
              </w:rPr>
              <w:t>黑龙江省七台河市废旧钢铁再造矿山 25 万吨设备铸件项目环境影响报告书</w:t>
            </w:r>
            <w:r>
              <w:rPr>
                <w:rFonts w:ascii="Times New Roman" w:hAnsi="Times New Roman" w:eastAsia="宋体" w:cs="宋体"/>
                <w:sz w:val="24"/>
                <w:szCs w:val="24"/>
              </w:rPr>
              <w:t>》，</w:t>
            </w:r>
            <w:r>
              <w:rPr>
                <w:rFonts w:hint="eastAsia" w:cs="宋体"/>
                <w:sz w:val="24"/>
                <w:szCs w:val="24"/>
                <w:lang w:val="en-US" w:eastAsia="zh-CN"/>
              </w:rPr>
              <w:t>本项目厂址距该项目厂址3公里左右，符合引用要求。</w:t>
            </w:r>
            <w:r>
              <w:rPr>
                <w:rFonts w:ascii="Times New Roman" w:hAnsi="Times New Roman" w:eastAsia="宋体" w:cs="宋体"/>
                <w:sz w:val="24"/>
                <w:szCs w:val="24"/>
              </w:rPr>
              <w:t>监测点位图见附图4。</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宋体"/>
                <w:b/>
                <w:bCs/>
                <w:sz w:val="24"/>
                <w:szCs w:val="24"/>
                <w:lang w:val="en-US" w:eastAsia="zh-CN"/>
              </w:rPr>
            </w:pPr>
            <w:r>
              <w:rPr>
                <w:rFonts w:hint="eastAsia" w:ascii="Times New Roman" w:hAnsi="Times New Roman" w:eastAsia="宋体" w:cs="宋体"/>
                <w:b/>
                <w:bCs/>
                <w:sz w:val="24"/>
                <w:szCs w:val="24"/>
                <w:lang w:val="en-US" w:eastAsia="zh-CN"/>
              </w:rPr>
              <w:t>1.2.2 监测点位及监测因子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表3-2 环境空气监测点位及因子</w:t>
            </w:r>
          </w:p>
          <w:tbl>
            <w:tblPr>
              <w:tblStyle w:val="21"/>
              <w:tblW w:w="79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647"/>
              <w:gridCol w:w="1710"/>
              <w:gridCol w:w="945"/>
              <w:gridCol w:w="795"/>
              <w:gridCol w:w="870"/>
              <w:gridCol w:w="9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07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监测点位</w:t>
                  </w:r>
                </w:p>
              </w:tc>
              <w:tc>
                <w:tcPr>
                  <w:tcW w:w="3357" w:type="dxa"/>
                  <w:gridSpan w:val="2"/>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监测点坐标/m</w:t>
                  </w:r>
                </w:p>
              </w:tc>
              <w:tc>
                <w:tcPr>
                  <w:tcW w:w="94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监测因子</w:t>
                  </w:r>
                </w:p>
              </w:tc>
              <w:tc>
                <w:tcPr>
                  <w:tcW w:w="79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监测时段</w:t>
                  </w:r>
                </w:p>
              </w:tc>
              <w:tc>
                <w:tcPr>
                  <w:tcW w:w="87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相对厂址方位</w:t>
                  </w:r>
                </w:p>
              </w:tc>
              <w:tc>
                <w:tcPr>
                  <w:tcW w:w="93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072"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1647"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cs="宋体"/>
                      <w:b w:val="0"/>
                      <w:bCs w:val="0"/>
                      <w:sz w:val="21"/>
                      <w:szCs w:val="21"/>
                      <w:vertAlign w:val="baseline"/>
                      <w:lang w:val="en-US" w:eastAsia="zh-CN"/>
                    </w:rPr>
                    <w:t>经度</w:t>
                  </w:r>
                </w:p>
              </w:tc>
              <w:tc>
                <w:tcPr>
                  <w:tcW w:w="1710"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cs="宋体"/>
                      <w:b w:val="0"/>
                      <w:bCs w:val="0"/>
                      <w:sz w:val="21"/>
                      <w:szCs w:val="21"/>
                      <w:vertAlign w:val="baseline"/>
                      <w:lang w:val="en-US" w:eastAsia="zh-CN"/>
                    </w:rPr>
                    <w:t>纬度</w:t>
                  </w:r>
                </w:p>
              </w:tc>
              <w:tc>
                <w:tcPr>
                  <w:tcW w:w="945"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p>
              </w:tc>
              <w:tc>
                <w:tcPr>
                  <w:tcW w:w="795"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p>
              </w:tc>
              <w:tc>
                <w:tcPr>
                  <w:tcW w:w="870"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p>
              </w:tc>
              <w:tc>
                <w:tcPr>
                  <w:tcW w:w="935"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highlight w:val="yellow"/>
                      <w:vertAlign w:val="baseline"/>
                      <w:lang w:val="en-US" w:eastAsia="zh-CN"/>
                    </w:rPr>
                  </w:pPr>
                  <w:r>
                    <w:rPr>
                      <w:rFonts w:hint="eastAsia" w:cs="宋体"/>
                      <w:b w:val="0"/>
                      <w:bCs w:val="0"/>
                      <w:sz w:val="21"/>
                      <w:szCs w:val="21"/>
                      <w:highlight w:val="none"/>
                      <w:vertAlign w:val="baseline"/>
                      <w:lang w:val="en-US" w:eastAsia="zh-CN"/>
                    </w:rPr>
                    <w:t>引用项目</w:t>
                  </w:r>
                  <w:r>
                    <w:rPr>
                      <w:rFonts w:hint="eastAsia" w:ascii="Times New Roman" w:hAnsi="Times New Roman" w:eastAsia="宋体" w:cs="宋体"/>
                      <w:b w:val="0"/>
                      <w:bCs w:val="0"/>
                      <w:sz w:val="21"/>
                      <w:szCs w:val="21"/>
                      <w:highlight w:val="none"/>
                      <w:vertAlign w:val="baseline"/>
                      <w:lang w:val="en-US" w:eastAsia="zh-CN"/>
                    </w:rPr>
                    <w:t>厂址内</w:t>
                  </w:r>
                </w:p>
              </w:tc>
              <w:tc>
                <w:tcPr>
                  <w:tcW w:w="1647"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highlight w:val="yellow"/>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130.9374334736</w:t>
                  </w:r>
                </w:p>
              </w:tc>
              <w:tc>
                <w:tcPr>
                  <w:tcW w:w="1710"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highlight w:val="yellow"/>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45.7597002346</w:t>
                  </w:r>
                </w:p>
              </w:tc>
              <w:tc>
                <w:tcPr>
                  <w:tcW w:w="945" w:type="dxa"/>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TSP</w:t>
                  </w:r>
                </w:p>
              </w:tc>
              <w:tc>
                <w:tcPr>
                  <w:tcW w:w="795" w:type="dxa"/>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日均值</w:t>
                  </w:r>
                </w:p>
              </w:tc>
              <w:tc>
                <w:tcPr>
                  <w:tcW w:w="870"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ES</w:t>
                  </w:r>
                </w:p>
              </w:tc>
              <w:tc>
                <w:tcPr>
                  <w:tcW w:w="935"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3124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highlight w:val="yellow"/>
                      <w:vertAlign w:val="baseline"/>
                      <w:lang w:val="en-US" w:eastAsia="zh-CN"/>
                    </w:rPr>
                  </w:pPr>
                  <w:r>
                    <w:rPr>
                      <w:rFonts w:hint="eastAsia" w:cs="宋体"/>
                      <w:b w:val="0"/>
                      <w:bCs w:val="0"/>
                      <w:sz w:val="21"/>
                      <w:szCs w:val="21"/>
                      <w:highlight w:val="none"/>
                      <w:vertAlign w:val="baseline"/>
                      <w:lang w:val="en-US" w:eastAsia="zh-CN"/>
                    </w:rPr>
                    <w:t>引用项目</w:t>
                  </w:r>
                  <w:r>
                    <w:rPr>
                      <w:rFonts w:hint="eastAsia" w:ascii="Times New Roman" w:hAnsi="Times New Roman" w:eastAsia="宋体" w:cs="宋体"/>
                      <w:b w:val="0"/>
                      <w:bCs w:val="0"/>
                      <w:sz w:val="21"/>
                      <w:szCs w:val="21"/>
                      <w:highlight w:val="none"/>
                      <w:vertAlign w:val="baseline"/>
                      <w:lang w:val="en-US" w:eastAsia="zh-CN"/>
                    </w:rPr>
                    <w:t>下风向</w:t>
                  </w:r>
                </w:p>
              </w:tc>
              <w:tc>
                <w:tcPr>
                  <w:tcW w:w="16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highlight w:val="yellow"/>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130.9482773773</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highlight w:val="yellow"/>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45.7705656383</w:t>
                  </w:r>
                </w:p>
              </w:tc>
              <w:tc>
                <w:tcPr>
                  <w:tcW w:w="9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p>
              </w:tc>
              <w:tc>
                <w:tcPr>
                  <w:tcW w:w="79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ES</w:t>
                  </w:r>
                </w:p>
              </w:tc>
              <w:tc>
                <w:tcPr>
                  <w:tcW w:w="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3028</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b/>
                <w:bCs/>
                <w:sz w:val="24"/>
                <w:szCs w:val="24"/>
                <w:lang w:val="en-US" w:eastAsia="zh-CN"/>
              </w:rPr>
            </w:pPr>
            <w:r>
              <w:rPr>
                <w:rFonts w:hint="eastAsia" w:ascii="Times New Roman" w:hAnsi="Times New Roman" w:eastAsia="宋体" w:cs="宋体"/>
                <w:b/>
                <w:bCs/>
                <w:sz w:val="24"/>
                <w:szCs w:val="24"/>
                <w:lang w:val="en-US" w:eastAsia="zh-CN"/>
              </w:rPr>
              <w:t>1.2.3 监测采样时间及频率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2022年7月31日-27日，连续监测7天。</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宋体"/>
                <w:b/>
                <w:bCs/>
                <w:sz w:val="24"/>
                <w:szCs w:val="24"/>
                <w:lang w:val="en-US" w:eastAsia="zh-CN"/>
              </w:rPr>
            </w:pPr>
            <w:r>
              <w:rPr>
                <w:rFonts w:hint="eastAsia" w:ascii="Times New Roman" w:hAnsi="Times New Roman" w:eastAsia="宋体" w:cs="宋体"/>
                <w:b/>
                <w:bCs/>
                <w:sz w:val="24"/>
                <w:szCs w:val="24"/>
                <w:lang w:val="en-US" w:eastAsia="zh-CN"/>
              </w:rPr>
              <w:t>1.2.4 监测方法及来源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监测方法见表3-3。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表3-3 检测方法及检测仪器</w:t>
            </w:r>
          </w:p>
          <w:tbl>
            <w:tblPr>
              <w:tblStyle w:val="21"/>
              <w:tblW w:w="7974" w:type="dxa"/>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637"/>
              <w:gridCol w:w="1125"/>
              <w:gridCol w:w="2865"/>
              <w:gridCol w:w="3347"/>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jc w:val="center"/>
              </w:trPr>
              <w:tc>
                <w:tcPr>
                  <w:tcW w:w="6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序号</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检测项目</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检测标准（方法）</w:t>
                  </w:r>
                </w:p>
              </w:tc>
              <w:tc>
                <w:tcPr>
                  <w:tcW w:w="3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仪器名称/型号/编号</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jc w:val="center"/>
              </w:trPr>
              <w:tc>
                <w:tcPr>
                  <w:tcW w:w="6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1</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TSP</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ascii="Times New Roman" w:hAnsi="Times New Roman" w:eastAsia="宋体" w:cs="宋体"/>
                      <w:sz w:val="21"/>
                      <w:szCs w:val="24"/>
                    </w:rPr>
                    <w:t>环境空气总悬颗粒物的测定重量法 GB/T15432-1995</w:t>
                  </w:r>
                </w:p>
              </w:tc>
              <w:tc>
                <w:tcPr>
                  <w:tcW w:w="3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sz w:val="21"/>
                      <w:szCs w:val="21"/>
                      <w:vertAlign w:val="baseline"/>
                      <w:lang w:val="en-US" w:eastAsia="zh-CN"/>
                    </w:rPr>
                  </w:pPr>
                  <w:r>
                    <w:rPr>
                      <w:rFonts w:ascii="Times New Roman" w:hAnsi="Times New Roman" w:eastAsia="宋体" w:cs="宋体"/>
                      <w:sz w:val="21"/>
                      <w:szCs w:val="24"/>
                    </w:rPr>
                    <w:t>电子天平 JCH</w:t>
                  </w:r>
                  <w:r>
                    <w:rPr>
                      <w:rFonts w:hint="eastAsia" w:ascii="Times New Roman" w:hAnsi="Times New Roman" w:eastAsia="宋体" w:cs="宋体"/>
                      <w:sz w:val="21"/>
                      <w:szCs w:val="24"/>
                      <w:lang w:val="en-US" w:eastAsia="zh-CN"/>
                    </w:rPr>
                    <w:t>-</w:t>
                  </w:r>
                  <w:r>
                    <w:rPr>
                      <w:rFonts w:ascii="Times New Roman" w:hAnsi="Times New Roman" w:eastAsia="宋体" w:cs="宋体"/>
                      <w:sz w:val="21"/>
                      <w:szCs w:val="24"/>
                    </w:rPr>
                    <w:t xml:space="preserve">120F </w:t>
                  </w:r>
                  <w:r>
                    <w:rPr>
                      <w:rFonts w:hint="eastAsia" w:ascii="Times New Roman" w:hAnsi="Times New Roman" w:eastAsia="宋体" w:cs="宋体"/>
                      <w:sz w:val="21"/>
                      <w:szCs w:val="24"/>
                      <w:lang w:val="en-US" w:eastAsia="zh-CN"/>
                    </w:rPr>
                    <w:t>BSC-150</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s="Times New Roman"/>
                <w:b/>
                <w:bCs/>
                <w:kern w:val="0"/>
                <w:sz w:val="24"/>
                <w:szCs w:val="24"/>
                <w:lang w:val="en-US" w:eastAsia="zh-CN"/>
              </w:rPr>
            </w:pPr>
            <w:r>
              <w:rPr>
                <w:rFonts w:hint="eastAsia" w:cs="Times New Roman"/>
                <w:b/>
                <w:bCs/>
                <w:kern w:val="0"/>
                <w:sz w:val="24"/>
                <w:szCs w:val="24"/>
                <w:lang w:val="en-US" w:eastAsia="zh-CN"/>
              </w:rPr>
              <w:t>1.3 环境空气质量现状评价</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s="Times New Roman"/>
                <w:b/>
                <w:bCs/>
                <w:kern w:val="0"/>
                <w:sz w:val="24"/>
                <w:szCs w:val="24"/>
                <w:lang w:val="en-US" w:eastAsia="zh-CN"/>
              </w:rPr>
            </w:pPr>
            <w:r>
              <w:rPr>
                <w:rFonts w:hint="eastAsia" w:cs="Times New Roman"/>
                <w:b/>
                <w:bCs/>
                <w:kern w:val="0"/>
                <w:sz w:val="24"/>
                <w:szCs w:val="24"/>
                <w:lang w:val="en-US" w:eastAsia="zh-CN"/>
              </w:rPr>
              <w:t>1.3.1 评价标准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kern w:val="0"/>
                <w:sz w:val="21"/>
                <w:szCs w:val="21"/>
                <w:lang w:val="en-US" w:eastAsia="zh-CN"/>
              </w:rPr>
            </w:pPr>
            <w:r>
              <w:rPr>
                <w:rFonts w:hint="eastAsia" w:cs="Times New Roman"/>
                <w:b/>
                <w:bCs/>
                <w:kern w:val="0"/>
                <w:sz w:val="21"/>
                <w:szCs w:val="21"/>
                <w:lang w:val="en-US" w:eastAsia="zh-CN"/>
              </w:rPr>
              <w:t>表3-4 大气环境质量现状评价标准</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635"/>
              <w:gridCol w:w="1980"/>
              <w:gridCol w:w="3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污染因子</w:t>
                  </w:r>
                </w:p>
              </w:tc>
              <w:tc>
                <w:tcPr>
                  <w:tcW w:w="361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评价标准限值（mg/m</w:t>
                  </w:r>
                  <w:r>
                    <w:rPr>
                      <w:rFonts w:hint="eastAsia" w:ascii="Times New Roman" w:hAnsi="Times New Roman" w:eastAsia="宋体" w:cs="Times New Roman"/>
                      <w:b w:val="0"/>
                      <w:bCs w:val="0"/>
                      <w:kern w:val="0"/>
                      <w:sz w:val="21"/>
                      <w:szCs w:val="21"/>
                      <w:vertAlign w:val="superscript"/>
                      <w:lang w:val="en-US" w:eastAsia="zh-CN"/>
                    </w:rPr>
                    <w:t>3</w:t>
                  </w:r>
                  <w:r>
                    <w:rPr>
                      <w:rFonts w:hint="eastAsia" w:ascii="Times New Roman" w:hAnsi="Times New Roman" w:eastAsia="宋体" w:cs="Times New Roman"/>
                      <w:b w:val="0"/>
                      <w:bCs w:val="0"/>
                      <w:kern w:val="0"/>
                      <w:sz w:val="21"/>
                      <w:szCs w:val="21"/>
                      <w:vertAlign w:val="baseline"/>
                      <w:lang w:val="en-US" w:eastAsia="zh-CN"/>
                    </w:rPr>
                    <w:t>）</w:t>
                  </w:r>
                </w:p>
              </w:tc>
              <w:tc>
                <w:tcPr>
                  <w:tcW w:w="327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1635"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1小时平均浓度</w:t>
                  </w:r>
                </w:p>
              </w:tc>
              <w:tc>
                <w:tcPr>
                  <w:tcW w:w="1980"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24小时平均值浓度</w:t>
                  </w:r>
                </w:p>
              </w:tc>
              <w:tc>
                <w:tcPr>
                  <w:tcW w:w="3273"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TSP</w:t>
                  </w:r>
                </w:p>
              </w:tc>
              <w:tc>
                <w:tcPr>
                  <w:tcW w:w="1635"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w:t>
                  </w:r>
                </w:p>
              </w:tc>
              <w:tc>
                <w:tcPr>
                  <w:tcW w:w="1980"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0.3</w:t>
                  </w:r>
                </w:p>
              </w:tc>
              <w:tc>
                <w:tcPr>
                  <w:tcW w:w="3273"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ascii="Times New Roman" w:hAnsi="Times New Roman" w:eastAsia="宋体" w:cs="宋体"/>
                      <w:sz w:val="21"/>
                      <w:szCs w:val="24"/>
                    </w:rPr>
                    <w:t>环境空气质量标准（GB3095-2012）及修改单中二级标准浓度限值</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s="Times New Roman"/>
                <w:b/>
                <w:bCs/>
                <w:kern w:val="0"/>
                <w:sz w:val="24"/>
                <w:szCs w:val="24"/>
                <w:lang w:val="en-US" w:eastAsia="zh-CN"/>
              </w:rPr>
            </w:pPr>
            <w:r>
              <w:rPr>
                <w:rFonts w:hint="eastAsia" w:cs="Times New Roman"/>
                <w:b/>
                <w:bCs/>
                <w:kern w:val="0"/>
                <w:sz w:val="24"/>
                <w:szCs w:val="24"/>
                <w:lang w:val="en-US" w:eastAsia="zh-CN"/>
              </w:rPr>
              <w:t>1.3.2 评价结果</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kern w:val="0"/>
                <w:sz w:val="21"/>
                <w:szCs w:val="21"/>
                <w:lang w:val="en-US" w:eastAsia="zh-CN"/>
              </w:rPr>
            </w:pPr>
            <w:r>
              <w:rPr>
                <w:rFonts w:hint="eastAsia" w:cs="Times New Roman"/>
                <w:b/>
                <w:bCs/>
                <w:kern w:val="0"/>
                <w:sz w:val="21"/>
                <w:szCs w:val="21"/>
                <w:lang w:val="en-US" w:eastAsia="zh-CN"/>
              </w:rPr>
              <w:t>表3-5 环境空气小时平均现状监测统计表</w:t>
            </w:r>
          </w:p>
          <w:tbl>
            <w:tblPr>
              <w:tblStyle w:val="21"/>
              <w:tblW w:w="79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943"/>
              <w:gridCol w:w="1050"/>
              <w:gridCol w:w="645"/>
              <w:gridCol w:w="735"/>
              <w:gridCol w:w="1110"/>
              <w:gridCol w:w="812"/>
              <w:gridCol w:w="645"/>
              <w:gridCol w:w="705"/>
              <w:gridCol w:w="6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5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点位名称</w:t>
                  </w:r>
                </w:p>
              </w:tc>
              <w:tc>
                <w:tcPr>
                  <w:tcW w:w="1993" w:type="dxa"/>
                  <w:gridSpan w:val="2"/>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监测点位坐标/m</w:t>
                  </w:r>
                </w:p>
              </w:tc>
              <w:tc>
                <w:tcPr>
                  <w:tcW w:w="64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污染物</w:t>
                  </w:r>
                </w:p>
              </w:tc>
              <w:tc>
                <w:tcPr>
                  <w:tcW w:w="73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平均时间</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评价标准（mg/m</w:t>
                  </w:r>
                  <w:r>
                    <w:rPr>
                      <w:rFonts w:hint="eastAsia" w:ascii="Times New Roman" w:hAnsi="Times New Roman" w:eastAsia="宋体" w:cs="Times New Roman"/>
                      <w:b w:val="0"/>
                      <w:bCs w:val="0"/>
                      <w:kern w:val="0"/>
                      <w:sz w:val="21"/>
                      <w:szCs w:val="21"/>
                      <w:vertAlign w:val="superscript"/>
                      <w:lang w:val="en-US" w:eastAsia="zh-CN"/>
                    </w:rPr>
                    <w:t>3</w:t>
                  </w:r>
                  <w:r>
                    <w:rPr>
                      <w:rFonts w:hint="eastAsia" w:ascii="Times New Roman" w:hAnsi="Times New Roman" w:eastAsia="宋体" w:cs="Times New Roman"/>
                      <w:b w:val="0"/>
                      <w:bCs w:val="0"/>
                      <w:kern w:val="0"/>
                      <w:sz w:val="21"/>
                      <w:szCs w:val="21"/>
                      <w:vertAlign w:val="baseline"/>
                      <w:lang w:val="en-US" w:eastAsia="zh-CN"/>
                    </w:rPr>
                    <w:t>）</w:t>
                  </w:r>
                </w:p>
              </w:tc>
              <w:tc>
                <w:tcPr>
                  <w:tcW w:w="81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监测浓度范围（mg/m</w:t>
                  </w:r>
                  <w:r>
                    <w:rPr>
                      <w:rFonts w:hint="eastAsia" w:ascii="Times New Roman" w:hAnsi="Times New Roman" w:eastAsia="宋体" w:cs="Times New Roman"/>
                      <w:b w:val="0"/>
                      <w:bCs w:val="0"/>
                      <w:kern w:val="0"/>
                      <w:sz w:val="21"/>
                      <w:szCs w:val="21"/>
                      <w:vertAlign w:val="superscript"/>
                      <w:lang w:val="en-US" w:eastAsia="zh-CN"/>
                    </w:rPr>
                    <w:t>3</w:t>
                  </w:r>
                  <w:r>
                    <w:rPr>
                      <w:rFonts w:hint="eastAsia" w:ascii="Times New Roman" w:hAnsi="Times New Roman" w:eastAsia="宋体" w:cs="Times New Roman"/>
                      <w:b w:val="0"/>
                      <w:bCs w:val="0"/>
                      <w:kern w:val="0"/>
                      <w:sz w:val="21"/>
                      <w:szCs w:val="21"/>
                      <w:vertAlign w:val="baseline"/>
                      <w:lang w:val="en-US" w:eastAsia="zh-CN"/>
                    </w:rPr>
                    <w:t>）</w:t>
                  </w:r>
                </w:p>
              </w:tc>
              <w:tc>
                <w:tcPr>
                  <w:tcW w:w="64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最大浓度占标率%</w:t>
                  </w:r>
                </w:p>
              </w:tc>
              <w:tc>
                <w:tcPr>
                  <w:tcW w:w="70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超标概率%</w:t>
                  </w:r>
                </w:p>
              </w:tc>
              <w:tc>
                <w:tcPr>
                  <w:tcW w:w="65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59"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sz w:val="21"/>
                      <w:szCs w:val="21"/>
                    </w:rPr>
                  </w:pPr>
                </w:p>
              </w:tc>
              <w:tc>
                <w:tcPr>
                  <w:tcW w:w="943"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X</w:t>
                  </w:r>
                </w:p>
              </w:tc>
              <w:tc>
                <w:tcPr>
                  <w:tcW w:w="1050"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Y</w:t>
                  </w:r>
                </w:p>
              </w:tc>
              <w:tc>
                <w:tcPr>
                  <w:tcW w:w="645"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735"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1110"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812"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645"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705"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656"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59"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yellow"/>
                      <w:vertAlign w:val="baseline"/>
                      <w:lang w:val="en-US" w:eastAsia="zh-CN"/>
                    </w:rPr>
                  </w:pPr>
                  <w:r>
                    <w:rPr>
                      <w:rFonts w:hint="eastAsia" w:cs="宋体"/>
                      <w:b w:val="0"/>
                      <w:bCs w:val="0"/>
                      <w:sz w:val="21"/>
                      <w:szCs w:val="21"/>
                      <w:highlight w:val="none"/>
                      <w:vertAlign w:val="baseline"/>
                      <w:lang w:val="en-US" w:eastAsia="zh-CN"/>
                    </w:rPr>
                    <w:t>引用项目</w:t>
                  </w:r>
                  <w:r>
                    <w:rPr>
                      <w:rFonts w:hint="eastAsia" w:ascii="Times New Roman" w:hAnsi="Times New Roman" w:eastAsia="宋体" w:cs="宋体"/>
                      <w:b w:val="0"/>
                      <w:bCs w:val="0"/>
                      <w:sz w:val="21"/>
                      <w:szCs w:val="21"/>
                      <w:highlight w:val="none"/>
                      <w:vertAlign w:val="baseline"/>
                      <w:lang w:val="en-US" w:eastAsia="zh-CN"/>
                    </w:rPr>
                    <w:t>厂址内</w:t>
                  </w:r>
                </w:p>
              </w:tc>
              <w:tc>
                <w:tcPr>
                  <w:tcW w:w="943"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yellow"/>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130.9374334736</w:t>
                  </w:r>
                </w:p>
              </w:tc>
              <w:tc>
                <w:tcPr>
                  <w:tcW w:w="1050"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yellow"/>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45.7597002346</w:t>
                  </w:r>
                </w:p>
              </w:tc>
              <w:tc>
                <w:tcPr>
                  <w:tcW w:w="645" w:type="dxa"/>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TSP</w:t>
                  </w:r>
                </w:p>
              </w:tc>
              <w:tc>
                <w:tcPr>
                  <w:tcW w:w="735" w:type="dxa"/>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日均值</w:t>
                  </w:r>
                </w:p>
              </w:tc>
              <w:tc>
                <w:tcPr>
                  <w:tcW w:w="1110" w:type="dxa"/>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0.3</w:t>
                  </w:r>
                </w:p>
              </w:tc>
              <w:tc>
                <w:tcPr>
                  <w:tcW w:w="812"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0.086-0.098</w:t>
                  </w:r>
                </w:p>
              </w:tc>
              <w:tc>
                <w:tcPr>
                  <w:tcW w:w="645"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32.7</w:t>
                  </w:r>
                </w:p>
              </w:tc>
              <w:tc>
                <w:tcPr>
                  <w:tcW w:w="705"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0</w:t>
                  </w:r>
                </w:p>
              </w:tc>
              <w:tc>
                <w:tcPr>
                  <w:tcW w:w="656"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yellow"/>
                      <w:vertAlign w:val="baseline"/>
                      <w:lang w:val="en-US" w:eastAsia="zh-CN"/>
                    </w:rPr>
                  </w:pPr>
                  <w:r>
                    <w:rPr>
                      <w:rFonts w:hint="eastAsia" w:cs="宋体"/>
                      <w:b w:val="0"/>
                      <w:bCs w:val="0"/>
                      <w:sz w:val="21"/>
                      <w:szCs w:val="21"/>
                      <w:highlight w:val="none"/>
                      <w:vertAlign w:val="baseline"/>
                      <w:lang w:val="en-US" w:eastAsia="zh-CN"/>
                    </w:rPr>
                    <w:t>引用项目</w:t>
                  </w:r>
                  <w:r>
                    <w:rPr>
                      <w:rFonts w:hint="eastAsia" w:ascii="Times New Roman" w:hAnsi="Times New Roman" w:eastAsia="宋体" w:cs="宋体"/>
                      <w:b w:val="0"/>
                      <w:bCs w:val="0"/>
                      <w:sz w:val="21"/>
                      <w:szCs w:val="21"/>
                      <w:highlight w:val="none"/>
                      <w:vertAlign w:val="baseline"/>
                      <w:lang w:val="en-US" w:eastAsia="zh-CN"/>
                    </w:rPr>
                    <w:t>下风向</w:t>
                  </w:r>
                </w:p>
              </w:tc>
              <w:tc>
                <w:tcPr>
                  <w:tcW w:w="9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yellow"/>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130.9482773773</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yellow"/>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45.7705656383</w:t>
                  </w:r>
                </w:p>
              </w:tc>
              <w:tc>
                <w:tcPr>
                  <w:tcW w:w="6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7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11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8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0.088-0.099</w:t>
                  </w:r>
                </w:p>
              </w:tc>
              <w:tc>
                <w:tcPr>
                  <w:tcW w:w="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33</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0</w:t>
                  </w:r>
                </w:p>
              </w:tc>
              <w:tc>
                <w:tcPr>
                  <w:tcW w:w="6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kern w:val="0"/>
                <w:sz w:val="24"/>
                <w:szCs w:val="24"/>
                <w:lang w:val="en-US" w:eastAsia="zh-CN"/>
              </w:rPr>
            </w:pPr>
            <w:r>
              <w:rPr>
                <w:rFonts w:ascii="宋体" w:hAnsi="宋体" w:eastAsia="宋体" w:cs="宋体"/>
                <w:sz w:val="24"/>
                <w:szCs w:val="24"/>
              </w:rPr>
              <w:t>TSP环境质量浓度符合《环境空气质量标准》（GB3095-2012）及修改单二级标准要求，本项目所在区域环境空气质量总体评价达标。</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b/>
                <w:bCs/>
                <w:kern w:val="0"/>
                <w:sz w:val="24"/>
                <w:szCs w:val="24"/>
                <w:lang w:val="en-US" w:eastAsia="zh-CN"/>
              </w:rPr>
              <w:t>2 地表水环境质量现状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kern w:val="0"/>
                <w:sz w:val="24"/>
                <w:szCs w:val="24"/>
                <w:lang w:val="en-US" w:eastAsia="zh-CN"/>
              </w:rPr>
            </w:pPr>
            <w:r>
              <w:rPr>
                <w:rFonts w:ascii="宋体" w:hAnsi="宋体" w:eastAsia="宋体" w:cs="宋体"/>
                <w:sz w:val="24"/>
                <w:szCs w:val="24"/>
              </w:rPr>
              <w:t>本项目生产过程中废水</w:t>
            </w:r>
            <w:r>
              <w:rPr>
                <w:rFonts w:hint="eastAsia" w:ascii="宋体" w:hAnsi="宋体" w:eastAsia="宋体" w:cs="宋体"/>
                <w:sz w:val="24"/>
                <w:szCs w:val="24"/>
                <w:lang w:eastAsia="zh-CN"/>
              </w:rPr>
              <w:t>不对外</w:t>
            </w:r>
            <w:r>
              <w:rPr>
                <w:rFonts w:ascii="宋体" w:hAnsi="宋体" w:eastAsia="宋体" w:cs="宋体"/>
                <w:sz w:val="24"/>
                <w:szCs w:val="24"/>
              </w:rPr>
              <w:t>排放，所在区域距离最近地表水体为倭肯河。根据《全国重要江河湖泊水功能区划（2011-2030）》，该段无水质目标，类型划分为排污水体，按Ⅳ类水体管理，应满足《地表水环境质量标准》 （GB3838-2002）Ⅳ类水体功能标准，根据《202</w:t>
            </w:r>
            <w:r>
              <w:rPr>
                <w:rFonts w:hint="eastAsia" w:ascii="宋体" w:hAnsi="宋体" w:cs="宋体"/>
                <w:sz w:val="24"/>
                <w:szCs w:val="24"/>
                <w:lang w:val="en-US" w:eastAsia="zh-CN"/>
              </w:rPr>
              <w:t>2</w:t>
            </w:r>
            <w:r>
              <w:rPr>
                <w:rFonts w:ascii="宋体" w:hAnsi="宋体" w:eastAsia="宋体" w:cs="宋体"/>
                <w:sz w:val="24"/>
                <w:szCs w:val="24"/>
              </w:rPr>
              <w:t>年黑龙江生态环境质量状况报告》202</w:t>
            </w:r>
            <w:r>
              <w:rPr>
                <w:rFonts w:hint="eastAsia" w:ascii="宋体" w:hAnsi="宋体" w:cs="宋体"/>
                <w:sz w:val="24"/>
                <w:szCs w:val="24"/>
                <w:lang w:val="en-US" w:eastAsia="zh-CN"/>
              </w:rPr>
              <w:t>2</w:t>
            </w:r>
            <w:r>
              <w:rPr>
                <w:rFonts w:ascii="宋体" w:hAnsi="宋体" w:eastAsia="宋体" w:cs="宋体"/>
                <w:sz w:val="24"/>
                <w:szCs w:val="24"/>
              </w:rPr>
              <w:t>倭肯河该段水体指标可</w:t>
            </w:r>
            <w:r>
              <w:rPr>
                <w:rFonts w:ascii="宋体" w:hAnsi="宋体" w:eastAsia="宋体" w:cs="宋体"/>
                <w:color w:val="auto"/>
                <w:sz w:val="24"/>
                <w:szCs w:val="24"/>
              </w:rPr>
              <w:t>满足Ⅳ类水体</w:t>
            </w:r>
            <w:r>
              <w:rPr>
                <w:rFonts w:ascii="宋体" w:hAnsi="宋体" w:eastAsia="宋体" w:cs="宋体"/>
                <w:sz w:val="24"/>
                <w:szCs w:val="24"/>
              </w:rPr>
              <w:t>功能标准</w:t>
            </w:r>
            <w:r>
              <w:rPr>
                <w:rFonts w:hint="eastAsia" w:ascii="Times New Roman" w:hAnsi="Times New Roman" w:cs="Times New Roman"/>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b/>
                <w:bCs/>
                <w:kern w:val="0"/>
                <w:sz w:val="24"/>
                <w:szCs w:val="24"/>
                <w:highlight w:val="none"/>
                <w:lang w:val="en-US" w:eastAsia="zh-CN"/>
              </w:rPr>
              <w:t>3 声环境质量现状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sz w:val="24"/>
                <w:szCs w:val="24"/>
                <w:lang w:val="en-US" w:eastAsia="zh-CN"/>
              </w:rPr>
            </w:pPr>
            <w:r>
              <w:rPr>
                <w:rFonts w:ascii="Times New Roman" w:hAnsi="Times New Roman" w:eastAsia="宋体" w:cs="宋体"/>
                <w:sz w:val="24"/>
                <w:szCs w:val="24"/>
              </w:rPr>
              <w:t>根据《202</w:t>
            </w:r>
            <w:r>
              <w:rPr>
                <w:rFonts w:hint="eastAsia" w:cs="宋体"/>
                <w:sz w:val="24"/>
                <w:szCs w:val="24"/>
                <w:lang w:val="en-US" w:eastAsia="zh-CN"/>
              </w:rPr>
              <w:t>2</w:t>
            </w:r>
            <w:r>
              <w:rPr>
                <w:rFonts w:ascii="Times New Roman" w:hAnsi="Times New Roman" w:eastAsia="宋体" w:cs="宋体"/>
                <w:sz w:val="24"/>
                <w:szCs w:val="24"/>
              </w:rPr>
              <w:t>年黑龙江省生态环境质量状况》七台河市区域昼间声环境质量为二级，等效声级为53.0dB（A）；道路交通昼间声环境质量为一级，等效声级为6</w:t>
            </w:r>
            <w:r>
              <w:rPr>
                <w:rFonts w:hint="eastAsia" w:cs="宋体"/>
                <w:sz w:val="24"/>
                <w:szCs w:val="24"/>
                <w:lang w:val="en-US" w:eastAsia="zh-CN"/>
              </w:rPr>
              <w:t>6.7</w:t>
            </w:r>
            <w:r>
              <w:rPr>
                <w:rFonts w:ascii="Times New Roman" w:hAnsi="Times New Roman" w:eastAsia="宋体" w:cs="宋体"/>
                <w:sz w:val="24"/>
                <w:szCs w:val="24"/>
              </w:rPr>
              <w:t>dB（A）；功能区昼间总点次达标率100%；功能区夜间总点次达标率100</w:t>
            </w:r>
            <w:r>
              <w:rPr>
                <w:rFonts w:hint="eastAsia" w:ascii="Times New Roman" w:hAnsi="Times New Roman" w:eastAsia="宋体" w:cs="宋体"/>
                <w:sz w:val="24"/>
                <w:szCs w:val="24"/>
                <w:lang w:val="en-US" w:eastAsia="zh-CN"/>
              </w:rPr>
              <w:t>%。</w:t>
            </w:r>
          </w:p>
          <w:p>
            <w:pPr>
              <w:pStyle w:val="15"/>
              <w:keepNext w:val="0"/>
              <w:keepLines w:val="0"/>
              <w:pageBreakBefore w:val="0"/>
              <w:widowControl w:val="0"/>
              <w:kinsoku/>
              <w:wordWrap/>
              <w:overflowPunct/>
              <w:topLinePunct w:val="0"/>
              <w:autoSpaceDE/>
              <w:autoSpaceDN/>
              <w:bidi w:val="0"/>
              <w:adjustRightInd/>
              <w:snapToGrid/>
              <w:spacing w:line="360" w:lineRule="auto"/>
              <w:ind w:firstLine="456" w:firstLineChars="200"/>
              <w:jc w:val="both"/>
              <w:textAlignment w:val="auto"/>
              <w:rPr>
                <w:rFonts w:hint="default" w:eastAsia="宋体"/>
                <w:spacing w:val="-6"/>
                <w:sz w:val="24"/>
                <w:lang w:val="en-US" w:eastAsia="zh-CN"/>
              </w:rPr>
            </w:pPr>
            <w:r>
              <w:rPr>
                <w:rFonts w:hint="eastAsia" w:eastAsia="宋体"/>
                <w:spacing w:val="-6"/>
                <w:sz w:val="24"/>
                <w:lang w:val="en-US" w:eastAsia="zh-CN"/>
              </w:rPr>
              <w:t>根据七台河市声功能区划，本项目所在区域为3类声功能区</w:t>
            </w:r>
            <w:r>
              <w:rPr>
                <w:rFonts w:hint="eastAsia"/>
                <w:lang w:eastAsia="zh-CN"/>
              </w:rPr>
              <w:t>，</w:t>
            </w:r>
            <w:r>
              <w:rPr>
                <w:rFonts w:hint="eastAsia" w:eastAsia="宋体"/>
                <w:spacing w:val="-6"/>
                <w:sz w:val="24"/>
                <w:lang w:val="en-US" w:eastAsia="zh-CN"/>
              </w:rPr>
              <w:t>详见附图3。</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kern w:val="0"/>
                <w:sz w:val="24"/>
                <w:szCs w:val="24"/>
                <w:highlight w:val="none"/>
                <w:lang w:val="en-US" w:eastAsia="zh-CN"/>
              </w:rPr>
            </w:pPr>
            <w:r>
              <w:rPr>
                <w:rFonts w:hint="eastAsia" w:ascii="Times New Roman" w:hAnsi="Times New Roman" w:cs="Times New Roman"/>
                <w:b/>
                <w:bCs/>
                <w:kern w:val="0"/>
                <w:sz w:val="24"/>
                <w:szCs w:val="24"/>
                <w:highlight w:val="none"/>
                <w:lang w:val="en-US" w:eastAsia="zh-CN"/>
              </w:rPr>
              <w:t>4 生态环境质量现状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sz w:val="24"/>
                <w:szCs w:val="21"/>
                <w:lang w:val="en-US" w:eastAsia="zh-CN"/>
              </w:rPr>
            </w:pPr>
            <w:r>
              <w:rPr>
                <w:rFonts w:ascii="宋体" w:hAnsi="宋体" w:eastAsia="宋体" w:cs="宋体"/>
                <w:sz w:val="24"/>
                <w:szCs w:val="24"/>
              </w:rPr>
              <w:t>本项目用地</w:t>
            </w:r>
            <w:r>
              <w:rPr>
                <w:rFonts w:hint="eastAsia" w:ascii="宋体" w:hAnsi="宋体" w:eastAsia="宋体" w:cs="宋体"/>
                <w:sz w:val="24"/>
                <w:szCs w:val="24"/>
                <w:lang w:val="en-US" w:eastAsia="zh-CN"/>
              </w:rPr>
              <w:t>194216</w:t>
            </w:r>
            <w:r>
              <w:rPr>
                <w:rFonts w:ascii="宋体" w:hAnsi="宋体" w:eastAsia="宋体" w:cs="宋体"/>
                <w:sz w:val="24"/>
                <w:szCs w:val="24"/>
              </w:rPr>
              <w:t>平方米，地类为</w:t>
            </w:r>
            <w:r>
              <w:rPr>
                <w:rFonts w:hint="eastAsia" w:ascii="宋体" w:hAnsi="宋体" w:eastAsia="宋体" w:cs="宋体"/>
                <w:sz w:val="24"/>
                <w:szCs w:val="24"/>
                <w:lang w:val="en-US" w:eastAsia="zh-CN"/>
              </w:rPr>
              <w:t>建设</w:t>
            </w:r>
            <w:r>
              <w:rPr>
                <w:rFonts w:ascii="宋体" w:hAnsi="宋体" w:eastAsia="宋体" w:cs="宋体"/>
                <w:sz w:val="24"/>
                <w:szCs w:val="24"/>
              </w:rPr>
              <w:t>用地，土地现状为建（构）筑物分布，</w:t>
            </w:r>
            <w:r>
              <w:rPr>
                <w:rFonts w:hint="eastAsia" w:ascii="Times New Roman" w:hAnsi="Times New Roman" w:cs="Times New Roman"/>
                <w:kern w:val="0"/>
                <w:sz w:val="24"/>
                <w:szCs w:val="24"/>
                <w:lang w:val="en-US" w:eastAsia="zh-CN"/>
              </w:rPr>
              <w:t>东侧为居民区，南侧为农田，北侧与西侧为企业</w:t>
            </w:r>
            <w:r>
              <w:rPr>
                <w:rFonts w:hint="eastAsia" w:cs="Times New Roman"/>
                <w:kern w:val="0"/>
                <w:sz w:val="24"/>
                <w:szCs w:val="24"/>
                <w:lang w:val="en-US" w:eastAsia="zh-CN"/>
              </w:rPr>
              <w:t>。</w:t>
            </w:r>
            <w:r>
              <w:rPr>
                <w:rFonts w:ascii="宋体" w:hAnsi="宋体" w:eastAsia="宋体" w:cs="宋体"/>
                <w:sz w:val="24"/>
                <w:szCs w:val="24"/>
              </w:rPr>
              <w:t>本项目周边无国家级、省级、市级名胜古迹、自然保护区，生态敏感、脆弱区，故本项目不开展生态环境现状调查。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pPr>
              <w:adjustRightInd w:val="0"/>
              <w:snapToGrid w:val="0"/>
              <w:jc w:val="center"/>
              <w:rPr>
                <w:rFonts w:hint="eastAsia" w:ascii="Times New Roman" w:hAnsi="Times New Roman" w:cs="宋体"/>
                <w:kern w:val="0"/>
                <w:sz w:val="24"/>
                <w:szCs w:val="21"/>
                <w:highlight w:val="none"/>
              </w:rPr>
            </w:pPr>
            <w:r>
              <w:rPr>
                <w:rFonts w:hint="eastAsia" w:ascii="Times New Roman" w:hAnsi="Times New Roman" w:cs="宋体"/>
                <w:kern w:val="0"/>
                <w:sz w:val="24"/>
                <w:szCs w:val="21"/>
                <w:highlight w:val="none"/>
              </w:rPr>
              <w:t>环境</w:t>
            </w:r>
          </w:p>
          <w:p>
            <w:pPr>
              <w:adjustRightInd w:val="0"/>
              <w:snapToGrid w:val="0"/>
              <w:jc w:val="center"/>
              <w:rPr>
                <w:rFonts w:hint="eastAsia" w:ascii="Times New Roman" w:hAnsi="Times New Roman" w:cs="宋体"/>
                <w:kern w:val="0"/>
                <w:sz w:val="24"/>
                <w:szCs w:val="21"/>
                <w:highlight w:val="none"/>
              </w:rPr>
            </w:pPr>
            <w:r>
              <w:rPr>
                <w:rFonts w:hint="eastAsia" w:ascii="Times New Roman" w:hAnsi="Times New Roman" w:cs="宋体"/>
                <w:kern w:val="0"/>
                <w:sz w:val="24"/>
                <w:szCs w:val="21"/>
                <w:highlight w:val="none"/>
              </w:rPr>
              <w:t>保护</w:t>
            </w:r>
          </w:p>
          <w:p>
            <w:pPr>
              <w:adjustRightInd w:val="0"/>
              <w:snapToGrid w:val="0"/>
              <w:jc w:val="center"/>
              <w:rPr>
                <w:rFonts w:hint="eastAsia" w:ascii="Times New Roman" w:hAnsi="Times New Roman" w:cs="宋体"/>
                <w:kern w:val="0"/>
                <w:sz w:val="24"/>
                <w:szCs w:val="21"/>
              </w:rPr>
            </w:pPr>
            <w:r>
              <w:rPr>
                <w:rFonts w:hint="eastAsia" w:ascii="Times New Roman" w:hAnsi="Times New Roman" w:cs="宋体"/>
                <w:kern w:val="0"/>
                <w:sz w:val="24"/>
                <w:szCs w:val="21"/>
                <w:highlight w:val="none"/>
              </w:rPr>
              <w:t>目标</w:t>
            </w:r>
          </w:p>
        </w:tc>
        <w:tc>
          <w:tcPr>
            <w:tcW w:w="819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cs="宋体"/>
                <w:b/>
                <w:bCs/>
                <w:kern w:val="0"/>
                <w:sz w:val="24"/>
                <w:szCs w:val="24"/>
                <w:lang w:val="en-US" w:eastAsia="zh-CN"/>
              </w:rPr>
            </w:pPr>
            <w:r>
              <w:rPr>
                <w:rFonts w:hint="default" w:ascii="Times New Roman" w:hAnsi="Times New Roman" w:eastAsia="宋体" w:cs="Times New Roman"/>
                <w:b/>
                <w:bCs/>
                <w:kern w:val="0"/>
                <w:sz w:val="24"/>
                <w:szCs w:val="24"/>
                <w:lang w:val="en-US" w:eastAsia="zh-CN"/>
              </w:rPr>
              <w:t>1</w:t>
            </w:r>
            <w:r>
              <w:rPr>
                <w:rFonts w:hint="eastAsia" w:ascii="宋体" w:hAnsi="宋体" w:cs="宋体"/>
                <w:b/>
                <w:bCs/>
                <w:kern w:val="0"/>
                <w:sz w:val="24"/>
                <w:szCs w:val="24"/>
                <w:highlight w:val="none"/>
                <w:lang w:val="en-US" w:eastAsia="zh-CN"/>
              </w:rPr>
              <w:t xml:space="preserve"> 大气环境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val="0"/>
                <w:kern w:val="0"/>
                <w:sz w:val="24"/>
                <w:szCs w:val="24"/>
                <w:lang w:val="en-US" w:eastAsia="zh-CN"/>
              </w:rPr>
            </w:pPr>
            <w:r>
              <w:rPr>
                <w:rFonts w:eastAsia="宋体"/>
                <w:b w:val="0"/>
                <w:bCs w:val="0"/>
                <w:kern w:val="0"/>
                <w:sz w:val="24"/>
                <w:shd w:val="clear" w:color="auto" w:fill="auto"/>
              </w:rPr>
              <w:t>厂界外500m范围内无国家、省、市级名胜古迹、自然保护区、风景名胜区</w:t>
            </w:r>
            <w:r>
              <w:rPr>
                <w:rFonts w:hint="eastAsia" w:eastAsia="宋体"/>
                <w:b w:val="0"/>
                <w:bCs w:val="0"/>
                <w:kern w:val="0"/>
                <w:sz w:val="24"/>
                <w:shd w:val="clear" w:color="auto" w:fill="auto"/>
                <w:lang w:eastAsia="zh-CN"/>
              </w:rPr>
              <w:t>，</w:t>
            </w:r>
            <w:r>
              <w:rPr>
                <w:rFonts w:hint="eastAsia"/>
                <w:b w:val="0"/>
                <w:bCs w:val="0"/>
                <w:kern w:val="0"/>
                <w:sz w:val="24"/>
                <w:shd w:val="clear" w:color="auto" w:fill="auto"/>
                <w:lang w:val="en-US" w:eastAsia="zh-CN"/>
              </w:rPr>
              <w:t>项目环境保护目标为</w:t>
            </w:r>
            <w:r>
              <w:rPr>
                <w:rFonts w:hint="eastAsia" w:ascii="宋体" w:hAnsi="宋体" w:cs="宋体"/>
                <w:color w:val="auto"/>
                <w:sz w:val="24"/>
                <w:szCs w:val="24"/>
                <w:highlight w:val="none"/>
                <w:lang w:eastAsia="zh-CN"/>
              </w:rPr>
              <w:t>一老年公寓。</w:t>
            </w:r>
            <w:r>
              <w:rPr>
                <w:rFonts w:hint="eastAsia" w:eastAsia="宋体"/>
                <w:b w:val="0"/>
                <w:bCs w:val="0"/>
                <w:kern w:val="0"/>
                <w:sz w:val="24"/>
                <w:shd w:val="clear" w:color="auto" w:fill="auto"/>
                <w:lang w:val="en-US" w:eastAsia="zh-CN"/>
              </w:rPr>
              <w:t>大气环境保护目标见表3-2。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rPr>
            </w:pPr>
            <w:r>
              <w:rPr>
                <w:rFonts w:hint="eastAsia"/>
                <w:b/>
                <w:bCs/>
                <w:sz w:val="21"/>
              </w:rPr>
              <w:t>表</w:t>
            </w:r>
            <w:r>
              <w:rPr>
                <w:b/>
                <w:bCs/>
                <w:sz w:val="21"/>
              </w:rPr>
              <w:t>3-</w:t>
            </w:r>
            <w:r>
              <w:rPr>
                <w:rFonts w:hint="eastAsia"/>
                <w:b/>
                <w:bCs/>
                <w:sz w:val="21"/>
                <w:lang w:val="en-US" w:eastAsia="zh-CN"/>
              </w:rPr>
              <w:t xml:space="preserve">2 </w:t>
            </w:r>
            <w:r>
              <w:rPr>
                <w:rFonts w:hint="eastAsia"/>
                <w:b/>
                <w:bCs/>
                <w:sz w:val="21"/>
              </w:rPr>
              <w:t>大气环境保护目标一览表</w:t>
            </w:r>
          </w:p>
          <w:tbl>
            <w:tblPr>
              <w:tblStyle w:val="20"/>
              <w:tblW w:w="487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442"/>
              <w:gridCol w:w="1164"/>
              <w:gridCol w:w="896"/>
              <w:gridCol w:w="876"/>
              <w:gridCol w:w="1002"/>
              <w:gridCol w:w="111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286" w:type="dxa"/>
                  <w:tcBorders>
                    <w:top w:val="single" w:color="auto" w:sz="8"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b/>
                      <w:sz w:val="21"/>
                      <w:szCs w:val="21"/>
                    </w:rPr>
                  </w:pPr>
                  <w:r>
                    <w:rPr>
                      <w:rFonts w:hint="eastAsia"/>
                      <w:b/>
                      <w:sz w:val="21"/>
                      <w:szCs w:val="21"/>
                    </w:rPr>
                    <w:t>名称</w:t>
                  </w:r>
                </w:p>
              </w:tc>
              <w:tc>
                <w:tcPr>
                  <w:tcW w:w="1442" w:type="dxa"/>
                  <w:tcBorders>
                    <w:top w:val="single" w:color="auto" w:sz="8"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b/>
                      <w:sz w:val="21"/>
                      <w:szCs w:val="21"/>
                    </w:rPr>
                  </w:pPr>
                  <w:r>
                    <w:rPr>
                      <w:rFonts w:hint="eastAsia"/>
                      <w:b/>
                      <w:sz w:val="21"/>
                      <w:szCs w:val="21"/>
                    </w:rPr>
                    <w:t>坐标</w:t>
                  </w:r>
                </w:p>
              </w:tc>
              <w:tc>
                <w:tcPr>
                  <w:tcW w:w="1164" w:type="dxa"/>
                  <w:tcBorders>
                    <w:top w:val="single" w:color="auto" w:sz="8"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b/>
                      <w:sz w:val="21"/>
                      <w:szCs w:val="21"/>
                    </w:rPr>
                  </w:pPr>
                  <w:r>
                    <w:rPr>
                      <w:rFonts w:hint="eastAsia"/>
                      <w:b/>
                      <w:sz w:val="21"/>
                      <w:szCs w:val="21"/>
                    </w:rPr>
                    <w:t>保护对象</w:t>
                  </w:r>
                </w:p>
              </w:tc>
              <w:tc>
                <w:tcPr>
                  <w:tcW w:w="896" w:type="dxa"/>
                  <w:tcBorders>
                    <w:top w:val="single" w:color="auto" w:sz="8"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b/>
                      <w:sz w:val="21"/>
                      <w:szCs w:val="21"/>
                    </w:rPr>
                  </w:pPr>
                  <w:r>
                    <w:rPr>
                      <w:rFonts w:hint="eastAsia"/>
                      <w:b/>
                      <w:sz w:val="21"/>
                      <w:szCs w:val="21"/>
                    </w:rPr>
                    <w:t>保护</w:t>
                  </w:r>
                </w:p>
                <w:p>
                  <w:pPr>
                    <w:keepNext w:val="0"/>
                    <w:keepLines w:val="0"/>
                    <w:pageBreakBefore w:val="0"/>
                    <w:kinsoku/>
                    <w:wordWrap/>
                    <w:overflowPunct/>
                    <w:topLinePunct w:val="0"/>
                    <w:autoSpaceDE/>
                    <w:autoSpaceDN/>
                    <w:bidi w:val="0"/>
                    <w:ind w:left="0" w:leftChars="0" w:right="0" w:rightChars="0" w:firstLine="0" w:firstLineChars="0"/>
                    <w:jc w:val="center"/>
                    <w:textAlignment w:val="auto"/>
                    <w:rPr>
                      <w:b/>
                      <w:sz w:val="21"/>
                      <w:szCs w:val="21"/>
                    </w:rPr>
                  </w:pPr>
                  <w:r>
                    <w:rPr>
                      <w:rFonts w:hint="eastAsia"/>
                      <w:b/>
                      <w:sz w:val="21"/>
                      <w:szCs w:val="21"/>
                    </w:rPr>
                    <w:t>内容</w:t>
                  </w:r>
                </w:p>
              </w:tc>
              <w:tc>
                <w:tcPr>
                  <w:tcW w:w="876" w:type="dxa"/>
                  <w:tcBorders>
                    <w:top w:val="single" w:color="auto" w:sz="8"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b/>
                      <w:sz w:val="21"/>
                      <w:szCs w:val="21"/>
                    </w:rPr>
                  </w:pPr>
                  <w:r>
                    <w:rPr>
                      <w:rFonts w:hint="eastAsia"/>
                      <w:b/>
                      <w:sz w:val="21"/>
                      <w:szCs w:val="21"/>
                    </w:rPr>
                    <w:t>环境</w:t>
                  </w:r>
                </w:p>
                <w:p>
                  <w:pPr>
                    <w:keepNext w:val="0"/>
                    <w:keepLines w:val="0"/>
                    <w:pageBreakBefore w:val="0"/>
                    <w:kinsoku/>
                    <w:wordWrap/>
                    <w:overflowPunct/>
                    <w:topLinePunct w:val="0"/>
                    <w:autoSpaceDE/>
                    <w:autoSpaceDN/>
                    <w:bidi w:val="0"/>
                    <w:ind w:left="0" w:leftChars="0" w:right="0" w:rightChars="0" w:firstLine="0" w:firstLineChars="0"/>
                    <w:jc w:val="center"/>
                    <w:textAlignment w:val="auto"/>
                    <w:rPr>
                      <w:b/>
                      <w:sz w:val="21"/>
                      <w:szCs w:val="21"/>
                    </w:rPr>
                  </w:pPr>
                  <w:r>
                    <w:rPr>
                      <w:rFonts w:hint="eastAsia"/>
                      <w:b/>
                      <w:sz w:val="21"/>
                      <w:szCs w:val="21"/>
                    </w:rPr>
                    <w:t>功能区</w:t>
                  </w:r>
                </w:p>
              </w:tc>
              <w:tc>
                <w:tcPr>
                  <w:tcW w:w="1002" w:type="dxa"/>
                  <w:tcBorders>
                    <w:top w:val="single" w:color="auto" w:sz="8"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b/>
                      <w:sz w:val="21"/>
                      <w:szCs w:val="21"/>
                    </w:rPr>
                  </w:pPr>
                  <w:r>
                    <w:rPr>
                      <w:rFonts w:hint="eastAsia"/>
                      <w:b/>
                      <w:sz w:val="21"/>
                      <w:szCs w:val="21"/>
                    </w:rPr>
                    <w:t>相对厂址方位</w:t>
                  </w:r>
                </w:p>
              </w:tc>
              <w:tc>
                <w:tcPr>
                  <w:tcW w:w="1111" w:type="dxa"/>
                  <w:tcBorders>
                    <w:top w:val="single" w:color="auto" w:sz="8" w:space="0"/>
                    <w:left w:val="single" w:color="auto" w:sz="4" w:space="0"/>
                    <w:bottom w:val="single" w:color="auto" w:sz="4" w:space="0"/>
                    <w:right w:val="nil"/>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b/>
                      <w:sz w:val="21"/>
                      <w:szCs w:val="21"/>
                    </w:rPr>
                  </w:pPr>
                  <w:r>
                    <w:rPr>
                      <w:rFonts w:hint="eastAsia"/>
                      <w:b/>
                      <w:sz w:val="21"/>
                      <w:szCs w:val="21"/>
                    </w:rPr>
                    <w:t>相对厂界距离</w:t>
                  </w:r>
                  <w:r>
                    <w:rPr>
                      <w:b/>
                      <w:sz w:val="21"/>
                      <w:szCs w:val="21"/>
                    </w:rPr>
                    <w:t>m</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286"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新兴老年公寓</w:t>
                  </w:r>
                </w:p>
              </w:tc>
              <w:tc>
                <w:tcPr>
                  <w:tcW w:w="14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rFonts w:hint="eastAsia"/>
                      <w:sz w:val="21"/>
                      <w:szCs w:val="21"/>
                    </w:rPr>
                  </w:pPr>
                  <w:r>
                    <w:rPr>
                      <w:rFonts w:hint="eastAsia"/>
                      <w:sz w:val="21"/>
                    </w:rPr>
                    <w:t>130.9204646945.78230590</w:t>
                  </w:r>
                </w:p>
              </w:tc>
              <w:tc>
                <w:tcPr>
                  <w:tcW w:w="11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rFonts w:hint="eastAsia"/>
                      <w:sz w:val="21"/>
                      <w:szCs w:val="21"/>
                    </w:rPr>
                  </w:pPr>
                  <w:r>
                    <w:rPr>
                      <w:rFonts w:hint="eastAsia"/>
                      <w:sz w:val="21"/>
                      <w:szCs w:val="21"/>
                    </w:rPr>
                    <w:t>居民</w:t>
                  </w:r>
                </w:p>
              </w:tc>
              <w:tc>
                <w:tcPr>
                  <w:tcW w:w="89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sz w:val="21"/>
                      <w:szCs w:val="21"/>
                    </w:rPr>
                  </w:pPr>
                  <w:r>
                    <w:rPr>
                      <w:rFonts w:hint="eastAsia"/>
                      <w:sz w:val="21"/>
                      <w:szCs w:val="21"/>
                    </w:rPr>
                    <w:t>大气</w:t>
                  </w:r>
                </w:p>
                <w:p>
                  <w:pPr>
                    <w:keepNext w:val="0"/>
                    <w:keepLines w:val="0"/>
                    <w:pageBreakBefore w:val="0"/>
                    <w:kinsoku/>
                    <w:wordWrap/>
                    <w:overflowPunct/>
                    <w:topLinePunct w:val="0"/>
                    <w:autoSpaceDE/>
                    <w:autoSpaceDN/>
                    <w:bidi w:val="0"/>
                    <w:ind w:left="0" w:leftChars="0" w:right="0" w:rightChars="0" w:firstLine="0" w:firstLineChars="0"/>
                    <w:jc w:val="center"/>
                    <w:textAlignment w:val="auto"/>
                    <w:rPr>
                      <w:rFonts w:hint="eastAsia"/>
                      <w:sz w:val="21"/>
                      <w:szCs w:val="21"/>
                    </w:rPr>
                  </w:pPr>
                  <w:r>
                    <w:rPr>
                      <w:sz w:val="21"/>
                      <w:szCs w:val="21"/>
                    </w:rPr>
                    <w:t>环境</w:t>
                  </w:r>
                </w:p>
              </w:tc>
              <w:tc>
                <w:tcPr>
                  <w:tcW w:w="87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sz w:val="21"/>
                      <w:szCs w:val="21"/>
                    </w:rPr>
                  </w:pPr>
                  <w:r>
                    <w:rPr>
                      <w:rFonts w:hint="eastAsia"/>
                      <w:sz w:val="21"/>
                      <w:szCs w:val="21"/>
                    </w:rPr>
                    <w:t>二类区</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rFonts w:hint="eastAsia" w:eastAsia="宋体"/>
                      <w:sz w:val="21"/>
                      <w:szCs w:val="21"/>
                      <w:lang w:val="en-US" w:eastAsia="zh-CN"/>
                    </w:rPr>
                  </w:pPr>
                  <w:r>
                    <w:rPr>
                      <w:rFonts w:hint="eastAsia"/>
                      <w:sz w:val="21"/>
                      <w:szCs w:val="21"/>
                      <w:lang w:val="en-US" w:eastAsia="zh-CN"/>
                    </w:rPr>
                    <w:t>E</w:t>
                  </w:r>
                </w:p>
              </w:tc>
              <w:tc>
                <w:tcPr>
                  <w:tcW w:w="1111" w:type="dxa"/>
                  <w:tcBorders>
                    <w:top w:val="single" w:color="auto" w:sz="4" w:space="0"/>
                    <w:left w:val="single" w:color="auto" w:sz="4" w:space="0"/>
                    <w:bottom w:val="single" w:color="auto" w:sz="4" w:space="0"/>
                    <w:right w:val="nil"/>
                  </w:tcBorders>
                  <w:vAlign w:val="center"/>
                </w:tcPr>
                <w:p>
                  <w:pPr>
                    <w:keepNext w:val="0"/>
                    <w:keepLines w:val="0"/>
                    <w:pageBreakBefore w:val="0"/>
                    <w:kinsoku/>
                    <w:wordWrap/>
                    <w:overflowPunct/>
                    <w:topLinePunct w:val="0"/>
                    <w:autoSpaceDE/>
                    <w:autoSpaceDN/>
                    <w:bidi w:val="0"/>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185</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b/>
                <w:bCs/>
                <w:kern w:val="0"/>
                <w:sz w:val="24"/>
                <w:szCs w:val="24"/>
                <w:lang w:val="en-US" w:eastAsia="zh-CN"/>
              </w:rPr>
            </w:pPr>
            <w:r>
              <w:rPr>
                <w:rFonts w:hint="default" w:ascii="Times New Roman" w:hAnsi="Times New Roman" w:cs="Times New Roman"/>
                <w:b/>
                <w:bCs/>
                <w:kern w:val="0"/>
                <w:sz w:val="24"/>
                <w:szCs w:val="24"/>
                <w:lang w:val="en-US" w:eastAsia="zh-CN"/>
              </w:rPr>
              <w:t>2</w:t>
            </w:r>
            <w:r>
              <w:rPr>
                <w:rFonts w:hint="eastAsia" w:ascii="宋体" w:hAnsi="宋体" w:cs="宋体"/>
                <w:b/>
                <w:bCs/>
                <w:kern w:val="0"/>
                <w:sz w:val="24"/>
                <w:szCs w:val="24"/>
                <w:lang w:val="en-US" w:eastAsia="zh-CN"/>
              </w:rPr>
              <w:t xml:space="preserve"> 声环境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kern w:val="0"/>
                <w:sz w:val="24"/>
                <w:szCs w:val="24"/>
                <w:lang w:val="en-US" w:eastAsia="zh-CN"/>
              </w:rPr>
            </w:pPr>
            <w:r>
              <w:rPr>
                <w:rFonts w:hint="eastAsia"/>
                <w:color w:val="auto"/>
                <w:sz w:val="24"/>
                <w:szCs w:val="24"/>
                <w:highlight w:val="none"/>
              </w:rPr>
              <w:t>本项目厂界外50米范围内无声环境保护目标。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b/>
                <w:bCs/>
                <w:kern w:val="0"/>
                <w:sz w:val="24"/>
                <w:szCs w:val="24"/>
                <w:lang w:val="en-US" w:eastAsia="zh-CN"/>
              </w:rPr>
            </w:pPr>
            <w:r>
              <w:rPr>
                <w:rFonts w:hint="default" w:ascii="Times New Roman" w:hAnsi="Times New Roman" w:cs="Times New Roman"/>
                <w:b/>
                <w:bCs/>
                <w:kern w:val="0"/>
                <w:sz w:val="24"/>
                <w:szCs w:val="24"/>
                <w:lang w:val="en-US" w:eastAsia="zh-CN"/>
              </w:rPr>
              <w:t>3</w:t>
            </w:r>
            <w:r>
              <w:rPr>
                <w:rFonts w:hint="eastAsia" w:ascii="宋体" w:hAnsi="宋体" w:cs="宋体"/>
                <w:b/>
                <w:bCs/>
                <w:kern w:val="0"/>
                <w:sz w:val="24"/>
                <w:szCs w:val="24"/>
                <w:lang w:val="en-US" w:eastAsia="zh-CN"/>
              </w:rPr>
              <w:t xml:space="preserve"> 地下水环境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kern w:val="0"/>
                <w:sz w:val="24"/>
                <w:szCs w:val="24"/>
                <w:lang w:val="en-US" w:eastAsia="zh-CN"/>
              </w:rPr>
            </w:pPr>
            <w:r>
              <w:rPr>
                <w:rFonts w:hint="eastAsia" w:ascii="宋体" w:hAnsi="宋体" w:cs="宋体"/>
                <w:color w:val="auto"/>
                <w:sz w:val="24"/>
                <w:szCs w:val="24"/>
                <w:highlight w:val="none"/>
              </w:rPr>
              <w:t>本项目厂界外</w:t>
            </w:r>
            <w:r>
              <w:rPr>
                <w:color w:val="auto"/>
                <w:sz w:val="24"/>
                <w:szCs w:val="24"/>
                <w:highlight w:val="none"/>
              </w:rPr>
              <w:t>500</w:t>
            </w:r>
            <w:r>
              <w:rPr>
                <w:rFonts w:hint="eastAsia" w:ascii="宋体" w:hAnsi="宋体" w:cs="宋体"/>
                <w:color w:val="auto"/>
                <w:sz w:val="24"/>
                <w:szCs w:val="24"/>
                <w:highlight w:val="none"/>
              </w:rPr>
              <w:t>米范围内无地下水集中式饮用水水源地和热水、矿泉水、温泉等特殊地下水资源。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b/>
                <w:bCs/>
                <w:kern w:val="0"/>
                <w:sz w:val="24"/>
                <w:szCs w:val="24"/>
                <w:lang w:val="en-US" w:eastAsia="zh-CN"/>
              </w:rPr>
            </w:pPr>
            <w:r>
              <w:rPr>
                <w:rFonts w:hint="default" w:ascii="Times New Roman" w:hAnsi="Times New Roman" w:cs="Times New Roman"/>
                <w:b/>
                <w:bCs/>
                <w:kern w:val="0"/>
                <w:sz w:val="24"/>
                <w:szCs w:val="24"/>
                <w:lang w:val="en-US" w:eastAsia="zh-CN"/>
              </w:rPr>
              <w:t>4</w:t>
            </w:r>
            <w:r>
              <w:rPr>
                <w:rFonts w:hint="eastAsia" w:ascii="宋体" w:hAnsi="宋体" w:cs="宋体"/>
                <w:b/>
                <w:bCs/>
                <w:kern w:val="0"/>
                <w:sz w:val="24"/>
                <w:szCs w:val="24"/>
                <w:lang w:val="en-US" w:eastAsia="zh-CN"/>
              </w:rPr>
              <w:t xml:space="preserve"> 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宋体"/>
                <w:kern w:val="0"/>
                <w:sz w:val="24"/>
                <w:szCs w:val="21"/>
                <w:lang w:val="en-US"/>
              </w:rPr>
            </w:pPr>
            <w:r>
              <w:rPr>
                <w:rFonts w:hint="default" w:ascii="Times New Roman" w:hAnsi="Times New Roman" w:eastAsia="宋体" w:cs="Times New Roman"/>
                <w:color w:val="000000"/>
                <w:sz w:val="24"/>
                <w:szCs w:val="24"/>
                <w:highlight w:val="none"/>
                <w:lang w:val="en-US" w:eastAsia="zh-CN"/>
              </w:rPr>
              <w:t>本项目位于</w:t>
            </w:r>
            <w:r>
              <w:rPr>
                <w:rFonts w:hint="eastAsia" w:ascii="Times New Roman" w:hAnsi="Times New Roman" w:eastAsia="宋体" w:cs="Times New Roman"/>
                <w:color w:val="000000"/>
                <w:sz w:val="24"/>
                <w:szCs w:val="24"/>
                <w:highlight w:val="none"/>
                <w:lang w:val="en-US" w:eastAsia="zh-CN"/>
              </w:rPr>
              <w:t>七台河市老三中校址，用地范围内无</w:t>
            </w:r>
            <w:r>
              <w:rPr>
                <w:rFonts w:hint="eastAsia" w:hAnsi="宋体" w:cs="宋体"/>
                <w:b w:val="0"/>
                <w:bCs w:val="0"/>
                <w:sz w:val="24"/>
                <w:szCs w:val="24"/>
                <w:lang w:val="en-US" w:eastAsia="zh-CN"/>
              </w:rPr>
              <w:t>自然保护区、名胜古迹、风景区等生态环境保护目标。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rFonts w:hint="eastAsia" w:ascii="Times New Roman" w:hAnsi="Times New Roman" w:cs="宋体"/>
                <w:kern w:val="0"/>
                <w:sz w:val="24"/>
                <w:szCs w:val="21"/>
              </w:rPr>
            </w:pPr>
            <w:r>
              <w:rPr>
                <w:rFonts w:hint="eastAsia" w:ascii="Times New Roman" w:hAnsi="Times New Roman" w:cs="宋体"/>
                <w:kern w:val="0"/>
                <w:sz w:val="24"/>
                <w:szCs w:val="21"/>
              </w:rPr>
              <w:t>污染</w:t>
            </w:r>
          </w:p>
          <w:p>
            <w:pPr>
              <w:adjustRightInd w:val="0"/>
              <w:snapToGrid w:val="0"/>
              <w:jc w:val="center"/>
              <w:rPr>
                <w:rFonts w:hint="eastAsia" w:ascii="Times New Roman" w:hAnsi="Times New Roman" w:cs="宋体"/>
                <w:kern w:val="0"/>
                <w:sz w:val="24"/>
                <w:szCs w:val="21"/>
              </w:rPr>
            </w:pPr>
            <w:r>
              <w:rPr>
                <w:rFonts w:hint="eastAsia" w:ascii="Times New Roman" w:hAnsi="Times New Roman" w:cs="宋体"/>
                <w:kern w:val="0"/>
                <w:sz w:val="24"/>
                <w:szCs w:val="21"/>
              </w:rPr>
              <w:t>物排</w:t>
            </w:r>
          </w:p>
          <w:p>
            <w:pPr>
              <w:adjustRightInd w:val="0"/>
              <w:snapToGrid w:val="0"/>
              <w:jc w:val="center"/>
              <w:rPr>
                <w:rFonts w:hint="eastAsia" w:ascii="Times New Roman" w:hAnsi="Times New Roman" w:cs="宋体"/>
                <w:kern w:val="0"/>
                <w:sz w:val="24"/>
                <w:szCs w:val="21"/>
              </w:rPr>
            </w:pPr>
            <w:r>
              <w:rPr>
                <w:rFonts w:hint="eastAsia" w:ascii="Times New Roman" w:hAnsi="Times New Roman" w:cs="宋体"/>
                <w:kern w:val="0"/>
                <w:sz w:val="24"/>
                <w:szCs w:val="21"/>
              </w:rPr>
              <w:t>放控</w:t>
            </w:r>
          </w:p>
          <w:p>
            <w:pPr>
              <w:adjustRightInd w:val="0"/>
              <w:snapToGrid w:val="0"/>
              <w:jc w:val="center"/>
              <w:rPr>
                <w:rFonts w:hint="eastAsia" w:ascii="Times New Roman" w:hAnsi="Times New Roman" w:cs="宋体"/>
                <w:kern w:val="0"/>
                <w:sz w:val="24"/>
                <w:szCs w:val="21"/>
              </w:rPr>
            </w:pPr>
            <w:r>
              <w:rPr>
                <w:rFonts w:hint="eastAsia" w:ascii="Times New Roman" w:hAnsi="Times New Roman" w:cs="宋体"/>
                <w:kern w:val="0"/>
                <w:sz w:val="24"/>
                <w:szCs w:val="21"/>
              </w:rPr>
              <w:t>制标</w:t>
            </w:r>
          </w:p>
          <w:p>
            <w:pPr>
              <w:adjustRightInd w:val="0"/>
              <w:snapToGrid w:val="0"/>
              <w:jc w:val="center"/>
              <w:rPr>
                <w:rFonts w:ascii="Times New Roman" w:hAnsi="Times New Roman" w:cs="宋体"/>
                <w:kern w:val="0"/>
                <w:sz w:val="24"/>
                <w:szCs w:val="21"/>
              </w:rPr>
            </w:pPr>
            <w:r>
              <w:rPr>
                <w:rFonts w:hint="eastAsia" w:ascii="Times New Roman" w:hAnsi="Times New Roman" w:cs="宋体"/>
                <w:kern w:val="0"/>
                <w:sz w:val="24"/>
                <w:szCs w:val="21"/>
              </w:rPr>
              <w:t>准</w:t>
            </w:r>
          </w:p>
        </w:tc>
        <w:tc>
          <w:tcPr>
            <w:tcW w:w="8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1 大气污染物排放标准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本项目大气污染物排放标准见下表。</w:t>
            </w:r>
          </w:p>
          <w:p>
            <w:pPr>
              <w:pStyle w:val="42"/>
              <w:jc w:val="center"/>
              <w:rPr>
                <w:rFonts w:hint="default"/>
                <w:lang w:val="en-US" w:eastAsia="zh-CN"/>
              </w:rPr>
            </w:pPr>
            <w:r>
              <w:rPr>
                <w:rFonts w:hint="eastAsia"/>
                <w:b/>
                <w:bCs/>
                <w:sz w:val="21"/>
                <w:szCs w:val="21"/>
                <w:lang w:val="en-US" w:eastAsia="zh-CN"/>
              </w:rPr>
              <w:t>表</w:t>
            </w:r>
            <w:r>
              <w:rPr>
                <w:rFonts w:hint="default" w:ascii="Times New Roman" w:hAnsi="Times New Roman" w:cs="Times New Roman"/>
                <w:b/>
                <w:bCs/>
                <w:sz w:val="21"/>
                <w:szCs w:val="21"/>
                <w:lang w:val="en-US" w:eastAsia="zh-CN"/>
              </w:rPr>
              <w:t>3-</w:t>
            </w:r>
            <w:r>
              <w:rPr>
                <w:rFonts w:hint="eastAsia" w:ascii="Times New Roman" w:cs="Times New Roman"/>
                <w:b/>
                <w:bCs/>
                <w:sz w:val="21"/>
                <w:szCs w:val="21"/>
                <w:lang w:val="en-US" w:eastAsia="zh-CN"/>
              </w:rPr>
              <w:t>10</w:t>
            </w:r>
            <w:r>
              <w:rPr>
                <w:rFonts w:hint="eastAsia"/>
                <w:b/>
                <w:bCs/>
                <w:sz w:val="21"/>
                <w:szCs w:val="21"/>
                <w:lang w:val="en-US" w:eastAsia="zh-CN"/>
              </w:rPr>
              <w:t xml:space="preserve"> 大气污染物排放限值标准</w:t>
            </w:r>
          </w:p>
          <w:tbl>
            <w:tblPr>
              <w:tblStyle w:val="2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43"/>
              <w:gridCol w:w="1215"/>
              <w:gridCol w:w="4175"/>
              <w:gridCol w:w="12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43" w:type="dxa"/>
                  <w:tcBorders>
                    <w:top w:val="single" w:color="auto" w:sz="12" w:space="0"/>
                    <w:bottom w:val="single" w:color="auto" w:sz="12" w:space="0"/>
                    <w:right w:val="single" w:color="auto" w:sz="4" w:space="0"/>
                  </w:tcBorders>
                  <w:vAlign w:val="center"/>
                </w:tcPr>
                <w:p>
                  <w:pPr>
                    <w:pStyle w:val="42"/>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污染物</w:t>
                  </w:r>
                </w:p>
              </w:tc>
              <w:tc>
                <w:tcPr>
                  <w:tcW w:w="1215" w:type="dxa"/>
                  <w:tcBorders>
                    <w:top w:val="single" w:color="auto" w:sz="12" w:space="0"/>
                    <w:left w:val="single" w:color="auto" w:sz="4" w:space="0"/>
                    <w:bottom w:val="single" w:color="auto" w:sz="12" w:space="0"/>
                    <w:right w:val="single" w:color="auto" w:sz="4" w:space="0"/>
                  </w:tcBorders>
                  <w:vAlign w:val="center"/>
                </w:tcPr>
                <w:p>
                  <w:pPr>
                    <w:pStyle w:val="42"/>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排放形式</w:t>
                  </w:r>
                </w:p>
              </w:tc>
              <w:tc>
                <w:tcPr>
                  <w:tcW w:w="4175" w:type="dxa"/>
                  <w:tcBorders>
                    <w:top w:val="single" w:color="auto" w:sz="12" w:space="0"/>
                    <w:left w:val="single" w:color="auto" w:sz="4" w:space="0"/>
                    <w:bottom w:val="single" w:color="auto" w:sz="12" w:space="0"/>
                    <w:right w:val="single" w:color="auto" w:sz="4" w:space="0"/>
                  </w:tcBorders>
                  <w:vAlign w:val="center"/>
                </w:tcPr>
                <w:p>
                  <w:pPr>
                    <w:pStyle w:val="42"/>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标准</w:t>
                  </w:r>
                </w:p>
              </w:tc>
              <w:tc>
                <w:tcPr>
                  <w:tcW w:w="1238" w:type="dxa"/>
                  <w:tcBorders>
                    <w:top w:val="single" w:color="auto" w:sz="12" w:space="0"/>
                    <w:left w:val="single" w:color="auto" w:sz="4" w:space="0"/>
                    <w:bottom w:val="single" w:color="auto" w:sz="12" w:space="0"/>
                  </w:tcBorders>
                  <w:vAlign w:val="center"/>
                </w:tcPr>
                <w:p>
                  <w:pPr>
                    <w:pStyle w:val="42"/>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1343" w:type="dxa"/>
                  <w:tcBorders>
                    <w:top w:val="single" w:color="auto" w:sz="12" w:space="0"/>
                    <w:bottom w:val="single" w:color="auto" w:sz="12" w:space="0"/>
                    <w:right w:val="single" w:color="auto" w:sz="4" w:space="0"/>
                  </w:tcBorders>
                  <w:vAlign w:val="center"/>
                </w:tcPr>
                <w:p>
                  <w:pPr>
                    <w:pStyle w:val="42"/>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p>
              </w:tc>
              <w:tc>
                <w:tcPr>
                  <w:tcW w:w="1215" w:type="dxa"/>
                  <w:tcBorders>
                    <w:top w:val="single" w:color="auto" w:sz="12" w:space="0"/>
                    <w:left w:val="single" w:color="auto" w:sz="4" w:space="0"/>
                    <w:bottom w:val="single" w:color="auto" w:sz="12" w:space="0"/>
                    <w:right w:val="single" w:color="auto" w:sz="4" w:space="0"/>
                  </w:tcBorders>
                  <w:vAlign w:val="center"/>
                </w:tcPr>
                <w:p>
                  <w:pPr>
                    <w:pStyle w:val="42"/>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无</w:t>
                  </w:r>
                  <w:r>
                    <w:rPr>
                      <w:rFonts w:hint="default" w:ascii="Times New Roman" w:hAnsi="Times New Roman" w:eastAsia="宋体" w:cs="Times New Roman"/>
                      <w:sz w:val="21"/>
                      <w:szCs w:val="21"/>
                      <w:vertAlign w:val="baseline"/>
                      <w:lang w:val="en-US" w:eastAsia="zh-CN"/>
                    </w:rPr>
                    <w:t>组织</w:t>
                  </w:r>
                </w:p>
              </w:tc>
              <w:tc>
                <w:tcPr>
                  <w:tcW w:w="4175" w:type="dxa"/>
                  <w:tcBorders>
                    <w:top w:val="single" w:color="auto" w:sz="12" w:space="0"/>
                    <w:left w:val="single" w:color="auto" w:sz="4" w:space="0"/>
                    <w:bottom w:val="single" w:color="auto" w:sz="12" w:space="0"/>
                    <w:right w:val="single" w:color="auto" w:sz="4" w:space="0"/>
                  </w:tcBorders>
                  <w:vAlign w:val="center"/>
                </w:tcPr>
                <w:p>
                  <w:pPr>
                    <w:pStyle w:val="42"/>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《大气污染物综合排放标准》（GB16297-1996）表2无组织排放限值</w:t>
                  </w:r>
                </w:p>
              </w:tc>
              <w:tc>
                <w:tcPr>
                  <w:tcW w:w="1238" w:type="dxa"/>
                  <w:tcBorders>
                    <w:top w:val="single" w:color="auto" w:sz="12" w:space="0"/>
                    <w:left w:val="single" w:color="auto" w:sz="4" w:space="0"/>
                    <w:bottom w:val="single" w:color="auto" w:sz="12" w:space="0"/>
                  </w:tcBorders>
                  <w:vAlign w:val="center"/>
                </w:tcPr>
                <w:p>
                  <w:pPr>
                    <w:pStyle w:val="42"/>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1.0</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val="0"/>
                <w:bCs w:val="0"/>
                <w:kern w:val="0"/>
                <w:sz w:val="24"/>
                <w:szCs w:val="24"/>
                <w:lang w:val="en-US" w:eastAsia="zh-CN"/>
              </w:rPr>
            </w:pPr>
            <w:r>
              <w:rPr>
                <w:rFonts w:hint="eastAsia" w:ascii="Times New Roman" w:hAnsi="Times New Roman" w:cs="Times New Roman"/>
                <w:b/>
                <w:bCs/>
                <w:kern w:val="0"/>
                <w:sz w:val="24"/>
                <w:szCs w:val="24"/>
                <w:lang w:val="en-US" w:eastAsia="zh-CN"/>
              </w:rPr>
              <w:t>2 水污染物排放标准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本项目水污染物排放标准见下表。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4"/>
                <w:szCs w:val="24"/>
                <w:lang w:val="en-US" w:eastAsia="zh-CN"/>
              </w:rPr>
            </w:pPr>
            <w:r>
              <w:rPr>
                <w:rFonts w:hint="eastAsia" w:ascii="Times New Roman" w:hAnsi="Times New Roman" w:cs="Times New Roman"/>
                <w:b/>
                <w:bCs/>
                <w:kern w:val="0"/>
                <w:sz w:val="21"/>
                <w:szCs w:val="21"/>
                <w:lang w:val="en-US" w:eastAsia="zh-CN"/>
              </w:rPr>
              <w:t>表3-11    水污染物排放标准</w:t>
            </w:r>
          </w:p>
          <w:tbl>
            <w:tblPr>
              <w:tblStyle w:val="2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320"/>
              <w:gridCol w:w="3628"/>
              <w:gridCol w:w="1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4"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废水类别</w:t>
                  </w:r>
                </w:p>
              </w:tc>
              <w:tc>
                <w:tcPr>
                  <w:tcW w:w="1320"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污染物</w:t>
                  </w:r>
                </w:p>
              </w:tc>
              <w:tc>
                <w:tcPr>
                  <w:tcW w:w="3628"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标准</w:t>
                  </w:r>
                </w:p>
              </w:tc>
              <w:tc>
                <w:tcPr>
                  <w:tcW w:w="1672"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344" w:type="dxa"/>
                  <w:vMerge w:val="restart"/>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生活污水、冲洗废水</w:t>
                  </w:r>
                </w:p>
              </w:tc>
              <w:tc>
                <w:tcPr>
                  <w:tcW w:w="1320"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COD</w:t>
                  </w:r>
                </w:p>
              </w:tc>
              <w:tc>
                <w:tcPr>
                  <w:tcW w:w="3628" w:type="dxa"/>
                  <w:vMerge w:val="restar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《污水综合排放标准》(GB8978-1996)</w:t>
                  </w:r>
                </w:p>
              </w:tc>
              <w:tc>
                <w:tcPr>
                  <w:tcW w:w="1672"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500mg/L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4"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132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BOD</w:t>
                  </w:r>
                  <w:r>
                    <w:rPr>
                      <w:rFonts w:hint="eastAsia" w:ascii="Times New Roman" w:hAnsi="Times New Roman" w:cs="Times New Roman"/>
                      <w:b w:val="0"/>
                      <w:bCs w:val="0"/>
                      <w:kern w:val="0"/>
                      <w:sz w:val="21"/>
                      <w:szCs w:val="21"/>
                      <w:vertAlign w:val="subscript"/>
                      <w:lang w:val="en-US" w:eastAsia="zh-CN"/>
                    </w:rPr>
                    <w:t>5</w:t>
                  </w:r>
                </w:p>
              </w:tc>
              <w:tc>
                <w:tcPr>
                  <w:tcW w:w="362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167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300mg/L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4"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132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SS</w:t>
                  </w:r>
                </w:p>
              </w:tc>
              <w:tc>
                <w:tcPr>
                  <w:tcW w:w="362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1672"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400mg/L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4" w:type="dxa"/>
                  <w:vMerge w:val="continue"/>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1320"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NH</w:t>
                  </w:r>
                  <w:r>
                    <w:rPr>
                      <w:rFonts w:hint="eastAsia" w:ascii="Times New Roman" w:hAnsi="Times New Roman" w:cs="Times New Roman"/>
                      <w:b w:val="0"/>
                      <w:bCs w:val="0"/>
                      <w:kern w:val="0"/>
                      <w:sz w:val="21"/>
                      <w:szCs w:val="21"/>
                      <w:vertAlign w:val="subscript"/>
                      <w:lang w:val="en-US" w:eastAsia="zh-CN"/>
                    </w:rPr>
                    <w:t>3</w:t>
                  </w:r>
                  <w:r>
                    <w:rPr>
                      <w:rFonts w:hint="eastAsia" w:ascii="Times New Roman" w:hAnsi="Times New Roman" w:cs="Times New Roman"/>
                      <w:b w:val="0"/>
                      <w:bCs w:val="0"/>
                      <w:kern w:val="0"/>
                      <w:sz w:val="21"/>
                      <w:szCs w:val="21"/>
                      <w:vertAlign w:val="baseline"/>
                      <w:lang w:val="en-US" w:eastAsia="zh-CN"/>
                    </w:rPr>
                    <w:t>-N</w:t>
                  </w:r>
                </w:p>
              </w:tc>
              <w:tc>
                <w:tcPr>
                  <w:tcW w:w="3628" w:type="dxa"/>
                  <w:vMerge w:val="continue"/>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1672"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3 噪声污染物排放标准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本项目噪声污染物排放标准见下表。</w:t>
            </w:r>
          </w:p>
          <w:p>
            <w:pPr>
              <w:pStyle w:val="42"/>
              <w:keepNext w:val="0"/>
              <w:keepLines w:val="0"/>
              <w:widowControl w:val="0"/>
              <w:numPr>
                <w:ilvl w:val="0"/>
                <w:numId w:val="0"/>
              </w:numPr>
              <w:suppressLineNumbers w:val="0"/>
              <w:autoSpaceDE w:val="0"/>
              <w:autoSpaceDN w:val="0"/>
              <w:spacing w:before="0" w:beforeAutospacing="0" w:after="0" w:afterAutospacing="0"/>
              <w:ind w:right="0" w:rightChars="0"/>
              <w:jc w:val="center"/>
              <w:rPr>
                <w:rFonts w:hint="default"/>
                <w:b/>
                <w:bCs/>
                <w:sz w:val="21"/>
                <w:szCs w:val="21"/>
                <w:lang w:val="en-US" w:eastAsia="zh-CN"/>
              </w:rPr>
            </w:pPr>
            <w:r>
              <w:rPr>
                <w:rFonts w:hint="eastAsia"/>
                <w:b/>
                <w:bCs/>
                <w:sz w:val="21"/>
                <w:szCs w:val="21"/>
                <w:lang w:val="en-US" w:eastAsia="zh-CN"/>
              </w:rPr>
              <w:t>表</w:t>
            </w:r>
            <w:r>
              <w:rPr>
                <w:rFonts w:hint="default" w:ascii="Times New Roman" w:hAnsi="Times New Roman" w:cs="Times New Roman"/>
                <w:b/>
                <w:bCs/>
                <w:sz w:val="21"/>
                <w:szCs w:val="21"/>
                <w:lang w:val="en-US" w:eastAsia="zh-CN"/>
              </w:rPr>
              <w:t>3-</w:t>
            </w:r>
            <w:r>
              <w:rPr>
                <w:rFonts w:hint="eastAsia" w:ascii="Times New Roman" w:cs="Times New Roman"/>
                <w:b/>
                <w:bCs/>
                <w:sz w:val="21"/>
                <w:szCs w:val="21"/>
                <w:lang w:val="en-US" w:eastAsia="zh-CN"/>
              </w:rPr>
              <w:t>12</w:t>
            </w:r>
            <w:r>
              <w:rPr>
                <w:rFonts w:hint="eastAsia"/>
                <w:b/>
                <w:bCs/>
                <w:sz w:val="21"/>
                <w:szCs w:val="21"/>
                <w:lang w:val="en-US" w:eastAsia="zh-CN"/>
              </w:rPr>
              <w:t xml:space="preserve">    噪声排放标准</w:t>
            </w:r>
          </w:p>
          <w:tbl>
            <w:tblPr>
              <w:tblStyle w:val="2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0"/>
              <w:gridCol w:w="5271"/>
              <w:gridCol w:w="1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50" w:type="dxa"/>
                  <w:tcBorders>
                    <w:top w:val="single" w:color="auto" w:sz="12" w:space="0"/>
                    <w:bottom w:val="single" w:color="auto" w:sz="12" w:space="0"/>
                    <w:right w:val="single" w:color="auto" w:sz="4" w:space="0"/>
                  </w:tcBorders>
                  <w:vAlign w:val="center"/>
                </w:tcPr>
                <w:p>
                  <w:pPr>
                    <w:pStyle w:val="42"/>
                    <w:keepNext w:val="0"/>
                    <w:keepLines w:val="0"/>
                    <w:pageBreakBefore w:val="0"/>
                    <w:widowControl w:val="0"/>
                    <w:numPr>
                      <w:ilvl w:val="0"/>
                      <w:numId w:val="0"/>
                    </w:numPr>
                    <w:suppressLineNumbers w:val="0"/>
                    <w:kinsoku/>
                    <w:overflowPunct/>
                    <w:topLinePunct w:val="0"/>
                    <w:autoSpaceDE/>
                    <w:autoSpaceDN w:val="0"/>
                    <w:bidi w:val="0"/>
                    <w:adjustRightInd/>
                    <w:snapToGrid/>
                    <w:spacing w:before="0" w:beforeAutospacing="0" w:after="0" w:afterAutospacing="0"/>
                    <w:ind w:right="0" w:right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时期</w:t>
                  </w:r>
                </w:p>
              </w:tc>
              <w:tc>
                <w:tcPr>
                  <w:tcW w:w="5271" w:type="dxa"/>
                  <w:tcBorders>
                    <w:top w:val="single" w:color="auto" w:sz="12" w:space="0"/>
                    <w:left w:val="single" w:color="auto" w:sz="4" w:space="0"/>
                    <w:bottom w:val="single" w:color="auto" w:sz="12" w:space="0"/>
                    <w:right w:val="single" w:color="auto" w:sz="4" w:space="0"/>
                  </w:tcBorders>
                  <w:vAlign w:val="center"/>
                </w:tcPr>
                <w:p>
                  <w:pPr>
                    <w:pStyle w:val="42"/>
                    <w:keepNext w:val="0"/>
                    <w:keepLines w:val="0"/>
                    <w:pageBreakBefore w:val="0"/>
                    <w:widowControl w:val="0"/>
                    <w:numPr>
                      <w:ilvl w:val="0"/>
                      <w:numId w:val="0"/>
                    </w:numPr>
                    <w:suppressLineNumbers w:val="0"/>
                    <w:kinsoku/>
                    <w:overflowPunct/>
                    <w:topLinePunct w:val="0"/>
                    <w:autoSpaceDE/>
                    <w:autoSpaceDN w:val="0"/>
                    <w:bidi w:val="0"/>
                    <w:adjustRightInd/>
                    <w:snapToGrid/>
                    <w:spacing w:before="0" w:beforeAutospacing="0" w:after="0" w:afterAutospacing="0"/>
                    <w:ind w:right="0" w:right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标准</w:t>
                  </w:r>
                </w:p>
              </w:tc>
              <w:tc>
                <w:tcPr>
                  <w:tcW w:w="1751" w:type="dxa"/>
                  <w:tcBorders>
                    <w:top w:val="single" w:color="auto" w:sz="12" w:space="0"/>
                    <w:left w:val="single" w:color="auto" w:sz="4" w:space="0"/>
                    <w:bottom w:val="single" w:color="auto" w:sz="12" w:space="0"/>
                  </w:tcBorders>
                  <w:vAlign w:val="center"/>
                </w:tcPr>
                <w:p>
                  <w:pPr>
                    <w:pStyle w:val="42"/>
                    <w:keepNext w:val="0"/>
                    <w:keepLines w:val="0"/>
                    <w:pageBreakBefore w:val="0"/>
                    <w:widowControl w:val="0"/>
                    <w:numPr>
                      <w:ilvl w:val="0"/>
                      <w:numId w:val="0"/>
                    </w:numPr>
                    <w:suppressLineNumbers w:val="0"/>
                    <w:kinsoku/>
                    <w:overflowPunct/>
                    <w:topLinePunct w:val="0"/>
                    <w:autoSpaceDE/>
                    <w:autoSpaceDN w:val="0"/>
                    <w:bidi w:val="0"/>
                    <w:adjustRightInd/>
                    <w:snapToGrid/>
                    <w:spacing w:before="0" w:beforeAutospacing="0" w:after="0" w:afterAutospacing="0"/>
                    <w:ind w:right="0" w:right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12" w:space="0"/>
                    <w:bottom w:val="single" w:color="auto" w:sz="4" w:space="0"/>
                    <w:right w:val="single" w:color="auto" w:sz="4" w:space="0"/>
                  </w:tcBorders>
                  <w:vAlign w:val="center"/>
                </w:tcPr>
                <w:p>
                  <w:pPr>
                    <w:pStyle w:val="42"/>
                    <w:keepNext w:val="0"/>
                    <w:keepLines w:val="0"/>
                    <w:pageBreakBefore w:val="0"/>
                    <w:widowControl w:val="0"/>
                    <w:numPr>
                      <w:ilvl w:val="0"/>
                      <w:numId w:val="0"/>
                    </w:numPr>
                    <w:suppressLineNumbers w:val="0"/>
                    <w:kinsoku/>
                    <w:overflowPunct/>
                    <w:topLinePunct w:val="0"/>
                    <w:autoSpaceDE/>
                    <w:autoSpaceDN w:val="0"/>
                    <w:bidi w:val="0"/>
                    <w:adjustRightInd/>
                    <w:snapToGrid/>
                    <w:spacing w:before="0" w:beforeAutospacing="0" w:after="0" w:afterAutospacing="0"/>
                    <w:ind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施工期</w:t>
                  </w:r>
                </w:p>
              </w:tc>
              <w:tc>
                <w:tcPr>
                  <w:tcW w:w="5271" w:type="dxa"/>
                  <w:tcBorders>
                    <w:top w:val="single" w:color="auto" w:sz="12" w:space="0"/>
                    <w:left w:val="single" w:color="auto" w:sz="4" w:space="0"/>
                    <w:bottom w:val="single" w:color="auto" w:sz="4" w:space="0"/>
                    <w:right w:val="single" w:color="auto" w:sz="4" w:space="0"/>
                  </w:tcBorders>
                  <w:vAlign w:val="center"/>
                </w:tcPr>
                <w:p>
                  <w:pPr>
                    <w:pStyle w:val="42"/>
                    <w:keepNext w:val="0"/>
                    <w:keepLines w:val="0"/>
                    <w:pageBreakBefore w:val="0"/>
                    <w:widowControl w:val="0"/>
                    <w:numPr>
                      <w:ilvl w:val="0"/>
                      <w:numId w:val="0"/>
                    </w:numPr>
                    <w:suppressLineNumbers w:val="0"/>
                    <w:kinsoku/>
                    <w:wordWrap w:val="0"/>
                    <w:overflowPunct/>
                    <w:topLinePunct w:val="0"/>
                    <w:autoSpaceDE/>
                    <w:autoSpaceDN w:val="0"/>
                    <w:bidi w:val="0"/>
                    <w:adjustRightInd/>
                    <w:snapToGrid/>
                    <w:spacing w:before="0" w:beforeAutospacing="0" w:after="0" w:afterAutospacing="0"/>
                    <w:ind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000000"/>
                      <w:sz w:val="21"/>
                      <w:szCs w:val="21"/>
                      <w:highlight w:val="none"/>
                    </w:rPr>
                    <w:t>《建筑施工厂界环境噪声排放标准》（GB12523-2011）中排放限值标准</w:t>
                  </w:r>
                </w:p>
              </w:tc>
              <w:tc>
                <w:tcPr>
                  <w:tcW w:w="1751" w:type="dxa"/>
                  <w:tcBorders>
                    <w:top w:val="single" w:color="auto" w:sz="12" w:space="0"/>
                    <w:left w:val="single" w:color="auto" w:sz="4" w:space="0"/>
                    <w:bottom w:val="single" w:color="auto" w:sz="4" w:space="0"/>
                  </w:tcBorders>
                  <w:vAlign w:val="center"/>
                </w:tcPr>
                <w:p>
                  <w:pPr>
                    <w:pStyle w:val="42"/>
                    <w:keepNext w:val="0"/>
                    <w:keepLines w:val="0"/>
                    <w:pageBreakBefore w:val="0"/>
                    <w:widowControl w:val="0"/>
                    <w:numPr>
                      <w:ilvl w:val="0"/>
                      <w:numId w:val="0"/>
                    </w:numPr>
                    <w:suppressLineNumbers w:val="0"/>
                    <w:kinsoku/>
                    <w:overflowPunct/>
                    <w:topLinePunct w:val="0"/>
                    <w:autoSpaceDE/>
                    <w:autoSpaceDN w:val="0"/>
                    <w:bidi w:val="0"/>
                    <w:adjustRightInd/>
                    <w:snapToGrid/>
                    <w:spacing w:before="0" w:beforeAutospacing="0" w:after="0" w:afterAutospacing="0"/>
                    <w:ind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昼间70dB（A）、夜间55dB（A）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bottom w:val="single" w:color="auto" w:sz="12" w:space="0"/>
                    <w:right w:val="single" w:color="auto" w:sz="4" w:space="0"/>
                  </w:tcBorders>
                  <w:vAlign w:val="center"/>
                </w:tcPr>
                <w:p>
                  <w:pPr>
                    <w:pStyle w:val="42"/>
                    <w:keepNext w:val="0"/>
                    <w:keepLines w:val="0"/>
                    <w:pageBreakBefore w:val="0"/>
                    <w:widowControl w:val="0"/>
                    <w:numPr>
                      <w:ilvl w:val="0"/>
                      <w:numId w:val="0"/>
                    </w:numPr>
                    <w:suppressLineNumbers w:val="0"/>
                    <w:kinsoku/>
                    <w:overflowPunct/>
                    <w:topLinePunct w:val="0"/>
                    <w:autoSpaceDE/>
                    <w:autoSpaceDN w:val="0"/>
                    <w:bidi w:val="0"/>
                    <w:adjustRightInd/>
                    <w:snapToGrid/>
                    <w:spacing w:before="0" w:beforeAutospacing="0" w:after="0" w:afterAutospacing="0"/>
                    <w:ind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运营期</w:t>
                  </w:r>
                </w:p>
              </w:tc>
              <w:tc>
                <w:tcPr>
                  <w:tcW w:w="5271" w:type="dxa"/>
                  <w:tcBorders>
                    <w:top w:val="single" w:color="auto" w:sz="4" w:space="0"/>
                    <w:left w:val="single" w:color="auto" w:sz="4" w:space="0"/>
                    <w:bottom w:val="single" w:color="auto" w:sz="12" w:space="0"/>
                    <w:right w:val="single" w:color="auto" w:sz="4" w:space="0"/>
                  </w:tcBorders>
                  <w:vAlign w:val="center"/>
                </w:tcPr>
                <w:p>
                  <w:pPr>
                    <w:pStyle w:val="42"/>
                    <w:keepNext w:val="0"/>
                    <w:keepLines w:val="0"/>
                    <w:pageBreakBefore w:val="0"/>
                    <w:widowControl w:val="0"/>
                    <w:numPr>
                      <w:ilvl w:val="0"/>
                      <w:numId w:val="0"/>
                    </w:numPr>
                    <w:suppressLineNumbers w:val="0"/>
                    <w:kinsoku/>
                    <w:wordWrap w:val="0"/>
                    <w:overflowPunct/>
                    <w:topLinePunct w:val="0"/>
                    <w:autoSpaceDE/>
                    <w:autoSpaceDN w:val="0"/>
                    <w:bidi w:val="0"/>
                    <w:adjustRightInd/>
                    <w:snapToGrid/>
                    <w:spacing w:before="0" w:beforeAutospacing="0" w:after="0" w:afterAutospacing="0"/>
                    <w:ind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000000"/>
                      <w:kern w:val="0"/>
                      <w:sz w:val="21"/>
                      <w:szCs w:val="21"/>
                    </w:rPr>
                    <w:t>《工业企业厂界环境噪声</w:t>
                  </w:r>
                  <w:r>
                    <w:rPr>
                      <w:rFonts w:hint="default" w:ascii="Times New Roman" w:hAnsi="Times New Roman" w:eastAsia="宋体" w:cs="Times New Roman"/>
                      <w:color w:val="000000"/>
                      <w:sz w:val="21"/>
                      <w:szCs w:val="21"/>
                      <w:highlight w:val="none"/>
                    </w:rPr>
                    <w:t>排放标准》（GB12348--2008）</w:t>
                  </w:r>
                  <w:r>
                    <w:rPr>
                      <w:rFonts w:hint="default" w:ascii="Times New Roman" w:hAnsi="Times New Roman" w:eastAsia="宋体" w:cs="Times New Roman"/>
                      <w:color w:val="000000"/>
                      <w:sz w:val="21"/>
                      <w:szCs w:val="21"/>
                      <w:highlight w:val="none"/>
                      <w:lang w:val="en-US" w:eastAsia="zh-CN"/>
                    </w:rPr>
                    <w:t>中</w:t>
                  </w:r>
                  <w:r>
                    <w:rPr>
                      <w:rFonts w:hint="eastAsia" w:ascii="Times New Roman" w:cs="Times New Roman"/>
                      <w:color w:val="000000"/>
                      <w:sz w:val="21"/>
                      <w:szCs w:val="21"/>
                      <w:highlight w:val="none"/>
                      <w:lang w:val="en-US" w:eastAsia="zh-CN"/>
                    </w:rPr>
                    <w:t>3</w:t>
                  </w:r>
                  <w:r>
                    <w:rPr>
                      <w:rFonts w:hint="default" w:ascii="Times New Roman" w:hAnsi="Times New Roman" w:eastAsia="宋体" w:cs="Times New Roman"/>
                      <w:color w:val="000000"/>
                      <w:sz w:val="21"/>
                      <w:szCs w:val="21"/>
                      <w:highlight w:val="none"/>
                    </w:rPr>
                    <w:t>类标准</w:t>
                  </w:r>
                </w:p>
              </w:tc>
              <w:tc>
                <w:tcPr>
                  <w:tcW w:w="1751" w:type="dxa"/>
                  <w:tcBorders>
                    <w:top w:val="single" w:color="auto" w:sz="4" w:space="0"/>
                    <w:left w:val="single" w:color="auto" w:sz="4" w:space="0"/>
                    <w:bottom w:val="single" w:color="auto" w:sz="12" w:space="0"/>
                  </w:tcBorders>
                  <w:vAlign w:val="center"/>
                </w:tcPr>
                <w:p>
                  <w:pPr>
                    <w:pStyle w:val="42"/>
                    <w:keepNext w:val="0"/>
                    <w:keepLines w:val="0"/>
                    <w:pageBreakBefore w:val="0"/>
                    <w:widowControl w:val="0"/>
                    <w:numPr>
                      <w:ilvl w:val="0"/>
                      <w:numId w:val="0"/>
                    </w:numPr>
                    <w:suppressLineNumbers w:val="0"/>
                    <w:kinsoku/>
                    <w:overflowPunct/>
                    <w:topLinePunct w:val="0"/>
                    <w:autoSpaceDE/>
                    <w:autoSpaceDN w:val="0"/>
                    <w:bidi w:val="0"/>
                    <w:adjustRightInd/>
                    <w:snapToGrid/>
                    <w:spacing w:before="0" w:beforeAutospacing="0" w:after="0" w:afterAutospacing="0"/>
                    <w:ind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昼间</w:t>
                  </w:r>
                  <w:r>
                    <w:rPr>
                      <w:rFonts w:hint="eastAsia" w:ascii="Times New Roman" w:hAnsi="Times New Roman" w:eastAsia="宋体" w:cs="Times New Roman"/>
                      <w:sz w:val="21"/>
                      <w:szCs w:val="21"/>
                      <w:vertAlign w:val="baseline"/>
                      <w:lang w:val="en-US" w:eastAsia="zh-CN"/>
                    </w:rPr>
                    <w:t>6</w:t>
                  </w:r>
                  <w:r>
                    <w:rPr>
                      <w:rFonts w:hint="eastAsia" w:ascii="Times New Roman" w:cs="Times New Roman"/>
                      <w:sz w:val="21"/>
                      <w:szCs w:val="21"/>
                      <w:vertAlign w:val="baseline"/>
                      <w:lang w:val="en-US" w:eastAsia="zh-CN"/>
                    </w:rPr>
                    <w:t>5</w:t>
                  </w:r>
                  <w:r>
                    <w:rPr>
                      <w:rFonts w:hint="default" w:ascii="Times New Roman" w:hAnsi="Times New Roman" w:eastAsia="宋体" w:cs="Times New Roman"/>
                      <w:sz w:val="21"/>
                      <w:szCs w:val="21"/>
                      <w:vertAlign w:val="baseline"/>
                      <w:lang w:val="en-US" w:eastAsia="zh-CN"/>
                    </w:rPr>
                    <w:t>dB（A）、夜间</w:t>
                  </w:r>
                  <w:r>
                    <w:rPr>
                      <w:rFonts w:hint="eastAsia" w:ascii="Times New Roman" w:hAnsi="Times New Roman" w:eastAsia="宋体" w:cs="Times New Roman"/>
                      <w:sz w:val="21"/>
                      <w:szCs w:val="21"/>
                      <w:vertAlign w:val="baseline"/>
                      <w:lang w:val="en-US" w:eastAsia="zh-CN"/>
                    </w:rPr>
                    <w:t>5</w:t>
                  </w:r>
                  <w:r>
                    <w:rPr>
                      <w:rFonts w:hint="eastAsia" w:ascii="Times New Roman" w:cs="Times New Roman"/>
                      <w:sz w:val="21"/>
                      <w:szCs w:val="21"/>
                      <w:vertAlign w:val="baseline"/>
                      <w:lang w:val="en-US" w:eastAsia="zh-CN"/>
                    </w:rPr>
                    <w:t>5</w:t>
                  </w:r>
                  <w:r>
                    <w:rPr>
                      <w:rFonts w:hint="default" w:ascii="Times New Roman" w:hAnsi="Times New Roman" w:eastAsia="宋体" w:cs="Times New Roman"/>
                      <w:sz w:val="21"/>
                      <w:szCs w:val="21"/>
                      <w:vertAlign w:val="baseline"/>
                      <w:lang w:val="en-US" w:eastAsia="zh-CN"/>
                    </w:rPr>
                    <w:t>dB（A）</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4 固体废物污染物控制标准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宋体"/>
                <w:kern w:val="0"/>
                <w:sz w:val="24"/>
                <w:szCs w:val="21"/>
              </w:rPr>
            </w:pPr>
            <w:r>
              <w:rPr>
                <w:rFonts w:hint="eastAsia" w:cs="Times New Roman"/>
                <w:b w:val="0"/>
                <w:bCs w:val="0"/>
                <w:kern w:val="0"/>
                <w:sz w:val="24"/>
                <w:szCs w:val="24"/>
                <w:lang w:val="en-US" w:eastAsia="zh-CN"/>
              </w:rPr>
              <w:t>本项目职工产生的</w:t>
            </w:r>
            <w:r>
              <w:rPr>
                <w:rFonts w:hint="eastAsia" w:ascii="Times New Roman" w:hAnsi="Times New Roman" w:cs="Times New Roman"/>
                <w:b w:val="0"/>
                <w:bCs w:val="0"/>
                <w:kern w:val="0"/>
                <w:sz w:val="24"/>
                <w:szCs w:val="24"/>
                <w:lang w:val="en-US" w:eastAsia="zh-CN"/>
              </w:rPr>
              <w:t>固体废物</w:t>
            </w:r>
            <w:r>
              <w:rPr>
                <w:rFonts w:hint="eastAsia" w:cs="Times New Roman"/>
                <w:b w:val="0"/>
                <w:bCs w:val="0"/>
                <w:kern w:val="0"/>
                <w:sz w:val="24"/>
                <w:szCs w:val="24"/>
                <w:lang w:val="en-US" w:eastAsia="zh-CN"/>
              </w:rPr>
              <w:t>（生活垃圾）</w:t>
            </w:r>
            <w:r>
              <w:rPr>
                <w:rFonts w:hint="eastAsia" w:ascii="Times New Roman" w:hAnsi="Times New Roman" w:cs="Times New Roman"/>
                <w:b w:val="0"/>
                <w:bCs w:val="0"/>
                <w:kern w:val="0"/>
                <w:sz w:val="24"/>
                <w:szCs w:val="24"/>
                <w:lang w:val="en-US" w:eastAsia="zh-CN"/>
              </w:rPr>
              <w:t>执行《一般工业固体废物贮存和填埋污染控制标准》（GB18599-2020）。</w:t>
            </w:r>
            <w:r>
              <w:rPr>
                <w:rFonts w:hint="eastAsia" w:ascii="Times New Roman" w:hAnsi="Times New Roman" w:cs="Times New Roman"/>
                <w:kern w:val="0"/>
                <w:sz w:val="24"/>
                <w:szCs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rFonts w:ascii="Times New Roman" w:hAnsi="Times New Roman" w:cs="宋体"/>
                <w:kern w:val="0"/>
                <w:sz w:val="24"/>
                <w:szCs w:val="21"/>
              </w:rPr>
            </w:pPr>
            <w:r>
              <w:rPr>
                <w:rFonts w:hint="eastAsia" w:ascii="Times New Roman" w:hAnsi="Times New Roman" w:cs="宋体"/>
                <w:kern w:val="0"/>
                <w:sz w:val="24"/>
                <w:szCs w:val="21"/>
              </w:rPr>
              <w:t>总量控制指标</w:t>
            </w:r>
          </w:p>
        </w:tc>
        <w:tc>
          <w:tcPr>
            <w:tcW w:w="8190" w:type="dxa"/>
            <w:vAlign w:val="center"/>
          </w:tcPr>
          <w:p>
            <w:pPr>
              <w:adjustRightInd w:val="0"/>
              <w:snapToGrid w:val="0"/>
              <w:jc w:val="center"/>
              <w:rPr>
                <w:rFonts w:ascii="Times New Roman" w:hAnsi="Times New Roman" w:cs="宋体"/>
                <w:kern w:val="0"/>
                <w:sz w:val="24"/>
                <w:szCs w:val="21"/>
              </w:rPr>
            </w:pPr>
            <w:r>
              <w:rPr>
                <w:rFonts w:hint="eastAsia" w:ascii="Times New Roman" w:hAnsi="Times New Roman" w:cs="Times New Roman"/>
                <w:kern w:val="0"/>
                <w:sz w:val="24"/>
                <w:szCs w:val="24"/>
                <w:lang w:val="en-US" w:eastAsia="zh-CN"/>
              </w:rPr>
              <w:t>无</w:t>
            </w:r>
          </w:p>
        </w:tc>
      </w:tr>
    </w:tbl>
    <w:p>
      <w:pPr>
        <w:pStyle w:val="18"/>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9" w:name="_Toc22888"/>
      <w:r>
        <w:rPr>
          <w:rFonts w:hint="eastAsia" w:ascii="黑体" w:hAnsi="黑体" w:eastAsia="黑体"/>
          <w:snapToGrid w:val="0"/>
          <w:sz w:val="30"/>
          <w:szCs w:val="30"/>
        </w:rPr>
        <w:t>四、主要环境影响和保护措施</w:t>
      </w:r>
      <w:bookmarkEnd w:id="9"/>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pPr>
              <w:pStyle w:val="18"/>
              <w:adjustRightInd w:val="0"/>
              <w:snapToGrid w:val="0"/>
              <w:spacing w:before="0" w:beforeAutospacing="0" w:after="0" w:afterAutospacing="0"/>
              <w:jc w:val="center"/>
              <w:rPr>
                <w:rFonts w:hint="eastAsia" w:ascii="Times New Roman" w:hAnsi="Times New Roman" w:cs="宋体"/>
                <w:kern w:val="2"/>
                <w:sz w:val="24"/>
                <w:szCs w:val="21"/>
              </w:rPr>
            </w:pPr>
            <w:r>
              <w:rPr>
                <w:rFonts w:hint="eastAsia" w:ascii="Times New Roman" w:hAnsi="Times New Roman" w:cs="宋体"/>
                <w:kern w:val="2"/>
                <w:sz w:val="24"/>
                <w:szCs w:val="21"/>
              </w:rPr>
              <w:t>施工</w:t>
            </w:r>
          </w:p>
          <w:p>
            <w:pPr>
              <w:pStyle w:val="18"/>
              <w:adjustRightInd w:val="0"/>
              <w:snapToGrid w:val="0"/>
              <w:spacing w:before="0" w:beforeAutospacing="0" w:after="0" w:afterAutospacing="0"/>
              <w:jc w:val="center"/>
              <w:rPr>
                <w:rFonts w:hint="eastAsia" w:ascii="Times New Roman" w:hAnsi="Times New Roman" w:cs="宋体"/>
                <w:kern w:val="2"/>
                <w:sz w:val="24"/>
                <w:szCs w:val="21"/>
              </w:rPr>
            </w:pPr>
            <w:r>
              <w:rPr>
                <w:rFonts w:hint="eastAsia" w:ascii="Times New Roman" w:hAnsi="Times New Roman" w:cs="宋体"/>
                <w:kern w:val="2"/>
                <w:sz w:val="24"/>
                <w:szCs w:val="21"/>
              </w:rPr>
              <w:t>期环</w:t>
            </w:r>
          </w:p>
          <w:p>
            <w:pPr>
              <w:pStyle w:val="18"/>
              <w:adjustRightInd w:val="0"/>
              <w:snapToGrid w:val="0"/>
              <w:spacing w:before="0" w:beforeAutospacing="0" w:after="0" w:afterAutospacing="0"/>
              <w:jc w:val="center"/>
              <w:rPr>
                <w:rFonts w:hint="eastAsia" w:ascii="Times New Roman" w:hAnsi="Times New Roman" w:cs="宋体"/>
                <w:kern w:val="2"/>
                <w:sz w:val="24"/>
                <w:szCs w:val="21"/>
              </w:rPr>
            </w:pPr>
            <w:r>
              <w:rPr>
                <w:rFonts w:hint="eastAsia" w:ascii="Times New Roman" w:hAnsi="Times New Roman" w:cs="宋体"/>
                <w:kern w:val="2"/>
                <w:sz w:val="24"/>
                <w:szCs w:val="21"/>
              </w:rPr>
              <w:t>境保</w:t>
            </w:r>
          </w:p>
          <w:p>
            <w:pPr>
              <w:pStyle w:val="18"/>
              <w:adjustRightInd w:val="0"/>
              <w:snapToGrid w:val="0"/>
              <w:spacing w:before="0" w:beforeAutospacing="0" w:after="0" w:afterAutospacing="0"/>
              <w:jc w:val="center"/>
              <w:rPr>
                <w:rFonts w:hint="eastAsia" w:ascii="Times New Roman" w:hAnsi="Times New Roman" w:cs="宋体"/>
                <w:kern w:val="2"/>
                <w:sz w:val="24"/>
                <w:szCs w:val="21"/>
              </w:rPr>
            </w:pPr>
            <w:r>
              <w:rPr>
                <w:rFonts w:hint="eastAsia" w:ascii="Times New Roman" w:hAnsi="Times New Roman" w:cs="宋体"/>
                <w:kern w:val="2"/>
                <w:sz w:val="24"/>
                <w:szCs w:val="21"/>
              </w:rPr>
              <w:t>护措</w:t>
            </w:r>
          </w:p>
          <w:p>
            <w:pPr>
              <w:pStyle w:val="18"/>
              <w:adjustRightInd w:val="0"/>
              <w:snapToGrid w:val="0"/>
              <w:spacing w:before="0" w:beforeAutospacing="0" w:after="0" w:afterAutospacing="0"/>
              <w:jc w:val="center"/>
              <w:rPr>
                <w:rFonts w:hint="eastAsia" w:ascii="Times New Roman" w:hAnsi="Times New Roman" w:cs="宋体"/>
                <w:bCs/>
                <w:kern w:val="2"/>
                <w:sz w:val="24"/>
                <w:szCs w:val="21"/>
              </w:rPr>
            </w:pPr>
            <w:r>
              <w:rPr>
                <w:rFonts w:hint="eastAsia" w:ascii="Times New Roman" w:hAnsi="Times New Roman" w:cs="宋体"/>
                <w:kern w:val="2"/>
                <w:sz w:val="24"/>
                <w:szCs w:val="21"/>
              </w:rPr>
              <w:t>施</w:t>
            </w:r>
          </w:p>
        </w:tc>
        <w:tc>
          <w:tcPr>
            <w:tcW w:w="816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1 施工期大气污染物防治措施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由于项目建设期需进行土方工程、对建筑材料进行运输装卸等。因此，施工期间产生的扬尘将对附近大气环境带来不利影响，必须采取合理可行的防治措施，尽量减轻其污染程度，缩小其影响范围。其主要对策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（1）应重视施工工地道路的维护和管理，制定洒水抑尘制度，做到每天定期洒水，防止浮尘产生。在干燥和大风气象条件下，应增加洒水次数及洒水量。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（2）建筑材料的堆场应当在其周围设置不低于堆放物高度的封闭性围栏；工程脚手架外侧应使用密闭式安全网进行封闭。施工工地周围设置不低于2m的硬质密闭围挡。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3）施工期间运输车进出的主干道应定期洒水清扫，保持车辆出入口路面清洁、湿润，以减少汽车轮胎与路面接触而引起的地面扬尘污染，并尽量减缓车速。不得使用空气压缩机来清理车辆、设备和物料的尘埃；施工工地各出入口应设置除车轮泥土设施，以保障车辆不带泥土驶出工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（4）加强运输管理，散装货车不得超高超载，以免车辆颠簸洒出；坚持文明装卸，避免袋装水泥散包；运输车辆卸完货后应冲洗车厢；工作车辆及运输车辆在离开施工区时冲洗轮胎，检查装车质量。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（5）散状物料运输应采取罐装或加盖篷布；散状物料运输车应尽量避开居民稠密区；运输建筑材料的车辆应在交通部门指定的线路上通行。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（6）加强对各种机械设备、车辆的维修保养，禁止以柴油为燃料的施工机械超负荷工作，减少烟气和颗粒物排放。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（7）加强对施工人员的环保教育，提高全体施工人员的环保意识，坚持文明施工、科学施工，尽量减少施工期的大气环境影响。</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2 施工期废水污染防治措施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施工期废水主要是来自施工废水及施工人员的生活污水。为避免施工中对水环境的影响，应严格施工管理。地基填土应控制好土的最佳用水量，保证地基的压实度，并做好边坡的防护；修建临时沉淀池，收集沉淀处理含悬浮物高的废水，施工废水经沉淀处理后由于水质较为澄清，可回用作施工用水及道路的洒水。这样可以使施工期废水对水体的影响得到有效的控制。施工期含油废水要严格控制，设置必要的临时隔油池，再排入沉淀池进行二次沉降后，用于场地抑尘。施工人员生活污水排入临时化粪池后，由吸污车拉运至污水处理厂处理，经上述处理措施处理后，施工期废水对环境影响较小，不会对环境造成明显影响。但在施工过程中应加强环境管理，尽量避免施工废水任意乱排，以减缓施工废水对周围环境的不利影响。</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3 施工期噪声污染防治措施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（1）加强施工管理，合理安排施工作业时间，严格按照施工噪声管理的有关规定执行，严禁夜间进行高噪声施工作业。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（2）尽量采用低噪声的施工工具，同时尽可能采用施工噪声低的施工方法。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（3）施工机械应尽可能放置于对周围敏感点造成影响最小的地点。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（4）在高噪声设备周围设置掩蔽物。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（5）混凝土需要连续浇灌作业前，应做好各项准备工作，将搅拌机运行时间压到最低限度。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szCs w:val="24"/>
                <w:lang w:val="en-US" w:eastAsia="zh-CN"/>
              </w:rPr>
            </w:pPr>
            <w:r>
              <w:rPr>
                <w:rFonts w:hint="eastAsia" w:ascii="Times New Roman" w:hAnsi="Times New Roman" w:cs="Times New Roman"/>
                <w:bCs/>
                <w:spacing w:val="0"/>
                <w:sz w:val="24"/>
                <w:szCs w:val="24"/>
                <w:lang w:val="en-US" w:eastAsia="zh-CN"/>
              </w:rPr>
              <w:t>施工期噪声影响为短期影响，施工结束后即可消除。但考虑施工期对周围环境的影响，要求建设单位在建设过程中必须认真遵守各项管理制度，落实本报告提出的防治措施及建议，做到文明施工、严格管理、缩短工期，力争将项目建设过程中对周围环境产生的影响降到最低限度。</w:t>
            </w:r>
            <w:r>
              <w:rPr>
                <w:rFonts w:hint="eastAsia" w:ascii="Times New Roman" w:hAnsi="Times New Roman" w:cs="Times New Roman"/>
                <w:bCs/>
                <w:color w:val="auto"/>
                <w:spacing w:val="0"/>
                <w:sz w:val="24"/>
                <w:szCs w:val="24"/>
                <w:lang w:val="en-US" w:eastAsia="zh-CN"/>
              </w:rPr>
              <w:t>项目外环境周边</w:t>
            </w:r>
            <w:r>
              <w:rPr>
                <w:rFonts w:hint="eastAsia" w:cs="Times New Roman"/>
                <w:bCs/>
                <w:color w:val="auto"/>
                <w:spacing w:val="0"/>
                <w:sz w:val="24"/>
                <w:szCs w:val="24"/>
                <w:lang w:val="en-US" w:eastAsia="zh-CN"/>
              </w:rPr>
              <w:t>185m处有一老年公寓为</w:t>
            </w:r>
            <w:r>
              <w:rPr>
                <w:rFonts w:hint="eastAsia" w:ascii="Times New Roman" w:hAnsi="Times New Roman" w:cs="Times New Roman"/>
                <w:bCs/>
                <w:color w:val="auto"/>
                <w:spacing w:val="0"/>
                <w:sz w:val="24"/>
                <w:szCs w:val="24"/>
                <w:lang w:val="en-US" w:eastAsia="zh-CN"/>
              </w:rPr>
              <w:t>环境敏感保护目标，项目施工期噪声经采取以上措施</w:t>
            </w:r>
            <w:r>
              <w:rPr>
                <w:rFonts w:hint="eastAsia" w:cs="Times New Roman"/>
                <w:bCs/>
                <w:color w:val="auto"/>
                <w:spacing w:val="0"/>
                <w:sz w:val="24"/>
                <w:szCs w:val="24"/>
                <w:lang w:val="en-US" w:eastAsia="zh-CN"/>
              </w:rPr>
              <w:t>能够</w:t>
            </w:r>
            <w:r>
              <w:rPr>
                <w:rFonts w:hint="eastAsia" w:ascii="Times New Roman" w:hAnsi="Times New Roman" w:cs="Times New Roman"/>
                <w:bCs/>
                <w:color w:val="auto"/>
                <w:spacing w:val="0"/>
                <w:sz w:val="24"/>
                <w:szCs w:val="24"/>
                <w:lang w:val="en-US" w:eastAsia="zh-CN"/>
              </w:rPr>
              <w:t>达标排放，</w:t>
            </w:r>
            <w:r>
              <w:rPr>
                <w:rFonts w:hint="eastAsia" w:cs="Times New Roman"/>
                <w:bCs/>
                <w:color w:val="auto"/>
                <w:spacing w:val="0"/>
                <w:sz w:val="24"/>
                <w:szCs w:val="24"/>
                <w:lang w:val="en-US" w:eastAsia="zh-CN"/>
              </w:rPr>
              <w:t>对老年公寓及周边环境造成的影响较小。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4 施工期固废污染防治措施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施工期过程中产生的建筑垃圾，主要包括砂石、石块、碎砖瓦、废木料、废金属、废钢筋等杂物，包装袋、散落的砂浆和混凝土、碎砖和碎混凝土块、搬运过程中散落的黄沙、石子和块石等。产生的建筑垃圾在施工场地指定地点储存，并采取洒水、设置围挡等保护措施，待项目运行后进行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施工期施工人员会产生一定量的生活垃圾，统一收集后由环卫部门统一清运。</w:t>
            </w:r>
            <w:r>
              <w:rPr>
                <w:rFonts w:ascii="Times New Roman" w:hAnsi="Times New Roman" w:cs="Times New Roman"/>
                <w:sz w:val="24"/>
                <w:szCs w:val="24"/>
              </w:rPr>
              <w:t>加强环境管理，施工过程中产生的建筑垃圾和生活垃圾可以得到有效处理和处置，对周边环境影响较小。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5 施工期生态环境保护措施</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highlight w:val="none"/>
                <w:lang w:val="en-US" w:eastAsia="zh-CN"/>
              </w:rPr>
            </w:pPr>
            <w:r>
              <w:rPr>
                <w:rFonts w:hint="eastAsia" w:ascii="Times New Roman" w:hAnsi="Times New Roman" w:cs="Times New Roman"/>
                <w:b/>
                <w:bCs w:val="0"/>
                <w:spacing w:val="0"/>
                <w:sz w:val="24"/>
                <w:szCs w:val="24"/>
                <w:highlight w:val="none"/>
                <w:lang w:val="en-US" w:eastAsia="zh-CN"/>
              </w:rPr>
              <w:t>5.1 生态环境影响分析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（1）占地对天然植被的影响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本项目现状为废弃学校校址，项目厂址区域内植被</w:t>
            </w:r>
            <w:r>
              <w:rPr>
                <w:rFonts w:hint="eastAsia" w:cs="Times New Roman"/>
                <w:bCs/>
                <w:spacing w:val="0"/>
                <w:sz w:val="24"/>
                <w:szCs w:val="24"/>
                <w:lang w:val="en-US" w:eastAsia="zh-CN"/>
              </w:rPr>
              <w:t>较少</w:t>
            </w:r>
            <w:r>
              <w:rPr>
                <w:rFonts w:hint="eastAsia" w:ascii="Times New Roman" w:hAnsi="Times New Roman" w:cs="Times New Roman"/>
                <w:bCs/>
                <w:spacing w:val="0"/>
                <w:sz w:val="24"/>
                <w:szCs w:val="24"/>
                <w:lang w:val="en-US" w:eastAsia="zh-CN"/>
              </w:rPr>
              <w:t>，因此项目施工过程中对植被影响</w:t>
            </w:r>
            <w:r>
              <w:rPr>
                <w:rFonts w:hint="eastAsia" w:cs="Times New Roman"/>
                <w:bCs/>
                <w:spacing w:val="0"/>
                <w:sz w:val="24"/>
                <w:szCs w:val="24"/>
                <w:lang w:val="en-US" w:eastAsia="zh-CN"/>
              </w:rPr>
              <w:t>不大</w:t>
            </w:r>
            <w:r>
              <w:rPr>
                <w:rFonts w:hint="eastAsia" w:ascii="Times New Roman" w:hAnsi="Times New Roman" w:cs="Times New Roman"/>
                <w:bCs/>
                <w:spacing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临时性占地是工程施工过程中施工人员活动，施工机械碾轧，施工材料堆放，施工料场开挖，施工临时设施建设，施工场地平整所占用的土地，其影响主要表现在两个方面：一是取土或弃土、弃渣等造成对地表形态及水土流失的影响；二是留下的临时设施既不利用又不拆除，影响景观的恢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本工程临时占地面积较小，主要是施工区、材料堆放区的占地，临时占地在永久占地范围内。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永久占地范围主要是废弃校址占地，施工期开挖及土地平整活动存在一定的土壤扰动，但主要局限在建设区域及场内需平整地段，对整个评价范围内自然生态系统体系来说属于可以承受的范围内。永久占地范围内被破坏的植被，只能通过项目区绿化进行补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（2）污染物对植物的影响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本项目施工过程中，扬尘是对植物生长产生影响的因素之一。项目对施工期扬尘采取有效的环保措施，可减少对区域范围内植物生长的影响。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（3）人为活动对植被的影响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人为活动对植被的影响主要表现为工作人员和作业机械对植物的践踏、碾压等，主要由于施工过程中人为践踏形成的小面积局部地段的次生裸地，这种影响一般为短期性影响，且强度不大，施工结束，这一影响也逐渐消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（4）道路建设对生态环境的影响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外部运输道路只要利用已建的公路及乡道，内部道路为新建的砂石路面，在道路施工过程中会对占地范围内的植被造成破坏，对原有地表土壤造成扰动，造成地表原有结构的破坏。对原地貌的扰动大大降低了项目占地范围内的土壤抗侵蚀能力，若未采取相应的防护措施，遇大风天气，极易加重区域沙尘天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（5）对野生动物的影响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default" w:ascii="Times New Roman" w:hAnsi="Times New Roman" w:cs="Times New Roman"/>
                <w:bCs/>
                <w:spacing w:val="0"/>
                <w:sz w:val="24"/>
                <w:szCs w:val="24"/>
                <w:lang w:val="en-US" w:eastAsia="zh-CN"/>
              </w:rPr>
              <w:t>项目区区域</w:t>
            </w:r>
            <w:r>
              <w:rPr>
                <w:rFonts w:hint="eastAsia" w:ascii="Times New Roman" w:hAnsi="Times New Roman" w:cs="Times New Roman"/>
                <w:bCs/>
                <w:spacing w:val="0"/>
                <w:sz w:val="24"/>
                <w:szCs w:val="24"/>
                <w:lang w:val="en-US" w:eastAsia="zh-CN"/>
              </w:rPr>
              <w:t>为城镇空间中的学校校址，存在的野生动物较少，因此，项目对野生动物影响不大。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（6）对土壤的影响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施工期对生态环境的破坏主要是场地平整，裸露施工场地在大风天气的降雨的冲刷作用下可能造成水土流失及扬尘。因为项目区为废弃学校校址，施工期整改不大，因此本次施工期对土壤环境的影响较小，施工期结束后，项目区生态环境将再次趋于稳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（7）对周围农田的影响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本项目西侧与南侧存在农田，根据调查属于基本农田，主要种植的是玉米。项目预计</w:t>
            </w:r>
            <w:r>
              <w:rPr>
                <w:rFonts w:hint="eastAsia" w:ascii="Times New Roman" w:hAnsi="Times New Roman" w:cs="Times New Roman"/>
                <w:bCs/>
                <w:spacing w:val="0"/>
                <w:sz w:val="24"/>
                <w:szCs w:val="24"/>
                <w:highlight w:val="none"/>
                <w:lang w:val="en-US" w:eastAsia="zh-CN"/>
              </w:rPr>
              <w:t>在9</w:t>
            </w:r>
            <w:r>
              <w:rPr>
                <w:rFonts w:hint="eastAsia" w:ascii="Times New Roman" w:hAnsi="Times New Roman" w:cs="Times New Roman"/>
                <w:bCs/>
                <w:spacing w:val="0"/>
                <w:sz w:val="24"/>
                <w:szCs w:val="24"/>
                <w:lang w:val="en-US" w:eastAsia="zh-CN"/>
              </w:rPr>
              <w:t>月底进行施工，施工期较短，且本项目施工期只是进行简单的修整和防渗工程，施工不进行大开挖，平整过程中同时洒水降尘，产生的扬尘基本控制在坑内，不会对周围的农田产生影响。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（8）对景观的影响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在施工期，由于基础开挖、土方临时堆存、施工道路、物料运输造成的扬尘、施工人员生活垃圾等，如果管理不当将会对局部景观造成一定的不良影响。通过采取围挡作业、分段施工、及时清运弃方、采取防尘抑尘措施、集中收集施工人员生活垃圾并及时清运处理等措施，可以使施工区域及时恢复原有自然面貌，将施工期造成的景观影响降至最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5.2 施工期生态环境影响防治措施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施工期在一定程度上破坏了施工区原有地貌、地表植被，使表层松散，抗水力侵蚀能力减弱，使土壤失去了原有的固土防风能力，从而增加了一定量的水土流失。为减少施工场地水土流失量，应采取如下措施：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（1）植被的保护与恢复措施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①施工时应采取尽量少占地、少破坏植被的原则，各施工活动应严格控制在施工区域内进行，规范行车路线，严禁随意碾压植被。以免造成周围植被、土壤的大面积破坏和干扰动物的栖息环境。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②不准随意破坏植被，不准乱挖、滥采野生植被，不准随便破坏动物巢穴，减少对生态环境的影响；项目区张贴警示标语、警示牌，明确要保护的鸟类及其他野生动物等，禁止进行非法采挖植被。严禁一切随意破坏生态环境的现象发生，严禁在项目占地区域及其周围捕猎野生动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③土石方运输要严格遵守作业制度，采用车况良好的车辆，避免过量装料，防止松散土石料的散落，减少水土流失。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④施工期永久占地和临时占地均应避开植被密集的区域，可减少对植被的破坏。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⑤由于施工设备基本属于较重、庞大类型，在施工时，应避免植被茂盛的区域受碾压而失去正常使用功能。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⑥严禁施工车辆到处乱碾乱压，应严格限制在已有的道路行驶，防止对周围土壤和植被产生破坏。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⑦加强对施工人员的教育、监督和管理，积极倡导文明施工。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⑧该范围内进行生态恢复时，合理配置绿地，以达到生态效益最高的生态恢复目标。道路两侧及其他临时占地区域可通过人工撒播草种等方法，辅助恢复植被。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（2）道路施工保护措施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对于道路两旁的生态恢复，在施工结束后对道路两侧扰动区域撒播草籽进行植被恢复，主要以撒播草籽为主。项目建成后，随着植被的恢复，改善了施工期的景观状况。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（3）其他生态保护措施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施工期做到文明施工，在施工中做好土方平衡，减少临时占地用量，减少露天堆放面积；建设单位应为本工程的弃土制定处置计划，弃土出路主要用于堆场场底平整填方和筑坝；建设过程中要重视景观维护、防止发生水土流失。建议建设单位严格按照水土保持方案的要求保持水土。建设过程中要随时进行生态恢复，以体现谁污染、谁治理，谁开发、谁保护的原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为有效控制施工活动的不良影响，维护区域生态环境，在施工期间应保证下列措施的实施。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①施工单位根据项目特点合理设计施工方案；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②施工期间划定施工区域，强化施工管理，增强施工人员的环境保护意识，严格控制施工人员、施工机械的活动范围，严格在施工区域内施工，减小施工作业面和减少扰动面积，尽量减小对施工区域外的区域进行碾压或破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③施工中合理组织物料的拉运，合理安排施工进度，物料、砂石料及时拉入现场，并尽快施工，避免在堆放过程中沙土飞扬，影响区域环境质量。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④施工作业结束后，及时平整各类施工迹地，恢复原有地貌；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⑤对于施工期工程平整场地的产生的弃方应集中堆放，严禁任意堆放，注意对截洪沟等开挖处及时进行回填、压实；临时弃土场应设置抑尘网、防尘遮盖、四周设置排水沟等雨水导排措施；</w:t>
            </w:r>
          </w:p>
          <w:p>
            <w:pPr>
              <w:adjustRightInd w:val="0"/>
              <w:snapToGrid w:val="0"/>
              <w:spacing w:line="360" w:lineRule="auto"/>
              <w:rPr>
                <w:rFonts w:ascii="Times New Roman" w:hAnsi="Times New Roman" w:cs="宋体"/>
                <w:bCs/>
                <w:spacing w:val="-10"/>
                <w:sz w:val="24"/>
                <w:szCs w:val="21"/>
              </w:rPr>
            </w:pPr>
            <w:r>
              <w:rPr>
                <w:rFonts w:hint="eastAsia" w:ascii="Times New Roman" w:hAnsi="Times New Roman" w:cs="Times New Roman"/>
                <w:bCs/>
                <w:spacing w:val="0"/>
                <w:sz w:val="24"/>
                <w:szCs w:val="24"/>
                <w:lang w:val="en-US" w:eastAsia="zh-CN"/>
              </w:rPr>
              <w:t>采取以上措施，可有效减轻施工期生态环境影响。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rFonts w:hint="eastAsia" w:ascii="Times New Roman" w:hAnsi="Times New Roman" w:cs="宋体"/>
                <w:bCs/>
                <w:sz w:val="24"/>
                <w:szCs w:val="21"/>
              </w:rPr>
            </w:pPr>
            <w:r>
              <w:rPr>
                <w:rFonts w:hint="eastAsia" w:ascii="Times New Roman" w:hAnsi="Times New Roman" w:cs="宋体"/>
                <w:bCs/>
                <w:sz w:val="24"/>
                <w:szCs w:val="21"/>
              </w:rPr>
              <w:t>运营</w:t>
            </w:r>
          </w:p>
          <w:p>
            <w:pPr>
              <w:adjustRightInd w:val="0"/>
              <w:snapToGrid w:val="0"/>
              <w:jc w:val="center"/>
              <w:rPr>
                <w:rFonts w:hint="eastAsia" w:ascii="Times New Roman" w:hAnsi="Times New Roman" w:cs="宋体"/>
                <w:bCs/>
                <w:sz w:val="24"/>
                <w:szCs w:val="21"/>
              </w:rPr>
            </w:pPr>
            <w:r>
              <w:rPr>
                <w:rFonts w:hint="eastAsia" w:ascii="Times New Roman" w:hAnsi="Times New Roman" w:cs="宋体"/>
                <w:bCs/>
                <w:sz w:val="24"/>
                <w:szCs w:val="21"/>
              </w:rPr>
              <w:t>期环</w:t>
            </w:r>
          </w:p>
          <w:p>
            <w:pPr>
              <w:adjustRightInd w:val="0"/>
              <w:snapToGrid w:val="0"/>
              <w:jc w:val="center"/>
              <w:rPr>
                <w:rFonts w:hint="eastAsia" w:ascii="Times New Roman" w:hAnsi="Times New Roman" w:cs="宋体"/>
                <w:bCs/>
                <w:sz w:val="24"/>
                <w:szCs w:val="21"/>
              </w:rPr>
            </w:pPr>
            <w:r>
              <w:rPr>
                <w:rFonts w:hint="eastAsia" w:ascii="Times New Roman" w:hAnsi="Times New Roman" w:cs="宋体"/>
                <w:bCs/>
                <w:sz w:val="24"/>
                <w:szCs w:val="21"/>
              </w:rPr>
              <w:t>境影</w:t>
            </w:r>
          </w:p>
          <w:p>
            <w:pPr>
              <w:adjustRightInd w:val="0"/>
              <w:snapToGrid w:val="0"/>
              <w:jc w:val="center"/>
              <w:rPr>
                <w:rFonts w:hint="eastAsia" w:ascii="Times New Roman" w:hAnsi="Times New Roman" w:cs="宋体"/>
                <w:bCs/>
                <w:sz w:val="24"/>
                <w:szCs w:val="21"/>
              </w:rPr>
            </w:pPr>
            <w:r>
              <w:rPr>
                <w:rFonts w:hint="eastAsia" w:ascii="Times New Roman" w:hAnsi="Times New Roman" w:cs="宋体"/>
                <w:bCs/>
                <w:sz w:val="24"/>
                <w:szCs w:val="21"/>
              </w:rPr>
              <w:t>响和</w:t>
            </w:r>
          </w:p>
          <w:p>
            <w:pPr>
              <w:adjustRightInd w:val="0"/>
              <w:snapToGrid w:val="0"/>
              <w:jc w:val="center"/>
              <w:rPr>
                <w:rFonts w:hint="eastAsia" w:ascii="Times New Roman" w:hAnsi="Times New Roman" w:cs="宋体"/>
                <w:bCs/>
                <w:sz w:val="24"/>
                <w:szCs w:val="21"/>
              </w:rPr>
            </w:pPr>
            <w:r>
              <w:rPr>
                <w:rFonts w:hint="eastAsia" w:ascii="Times New Roman" w:hAnsi="Times New Roman" w:cs="宋体"/>
                <w:bCs/>
                <w:sz w:val="24"/>
                <w:szCs w:val="21"/>
              </w:rPr>
              <w:t>保护</w:t>
            </w:r>
          </w:p>
          <w:p>
            <w:pPr>
              <w:adjustRightInd w:val="0"/>
              <w:snapToGrid w:val="0"/>
              <w:jc w:val="center"/>
              <w:rPr>
                <w:rFonts w:ascii="Times New Roman" w:hAnsi="Times New Roman" w:cs="宋体"/>
                <w:bCs/>
                <w:sz w:val="24"/>
                <w:szCs w:val="21"/>
              </w:rPr>
            </w:pPr>
            <w:r>
              <w:rPr>
                <w:rFonts w:hint="eastAsia" w:ascii="Times New Roman" w:hAnsi="Times New Roman" w:cs="宋体"/>
                <w:bCs/>
                <w:sz w:val="24"/>
                <w:szCs w:val="21"/>
              </w:rPr>
              <w:t>措施</w:t>
            </w:r>
          </w:p>
        </w:tc>
        <w:tc>
          <w:tcPr>
            <w:tcW w:w="816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1 废气环境影响及保护措施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本项目运营期产生的废气主要为运输车辆道路粉尘、运输车辆卸车粉尘、暂存场堆存粉尘及堆土区粉尘。</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1.1 废气污染源核算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sz w:val="24"/>
                <w:szCs w:val="32"/>
                <w:lang w:val="en-US" w:eastAsia="zh-CN"/>
              </w:rPr>
            </w:pPr>
            <w:r>
              <w:rPr>
                <w:rFonts w:hint="eastAsia" w:ascii="Calibri" w:hAnsi="Calibri" w:cs="Calibri"/>
                <w:sz w:val="24"/>
                <w:szCs w:val="32"/>
                <w:lang w:eastAsia="zh-CN"/>
              </w:rPr>
              <w:t>（</w:t>
            </w:r>
            <w:r>
              <w:rPr>
                <w:rFonts w:hint="eastAsia" w:ascii="Calibri" w:hAnsi="Calibri" w:cs="Calibri"/>
                <w:sz w:val="24"/>
                <w:szCs w:val="32"/>
                <w:lang w:val="en-US" w:eastAsia="zh-CN"/>
              </w:rPr>
              <w:t>1</w:t>
            </w:r>
            <w:r>
              <w:rPr>
                <w:rFonts w:hint="eastAsia" w:ascii="Calibri" w:hAnsi="Calibri" w:cs="Calibri"/>
                <w:sz w:val="24"/>
                <w:szCs w:val="32"/>
                <w:lang w:eastAsia="zh-CN"/>
              </w:rPr>
              <w:t>）</w:t>
            </w:r>
            <w:r>
              <w:rPr>
                <w:sz w:val="24"/>
                <w:szCs w:val="32"/>
              </w:rPr>
              <w:t>运输车辆</w:t>
            </w:r>
            <w:r>
              <w:rPr>
                <w:rFonts w:hint="eastAsia"/>
                <w:sz w:val="24"/>
                <w:szCs w:val="32"/>
              </w:rPr>
              <w:t>道路</w:t>
            </w:r>
            <w:r>
              <w:rPr>
                <w:rFonts w:hint="eastAsia"/>
                <w:sz w:val="24"/>
                <w:szCs w:val="32"/>
                <w:lang w:val="en-US" w:eastAsia="zh-CN"/>
              </w:rPr>
              <w:t>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2"/>
                <w:szCs w:val="22"/>
              </w:rPr>
            </w:pPr>
            <w:r>
              <w:rPr>
                <w:rFonts w:hint="eastAsia"/>
                <w:sz w:val="24"/>
                <w:szCs w:val="32"/>
              </w:rPr>
              <w:t>项目运输主要是通过公路运输，其运输过程中的道路</w:t>
            </w:r>
            <w:r>
              <w:rPr>
                <w:rFonts w:hint="eastAsia"/>
                <w:sz w:val="24"/>
                <w:szCs w:val="32"/>
                <w:lang w:val="en-US" w:eastAsia="zh-CN"/>
              </w:rPr>
              <w:t>粉尘</w:t>
            </w:r>
            <w:r>
              <w:rPr>
                <w:rFonts w:hint="eastAsia"/>
                <w:sz w:val="24"/>
                <w:szCs w:val="32"/>
              </w:rPr>
              <w:t>量与运输车辆的载重量、轮胎与路面的接触面积及路面含尘量、空气湿度有关，特别是在干旱少雨的季节，道路扬</w:t>
            </w:r>
            <w:r>
              <w:rPr>
                <w:rFonts w:hint="eastAsia"/>
                <w:sz w:val="24"/>
                <w:szCs w:val="24"/>
              </w:rPr>
              <w:t>尘严重。车辆行驶产生的粉尘，在完全干燥情况下，可按下列经验公式计算：</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4"/>
                <w:szCs w:val="32"/>
              </w:rPr>
            </w:pPr>
            <w:r>
              <w:rPr>
                <w:sz w:val="24"/>
                <w:szCs w:val="32"/>
              </w:rPr>
              <w:object>
                <v:shape id="_x0000_i1028" o:spt="75" type="#_x0000_t75" style="height:37pt;width:172pt;" o:ole="t" filled="f" stroked="f" coordsize="21600,21600">
                  <v:path/>
                  <v:fill on="f" focussize="0,0"/>
                  <v:stroke on="f"/>
                  <v:imagedata r:id="rId17" embosscolor="#FFFFFF" o:title=""/>
                  <o:lock v:ext="edit" aspectratio="t"/>
                  <w10:wrap type="none"/>
                  <w10:anchorlock/>
                </v:shape>
                <o:OLEObject Type="Embed" ProgID="Equation.KSEE3" ShapeID="_x0000_i1028" DrawAspect="Content" ObjectID="_1468075728" r:id="rId16">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32"/>
              </w:rPr>
            </w:pPr>
            <w:r>
              <w:rPr>
                <w:rFonts w:hint="eastAsia"/>
                <w:sz w:val="24"/>
                <w:szCs w:val="32"/>
              </w:rPr>
              <w:t>式中：Q</w:t>
            </w:r>
            <w:r>
              <w:rPr>
                <w:rFonts w:hint="eastAsia"/>
                <w:sz w:val="24"/>
                <w:szCs w:val="32"/>
                <w:lang w:eastAsia="zh-CN"/>
              </w:rPr>
              <w:t>——</w:t>
            </w:r>
            <w:r>
              <w:rPr>
                <w:rFonts w:hint="eastAsia"/>
                <w:sz w:val="24"/>
                <w:szCs w:val="32"/>
              </w:rPr>
              <w:t>汽车行驶时的扬尘，kg/km.辆；</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sz w:val="24"/>
                <w:szCs w:val="32"/>
              </w:rPr>
            </w:pPr>
            <w:r>
              <w:rPr>
                <w:rFonts w:hint="eastAsia"/>
                <w:sz w:val="24"/>
                <w:szCs w:val="32"/>
              </w:rPr>
              <w:t>V</w:t>
            </w:r>
            <w:r>
              <w:rPr>
                <w:rFonts w:hint="eastAsia"/>
                <w:sz w:val="24"/>
                <w:szCs w:val="32"/>
                <w:lang w:eastAsia="zh-CN"/>
              </w:rPr>
              <w:t>——</w:t>
            </w:r>
            <w:r>
              <w:rPr>
                <w:rFonts w:hint="eastAsia"/>
                <w:sz w:val="24"/>
                <w:szCs w:val="32"/>
              </w:rPr>
              <w:t>汽车速度，km/h；</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sz w:val="24"/>
                <w:szCs w:val="32"/>
              </w:rPr>
            </w:pPr>
            <w:r>
              <w:rPr>
                <w:rFonts w:hint="eastAsia"/>
                <w:sz w:val="24"/>
                <w:szCs w:val="32"/>
              </w:rPr>
              <w:t>W</w:t>
            </w:r>
            <w:r>
              <w:rPr>
                <w:rFonts w:hint="eastAsia"/>
                <w:sz w:val="24"/>
                <w:szCs w:val="32"/>
                <w:lang w:eastAsia="zh-CN"/>
              </w:rPr>
              <w:t>——</w:t>
            </w:r>
            <w:r>
              <w:rPr>
                <w:rFonts w:hint="eastAsia"/>
                <w:sz w:val="24"/>
                <w:szCs w:val="32"/>
              </w:rPr>
              <w:t>汽车载重量，吨；</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sz w:val="24"/>
                <w:szCs w:val="32"/>
              </w:rPr>
            </w:pPr>
            <w:r>
              <w:rPr>
                <w:rFonts w:hint="eastAsia"/>
                <w:sz w:val="24"/>
                <w:szCs w:val="32"/>
              </w:rPr>
              <w:t>P</w:t>
            </w:r>
            <w:r>
              <w:rPr>
                <w:rFonts w:hint="eastAsia"/>
                <w:sz w:val="24"/>
                <w:szCs w:val="32"/>
                <w:lang w:eastAsia="zh-CN"/>
              </w:rPr>
              <w:t>——</w:t>
            </w:r>
            <w:r>
              <w:rPr>
                <w:rFonts w:hint="eastAsia"/>
                <w:sz w:val="24"/>
                <w:szCs w:val="32"/>
              </w:rPr>
              <w:t>道路表面粉尘量，kg/m</w:t>
            </w:r>
            <w:r>
              <w:rPr>
                <w:rFonts w:hint="eastAsia"/>
                <w:sz w:val="24"/>
                <w:szCs w:val="32"/>
                <w:vertAlign w:val="superscript"/>
              </w:rPr>
              <w:t>2</w:t>
            </w:r>
            <w:r>
              <w:rPr>
                <w:rFonts w:hint="eastAsia"/>
                <w:sz w:val="24"/>
                <w:szCs w:val="32"/>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32"/>
              </w:rPr>
            </w:pPr>
            <w:r>
              <w:rPr>
                <w:rFonts w:hint="eastAsia"/>
                <w:sz w:val="24"/>
                <w:szCs w:val="32"/>
              </w:rPr>
              <w:t>不同车速和地面清洁程度的汽车扬尘计算见</w:t>
            </w:r>
            <w:r>
              <w:rPr>
                <w:rFonts w:hint="eastAsia"/>
                <w:sz w:val="24"/>
                <w:szCs w:val="32"/>
                <w:lang w:val="en-US" w:eastAsia="zh-CN"/>
              </w:rPr>
              <w:t>下表</w:t>
            </w:r>
            <w:r>
              <w:rPr>
                <w:rFonts w:hint="eastAsia"/>
                <w:sz w:val="24"/>
                <w:szCs w:val="32"/>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rPr>
            </w:pPr>
            <w:r>
              <w:rPr>
                <w:rFonts w:hint="eastAsia"/>
                <w:b/>
                <w:bCs/>
                <w:sz w:val="21"/>
              </w:rPr>
              <w:t>表</w:t>
            </w:r>
            <w:r>
              <w:rPr>
                <w:rFonts w:hint="eastAsia"/>
                <w:b/>
                <w:bCs/>
                <w:sz w:val="21"/>
                <w:lang w:val="en-US" w:eastAsia="zh-CN"/>
              </w:rPr>
              <w:t xml:space="preserve">4-1   </w:t>
            </w:r>
            <w:r>
              <w:rPr>
                <w:rFonts w:hint="eastAsia"/>
                <w:b/>
                <w:bCs/>
                <w:sz w:val="21"/>
              </w:rPr>
              <w:t>在不同车速和地面清洁程度的汽车扬尘（单位：kg/km.辆）</w:t>
            </w:r>
          </w:p>
          <w:tbl>
            <w:tblPr>
              <w:tblStyle w:val="2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131"/>
              <w:gridCol w:w="1134"/>
              <w:gridCol w:w="1134"/>
              <w:gridCol w:w="1134"/>
              <w:gridCol w:w="1135"/>
              <w:gridCol w:w="11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车速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P</w:t>
                  </w:r>
                </w:p>
              </w:tc>
              <w:tc>
                <w:tcPr>
                  <w:tcW w:w="11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0.1</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0.2</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0.3</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0.4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20（km/h）</w:t>
                  </w:r>
                </w:p>
              </w:tc>
              <w:tc>
                <w:tcPr>
                  <w:tcW w:w="11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0.3681</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0.6191</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0.8391</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1.0412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1.2309</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2.0700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40（km/h）</w:t>
                  </w:r>
                </w:p>
              </w:tc>
              <w:tc>
                <w:tcPr>
                  <w:tcW w:w="11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0.7362</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1.2382</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1.6782</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2.0824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2.4617</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4.1401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60（km/h）</w:t>
                  </w:r>
                </w:p>
              </w:tc>
              <w:tc>
                <w:tcPr>
                  <w:tcW w:w="11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1.1043</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1.8573</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2.5173</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3.1235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3.6926</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6.2101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80（km/h）</w:t>
                  </w:r>
                </w:p>
              </w:tc>
              <w:tc>
                <w:tcPr>
                  <w:tcW w:w="11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1.4274</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2.4764</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3.3565</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4.1647</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4.9234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8.2802</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rPr>
            </w:pPr>
            <w:r>
              <w:rPr>
                <w:rFonts w:hint="eastAsia"/>
                <w:sz w:val="24"/>
                <w:szCs w:val="32"/>
              </w:rPr>
              <w:t>项目场区内车辆限速</w:t>
            </w:r>
            <w:r>
              <w:rPr>
                <w:rFonts w:hint="eastAsia"/>
                <w:sz w:val="24"/>
                <w:szCs w:val="32"/>
                <w:highlight w:val="none"/>
              </w:rPr>
              <w:t>20</w:t>
            </w:r>
            <w:r>
              <w:rPr>
                <w:rFonts w:hint="eastAsia"/>
                <w:sz w:val="24"/>
                <w:szCs w:val="32"/>
              </w:rPr>
              <w:t>km/h，取最大起尘量2.07kg/km.辆，场区</w:t>
            </w:r>
            <w:r>
              <w:rPr>
                <w:rFonts w:hint="eastAsia"/>
                <w:sz w:val="24"/>
                <w:szCs w:val="32"/>
                <w:lang w:val="en-US" w:eastAsia="zh-CN"/>
              </w:rPr>
              <w:t>道</w:t>
            </w:r>
            <w:r>
              <w:rPr>
                <w:rFonts w:hint="eastAsia"/>
                <w:sz w:val="24"/>
                <w:szCs w:val="32"/>
              </w:rPr>
              <w:t>路</w:t>
            </w:r>
            <w:r>
              <w:rPr>
                <w:rFonts w:hint="eastAsia"/>
                <w:sz w:val="24"/>
                <w:szCs w:val="32"/>
                <w:lang w:val="en-US" w:eastAsia="zh-CN"/>
              </w:rPr>
              <w:t>220m</w:t>
            </w:r>
            <w:r>
              <w:rPr>
                <w:rFonts w:hint="eastAsia"/>
                <w:sz w:val="24"/>
                <w:szCs w:val="32"/>
              </w:rPr>
              <w:t>，</w:t>
            </w:r>
            <w:r>
              <w:rPr>
                <w:rFonts w:hint="eastAsia"/>
                <w:sz w:val="24"/>
                <w:szCs w:val="32"/>
                <w:highlight w:val="none"/>
              </w:rPr>
              <w:t>每天约倒运垃圾</w:t>
            </w:r>
            <w:r>
              <w:rPr>
                <w:rFonts w:hint="eastAsia"/>
                <w:sz w:val="24"/>
                <w:szCs w:val="32"/>
                <w:highlight w:val="none"/>
                <w:lang w:val="en-US" w:eastAsia="zh-CN"/>
              </w:rPr>
              <w:t>10</w:t>
            </w:r>
            <w:r>
              <w:rPr>
                <w:rFonts w:hint="eastAsia"/>
                <w:sz w:val="24"/>
                <w:szCs w:val="32"/>
                <w:highlight w:val="none"/>
              </w:rPr>
              <w:t>次，</w:t>
            </w:r>
            <w:r>
              <w:rPr>
                <w:rFonts w:hint="eastAsia"/>
                <w:color w:val="auto"/>
                <w:sz w:val="24"/>
                <w:szCs w:val="32"/>
                <w:highlight w:val="none"/>
                <w:lang w:val="en-US" w:eastAsia="zh-CN"/>
              </w:rPr>
              <w:t>运送出暂存场10次</w:t>
            </w:r>
            <w:r>
              <w:rPr>
                <w:rFonts w:hint="eastAsia"/>
                <w:sz w:val="24"/>
                <w:szCs w:val="32"/>
                <w:lang w:val="en-US" w:eastAsia="zh-CN"/>
              </w:rPr>
              <w:t>，</w:t>
            </w:r>
            <w:r>
              <w:rPr>
                <w:rFonts w:hint="eastAsia"/>
                <w:sz w:val="24"/>
                <w:szCs w:val="32"/>
              </w:rPr>
              <w:t>因此</w:t>
            </w:r>
            <w:r>
              <w:rPr>
                <w:rFonts w:hint="eastAsia"/>
                <w:sz w:val="24"/>
                <w:szCs w:val="32"/>
                <w:lang w:val="en-US" w:eastAsia="zh-CN"/>
              </w:rPr>
              <w:t>运输</w:t>
            </w:r>
            <w:r>
              <w:rPr>
                <w:rFonts w:hint="eastAsia"/>
                <w:sz w:val="24"/>
                <w:szCs w:val="32"/>
              </w:rPr>
              <w:t>车辆道路</w:t>
            </w:r>
            <w:r>
              <w:rPr>
                <w:rFonts w:hint="eastAsia"/>
                <w:sz w:val="24"/>
                <w:szCs w:val="32"/>
                <w:lang w:val="en-US" w:eastAsia="zh-CN"/>
              </w:rPr>
              <w:t>粉尘</w:t>
            </w:r>
            <w:r>
              <w:rPr>
                <w:rFonts w:hint="eastAsia"/>
                <w:sz w:val="24"/>
                <w:szCs w:val="32"/>
              </w:rPr>
              <w:t>产生量约</w:t>
            </w:r>
            <w:r>
              <w:rPr>
                <w:rFonts w:hint="eastAsia"/>
                <w:sz w:val="24"/>
                <w:szCs w:val="32"/>
                <w:highlight w:val="none"/>
                <w:lang w:val="en-US" w:eastAsia="zh-CN"/>
              </w:rPr>
              <w:t>9.11</w:t>
            </w:r>
            <w:r>
              <w:rPr>
                <w:rFonts w:hint="eastAsia"/>
                <w:sz w:val="24"/>
                <w:szCs w:val="32"/>
              </w:rPr>
              <w:t>kg/d。通过对道路洒水降尘，可使</w:t>
            </w:r>
            <w:r>
              <w:rPr>
                <w:rFonts w:hint="eastAsia"/>
                <w:sz w:val="24"/>
                <w:szCs w:val="32"/>
                <w:lang w:val="en-US" w:eastAsia="zh-CN"/>
              </w:rPr>
              <w:t>粉尘</w:t>
            </w:r>
            <w:r>
              <w:rPr>
                <w:rFonts w:hint="eastAsia"/>
                <w:sz w:val="24"/>
                <w:szCs w:val="32"/>
              </w:rPr>
              <w:t>量减少</w:t>
            </w:r>
            <w:r>
              <w:rPr>
                <w:rFonts w:hint="eastAsia"/>
                <w:sz w:val="24"/>
                <w:szCs w:val="32"/>
                <w:lang w:val="en-US" w:eastAsia="zh-CN"/>
              </w:rPr>
              <w:t>75</w:t>
            </w:r>
            <w:r>
              <w:rPr>
                <w:rFonts w:hint="eastAsia"/>
                <w:sz w:val="24"/>
                <w:szCs w:val="32"/>
              </w:rPr>
              <w:t>%，因此</w:t>
            </w:r>
            <w:r>
              <w:rPr>
                <w:rFonts w:hint="eastAsia"/>
                <w:sz w:val="24"/>
                <w:szCs w:val="32"/>
                <w:lang w:val="en-US" w:eastAsia="zh-CN"/>
              </w:rPr>
              <w:t>运输</w:t>
            </w:r>
            <w:r>
              <w:rPr>
                <w:rFonts w:hint="eastAsia"/>
                <w:sz w:val="24"/>
                <w:szCs w:val="32"/>
              </w:rPr>
              <w:t>车辆道路</w:t>
            </w:r>
            <w:r>
              <w:rPr>
                <w:rFonts w:hint="eastAsia"/>
                <w:sz w:val="24"/>
                <w:szCs w:val="32"/>
                <w:lang w:val="en-US" w:eastAsia="zh-CN"/>
              </w:rPr>
              <w:t>粉尘</w:t>
            </w:r>
            <w:r>
              <w:rPr>
                <w:rFonts w:hint="eastAsia"/>
                <w:sz w:val="24"/>
                <w:szCs w:val="32"/>
              </w:rPr>
              <w:t>排放量为</w:t>
            </w:r>
            <w:r>
              <w:rPr>
                <w:rFonts w:hint="eastAsia"/>
                <w:sz w:val="24"/>
                <w:szCs w:val="32"/>
                <w:highlight w:val="none"/>
                <w:lang w:val="en-US" w:eastAsia="zh-CN"/>
              </w:rPr>
              <w:t>2.28</w:t>
            </w:r>
            <w:r>
              <w:rPr>
                <w:rFonts w:hint="eastAsia"/>
                <w:color w:val="auto"/>
                <w:sz w:val="24"/>
                <w:szCs w:val="32"/>
              </w:rPr>
              <w:t>kg/d（</w:t>
            </w:r>
            <w:r>
              <w:rPr>
                <w:rFonts w:hint="eastAsia"/>
                <w:color w:val="auto"/>
                <w:sz w:val="24"/>
                <w:szCs w:val="32"/>
                <w:highlight w:val="none"/>
                <w:lang w:val="en-US" w:eastAsia="zh-CN"/>
              </w:rPr>
              <w:t>0.57</w:t>
            </w:r>
            <w:r>
              <w:rPr>
                <w:rFonts w:hint="eastAsia"/>
                <w:color w:val="auto"/>
                <w:sz w:val="24"/>
                <w:szCs w:val="32"/>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Calibri" w:hAnsi="Calibri" w:cs="Calibri"/>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运输车</w:t>
            </w:r>
            <w:r>
              <w:rPr>
                <w:rFonts w:hint="eastAsia" w:ascii="Calibri" w:hAnsi="Calibri" w:cs="Calibri"/>
                <w:color w:val="auto"/>
                <w:sz w:val="24"/>
                <w:szCs w:val="24"/>
                <w:lang w:val="en-US" w:eastAsia="zh-CN"/>
              </w:rPr>
              <w:t>辆卸车粉尘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Calibri" w:hAnsi="Calibri" w:cs="Calibri"/>
                <w:sz w:val="24"/>
                <w:szCs w:val="24"/>
                <w:lang w:eastAsia="zh-CN"/>
              </w:rPr>
            </w:pPr>
            <w:r>
              <w:rPr>
                <w:rFonts w:hint="eastAsia" w:ascii="Calibri" w:hAnsi="Calibri" w:cs="Calibri"/>
                <w:sz w:val="24"/>
                <w:szCs w:val="24"/>
                <w:lang w:eastAsia="zh-CN"/>
              </w:rPr>
              <w:t>卸车过程产生的粉尘采用经验公式进行估算：</w:t>
            </w:r>
          </w:p>
          <w:p>
            <w:pPr>
              <w:pStyle w:val="15"/>
              <w:rPr>
                <w:rFonts w:hint="eastAsia" w:ascii="Calibri" w:hAnsi="Calibri" w:cs="Calibri"/>
                <w:sz w:val="24"/>
                <w:szCs w:val="24"/>
                <w:lang w:val="en-US" w:eastAsia="zh-CN"/>
              </w:rPr>
            </w:pPr>
            <w:r>
              <w:rPr>
                <w:rFonts w:hint="eastAsia"/>
                <w:position w:val="-24"/>
                <w:lang w:eastAsia="zh-CN"/>
              </w:rPr>
              <w:object>
                <v:shape id="_x0000_i1029" o:spt="75" type="#_x0000_t75" style="height:31pt;width:155pt;" o:ole="t" filled="f" stroked="f" coordsize="21600,21600">
                  <v:path/>
                  <v:fill on="f" focussize="0,0"/>
                  <v:stroke on="f"/>
                  <v:imagedata r:id="rId19" embosscolor="#FFFFFF" o:title=""/>
                  <o:lock v:ext="edit" aspectratio="t"/>
                  <w10:wrap type="none"/>
                  <w10:anchorlock/>
                </v:shape>
                <o:OLEObject Type="Embed" ProgID="Equation.KSEE3" ShapeID="_x0000_i1029" DrawAspect="Content" ObjectID="_1468075729" r:id="rId18">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式中：Q——物料起尘量，kg/t；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u——平均风速，m/s，取</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m/s；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H——物料落差，m，取1.0m；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w——物料含水率，%，未采取洒水措施物料含水量按</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%计；</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Calibri" w:hAnsi="Calibri" w:cs="Calibri"/>
                <w:sz w:val="24"/>
                <w:szCs w:val="24"/>
                <w:lang w:val="en-US" w:eastAsia="zh-CN"/>
              </w:rPr>
            </w:pPr>
            <w:r>
              <w:rPr>
                <w:rFonts w:hint="default" w:ascii="Times New Roman" w:hAnsi="Times New Roman" w:eastAsia="宋体" w:cs="Times New Roman"/>
                <w:sz w:val="24"/>
                <w:szCs w:val="24"/>
                <w:lang w:val="en-US" w:eastAsia="zh-CN"/>
              </w:rPr>
              <w:t>t——物料卸车所用时间，s/t。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Calibri" w:hAnsi="Calibri" w:cs="Calibri"/>
                <w:sz w:val="24"/>
                <w:szCs w:val="24"/>
                <w:lang w:val="en-US" w:eastAsia="zh-CN"/>
              </w:rPr>
            </w:pPr>
            <w:r>
              <w:rPr>
                <w:rFonts w:hint="default" w:ascii="Times New Roman" w:hAnsi="Times New Roman" w:eastAsia="宋体" w:cs="Times New Roman"/>
                <w:sz w:val="24"/>
                <w:szCs w:val="24"/>
                <w:lang w:val="en-US" w:eastAsia="zh-CN"/>
              </w:rPr>
              <w:t>根据计算，本项目物料起尘系数为</w:t>
            </w:r>
            <w:r>
              <w:rPr>
                <w:rFonts w:hint="default" w:ascii="Times New Roman" w:hAnsi="Times New Roman" w:eastAsia="宋体" w:cs="Times New Roman"/>
                <w:sz w:val="24"/>
                <w:szCs w:val="24"/>
                <w:highlight w:val="none"/>
                <w:lang w:val="en-US" w:eastAsia="zh-CN"/>
              </w:rPr>
              <w:t>0.04</w:t>
            </w:r>
            <w:r>
              <w:rPr>
                <w:rFonts w:hint="default" w:ascii="Times New Roman" w:hAnsi="Times New Roman" w:eastAsia="宋体" w:cs="Times New Roman"/>
                <w:sz w:val="24"/>
                <w:szCs w:val="24"/>
                <w:lang w:val="en-US" w:eastAsia="zh-CN"/>
              </w:rPr>
              <w:t>kg/t。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Calibri" w:hAnsi="Calibri" w:cs="Calibri"/>
                <w:color w:val="auto"/>
                <w:sz w:val="24"/>
                <w:szCs w:val="24"/>
                <w:lang w:val="en-US" w:eastAsia="zh-CN"/>
              </w:rPr>
            </w:pPr>
            <w:r>
              <w:rPr>
                <w:rFonts w:hint="default" w:ascii="Times New Roman" w:hAnsi="Times New Roman" w:eastAsia="宋体" w:cs="Times New Roman"/>
                <w:sz w:val="24"/>
                <w:szCs w:val="24"/>
                <w:lang w:val="en-US" w:eastAsia="zh-CN"/>
              </w:rPr>
              <w:t>根据工程设计规模，项目建筑垃圾场日清运垃圾最大量为</w:t>
            </w:r>
            <w:r>
              <w:rPr>
                <w:rFonts w:hint="eastAsia" w:ascii="Times New Roman" w:hAnsi="Times New Roman" w:eastAsia="宋体" w:cs="Times New Roman"/>
                <w:sz w:val="24"/>
                <w:szCs w:val="24"/>
                <w:lang w:val="en-US" w:eastAsia="zh-CN"/>
              </w:rPr>
              <w:t>1030</w:t>
            </w:r>
            <w:r>
              <w:rPr>
                <w:rFonts w:hint="default" w:ascii="Times New Roman" w:hAnsi="Times New Roman" w:eastAsia="宋体" w:cs="Times New Roman"/>
                <w:sz w:val="24"/>
                <w:szCs w:val="24"/>
                <w:lang w:val="en-US" w:eastAsia="zh-CN"/>
              </w:rPr>
              <w:t>t。经上述公式计算可得，未采取环保措施前卸车过程每天产生的粉尘量</w:t>
            </w:r>
            <w:r>
              <w:rPr>
                <w:rFonts w:hint="default" w:ascii="Times New Roman" w:hAnsi="Times New Roman" w:eastAsia="宋体" w:cs="Times New Roman"/>
                <w:color w:val="auto"/>
                <w:sz w:val="24"/>
                <w:szCs w:val="24"/>
                <w:lang w:val="en-US" w:eastAsia="zh-CN"/>
              </w:rPr>
              <w:t>为</w:t>
            </w:r>
            <w:r>
              <w:rPr>
                <w:rFonts w:hint="eastAsia" w:ascii="Times New Roman" w:hAnsi="Times New Roman" w:eastAsia="宋体" w:cs="Times New Roman"/>
                <w:color w:val="auto"/>
                <w:sz w:val="24"/>
                <w:szCs w:val="24"/>
                <w:highlight w:val="none"/>
                <w:lang w:val="en-US" w:eastAsia="zh-CN"/>
              </w:rPr>
              <w:t>41.2</w:t>
            </w:r>
            <w:r>
              <w:rPr>
                <w:rFonts w:hint="default" w:ascii="Times New Roman" w:hAnsi="Times New Roman" w:eastAsia="宋体" w:cs="Times New Roman"/>
                <w:color w:val="auto"/>
                <w:sz w:val="24"/>
                <w:szCs w:val="24"/>
                <w:lang w:val="en-US" w:eastAsia="zh-CN"/>
              </w:rPr>
              <w:t>kg/d；类比同类</w:t>
            </w:r>
            <w:r>
              <w:rPr>
                <w:rFonts w:hint="eastAsia" w:ascii="Times New Roman" w:hAnsi="Times New Roman" w:eastAsia="宋体" w:cs="Times New Roman"/>
                <w:color w:val="auto"/>
                <w:sz w:val="24"/>
                <w:szCs w:val="24"/>
                <w:lang w:val="en-US" w:eastAsia="zh-CN"/>
              </w:rPr>
              <w:t>暂存场</w:t>
            </w:r>
            <w:r>
              <w:rPr>
                <w:rFonts w:hint="default" w:ascii="Times New Roman" w:hAnsi="Times New Roman" w:eastAsia="宋体" w:cs="Times New Roman"/>
                <w:color w:val="auto"/>
                <w:sz w:val="24"/>
                <w:szCs w:val="24"/>
                <w:lang w:val="en-US" w:eastAsia="zh-CN"/>
              </w:rPr>
              <w:t>的经验，物料装卸</w:t>
            </w:r>
            <w:r>
              <w:rPr>
                <w:rFonts w:hint="eastAsia" w:ascii="Times New Roman" w:hAnsi="Times New Roman" w:eastAsia="宋体" w:cs="Times New Roman"/>
                <w:color w:val="auto"/>
                <w:sz w:val="24"/>
                <w:szCs w:val="24"/>
                <w:lang w:val="en-US" w:eastAsia="zh-CN"/>
              </w:rPr>
              <w:t>粉尘</w:t>
            </w:r>
            <w:r>
              <w:rPr>
                <w:rFonts w:hint="default" w:ascii="Times New Roman" w:hAnsi="Times New Roman" w:eastAsia="宋体" w:cs="Times New Roman"/>
                <w:color w:val="auto"/>
                <w:sz w:val="24"/>
                <w:szCs w:val="24"/>
                <w:lang w:val="en-US" w:eastAsia="zh-CN"/>
              </w:rPr>
              <w:t>与物料湿度、粒度有关，环评要求在卸车过程降低倾倒高度，卸车时及时洒水，抑尘效率为75%，采取措施后粉尘排放量为</w:t>
            </w:r>
            <w:r>
              <w:rPr>
                <w:rFonts w:hint="eastAsia" w:ascii="Times New Roman" w:hAnsi="Times New Roman" w:eastAsia="宋体" w:cs="Times New Roman"/>
                <w:color w:val="auto"/>
                <w:sz w:val="24"/>
                <w:szCs w:val="24"/>
                <w:lang w:val="en-US" w:eastAsia="zh-CN"/>
              </w:rPr>
              <w:t>10.3</w:t>
            </w:r>
            <w:r>
              <w:rPr>
                <w:rFonts w:hint="default" w:ascii="Times New Roman" w:hAnsi="Times New Roman" w:eastAsia="宋体" w:cs="Times New Roman"/>
                <w:color w:val="auto"/>
                <w:sz w:val="24"/>
                <w:szCs w:val="24"/>
                <w:lang w:val="en-US" w:eastAsia="zh-CN"/>
              </w:rPr>
              <w:t>kg/d，年工作</w:t>
            </w:r>
            <w:r>
              <w:rPr>
                <w:rFonts w:hint="eastAsia" w:ascii="Times New Roman" w:hAnsi="Times New Roman" w:eastAsia="宋体" w:cs="Times New Roman"/>
                <w:color w:val="auto"/>
                <w:sz w:val="24"/>
                <w:szCs w:val="24"/>
                <w:highlight w:val="none"/>
                <w:lang w:val="en-US" w:eastAsia="zh-CN"/>
              </w:rPr>
              <w:t>250</w:t>
            </w:r>
            <w:r>
              <w:rPr>
                <w:rFonts w:hint="default" w:ascii="Times New Roman" w:hAnsi="Times New Roman" w:eastAsia="宋体" w:cs="Times New Roman"/>
                <w:color w:val="auto"/>
                <w:sz w:val="24"/>
                <w:szCs w:val="24"/>
                <w:lang w:val="en-US" w:eastAsia="zh-CN"/>
              </w:rPr>
              <w:t>天，粉尘排放量为</w:t>
            </w:r>
            <w:r>
              <w:rPr>
                <w:rFonts w:hint="eastAsia" w:ascii="Times New Roman" w:hAnsi="Times New Roman" w:eastAsia="宋体" w:cs="Times New Roman"/>
                <w:color w:val="auto"/>
                <w:sz w:val="24"/>
                <w:szCs w:val="24"/>
                <w:highlight w:val="none"/>
                <w:lang w:val="en-US" w:eastAsia="zh-CN"/>
              </w:rPr>
              <w:t>2.58</w:t>
            </w:r>
            <w:r>
              <w:rPr>
                <w:rFonts w:hint="default" w:ascii="Times New Roman" w:hAnsi="Times New Roman" w:eastAsia="宋体" w:cs="Times New Roman"/>
                <w:color w:val="auto"/>
                <w:sz w:val="24"/>
                <w:szCs w:val="24"/>
                <w:lang w:val="en-US" w:eastAsia="zh-CN"/>
              </w:rPr>
              <w:t>t/a</w:t>
            </w:r>
            <w:r>
              <w:rPr>
                <w:rFonts w:hint="eastAsia" w:ascii="Calibri" w:hAnsi="Calibri" w:cs="Calibri"/>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临时</w:t>
            </w:r>
            <w:r>
              <w:rPr>
                <w:rFonts w:hint="eastAsia" w:ascii="Times New Roman" w:hAnsi="Times New Roman" w:eastAsia="宋体" w:cs="Times New Roman"/>
                <w:sz w:val="24"/>
                <w:szCs w:val="24"/>
                <w:lang w:eastAsia="zh-CN"/>
              </w:rPr>
              <w:t>暂存场</w:t>
            </w:r>
            <w:r>
              <w:rPr>
                <w:rFonts w:hint="eastAsia" w:ascii="Times New Roman" w:hAnsi="Times New Roman" w:eastAsia="宋体" w:cs="Times New Roman"/>
                <w:sz w:val="24"/>
                <w:szCs w:val="24"/>
                <w:lang w:val="en-US" w:eastAsia="zh-CN"/>
              </w:rPr>
              <w:t>压实粉尘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cs="Times New Roman"/>
                <w:color w:val="000000"/>
                <w:sz w:val="24"/>
                <w:szCs w:val="24"/>
                <w:lang w:eastAsia="zh-CN"/>
              </w:rPr>
              <w:t>作业扬尘产生主要是固废碾压过程中扬起的灰尘、风力自然作用将固废覆土吹起的扬尘，均为无组织排放。</w:t>
            </w:r>
            <w:r>
              <w:rPr>
                <w:rFonts w:hint="default" w:ascii="Times New Roman" w:hAnsi="Times New Roman" w:eastAsia="宋体" w:cs="Times New Roman"/>
                <w:sz w:val="24"/>
                <w:szCs w:val="24"/>
              </w:rPr>
              <w:t>本次建筑垃圾堆场起尘量</w:t>
            </w:r>
            <w:r>
              <w:rPr>
                <w:rFonts w:hint="default" w:ascii="Times New Roman" w:hAnsi="Times New Roman" w:cs="Times New Roman"/>
                <w:color w:val="000000"/>
                <w:sz w:val="24"/>
                <w:szCs w:val="24"/>
                <w:lang w:eastAsia="zh-CN"/>
              </w:rPr>
              <w:t>按照西安</w:t>
            </w:r>
            <w:r>
              <w:rPr>
                <w:rFonts w:hint="eastAsia" w:ascii="Times New Roman" w:hAnsi="Times New Roman" w:cs="Times New Roman"/>
                <w:color w:val="000000"/>
                <w:sz w:val="24"/>
                <w:szCs w:val="24"/>
                <w:lang w:eastAsia="zh-CN"/>
              </w:rPr>
              <w:t>冶金</w:t>
            </w:r>
            <w:r>
              <w:rPr>
                <w:rFonts w:hint="default" w:ascii="Times New Roman" w:hAnsi="Times New Roman" w:cs="Times New Roman"/>
                <w:color w:val="000000"/>
                <w:sz w:val="24"/>
                <w:szCs w:val="24"/>
                <w:lang w:eastAsia="zh-CN"/>
              </w:rPr>
              <w:t>建筑学院提出的经验公式进行估算，如下所示</w:t>
            </w:r>
            <w:r>
              <w:rPr>
                <w:rFonts w:hint="default" w:ascii="Times New Roman" w:hAnsi="Times New Roman" w:eastAsia="宋体" w:cs="Times New Roman"/>
                <w:sz w:val="24"/>
                <w:szCs w:val="24"/>
              </w:rPr>
              <w:t>：</w:t>
            </w:r>
          </w:p>
          <w:p>
            <w:pPr>
              <w:pStyle w:val="15"/>
              <w:rPr>
                <w:rFonts w:hint="default" w:ascii="Times New Roman" w:hAnsi="Times New Roman" w:eastAsia="宋体" w:cs="Times New Roman"/>
                <w:sz w:val="24"/>
                <w:szCs w:val="24"/>
              </w:rPr>
            </w:pPr>
            <w:r>
              <w:rPr>
                <w:rFonts w:hint="eastAsia" w:eastAsia="宋体"/>
                <w:position w:val="-14"/>
                <w:lang w:eastAsia="zh-CN"/>
              </w:rPr>
              <w:object>
                <v:shape id="_x0000_i1030" o:spt="75" type="#_x0000_t75" style="height:20pt;width:130pt;" o:ole="t" filled="f" stroked="f" coordsize="21600,21600">
                  <v:path/>
                  <v:fill on="f" focussize="0,0"/>
                  <v:stroke on="f"/>
                  <v:imagedata r:id="rId21" embosscolor="#FFFFFF" o:title=""/>
                  <o:lock v:ext="edit" aspectratio="t"/>
                  <w10:wrap type="none"/>
                  <w10:anchorlock/>
                </v:shape>
                <o:OLEObject Type="Embed" ProgID="Equation.KSEE3" ShapeID="_x0000_i1030" DrawAspect="Content" ObjectID="_1468075730" r:id="rId2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式中：Q</w:t>
            </w:r>
            <w:r>
              <w:rPr>
                <w:rFonts w:hint="default" w:ascii="Times New Roman" w:hAnsi="Times New Roman" w:eastAsia="宋体" w:cs="Times New Roman"/>
                <w:sz w:val="24"/>
                <w:szCs w:val="24"/>
                <w:vertAlign w:val="subscript"/>
              </w:rPr>
              <w:t>p</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起尘量mg/s；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vertAlign w:val="subscript"/>
              </w:rPr>
              <w:t>p</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起尘面积，取</w:t>
            </w:r>
            <w:r>
              <w:rPr>
                <w:rFonts w:hint="eastAsia" w:ascii="Times New Roman" w:hAnsi="Times New Roman" w:eastAsia="宋体" w:cs="Times New Roman"/>
                <w:sz w:val="24"/>
                <w:szCs w:val="24"/>
                <w:lang w:val="en-US" w:eastAsia="zh-CN"/>
              </w:rPr>
              <w:t>堆料</w:t>
            </w:r>
            <w:r>
              <w:rPr>
                <w:rFonts w:hint="default" w:ascii="Times New Roman" w:hAnsi="Times New Roman" w:eastAsia="宋体" w:cs="Times New Roman"/>
                <w:sz w:val="24"/>
                <w:szCs w:val="24"/>
                <w:lang w:val="en-US" w:eastAsia="zh-CN"/>
              </w:rPr>
              <w:t>区共</w:t>
            </w:r>
            <w:r>
              <w:rPr>
                <w:rFonts w:hint="eastAsia" w:ascii="Times New Roman" w:hAnsi="Times New Roman" w:eastAsia="宋体" w:cs="Times New Roman"/>
                <w:sz w:val="24"/>
                <w:szCs w:val="24"/>
                <w:lang w:val="en-US" w:eastAsia="zh-CN"/>
              </w:rPr>
              <w:t>174794.99</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平均风速，取</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经计算，本项目垃圾</w:t>
            </w:r>
            <w:r>
              <w:rPr>
                <w:rFonts w:hint="eastAsia" w:ascii="Times New Roman" w:hAnsi="Times New Roman" w:eastAsia="宋体" w:cs="Times New Roman"/>
                <w:sz w:val="24"/>
                <w:szCs w:val="24"/>
                <w:lang w:eastAsia="zh-CN"/>
              </w:rPr>
              <w:t>暂存场</w:t>
            </w:r>
            <w:r>
              <w:rPr>
                <w:rFonts w:hint="default" w:ascii="Times New Roman" w:hAnsi="Times New Roman" w:eastAsia="宋体" w:cs="Times New Roman"/>
                <w:sz w:val="24"/>
                <w:szCs w:val="24"/>
              </w:rPr>
              <w:t>区扬尘产生量为</w:t>
            </w:r>
            <w:r>
              <w:rPr>
                <w:rFonts w:hint="eastAsia" w:ascii="Times New Roman" w:hAnsi="Times New Roman" w:eastAsia="宋体" w:cs="Times New Roman"/>
                <w:sz w:val="24"/>
                <w:szCs w:val="24"/>
                <w:lang w:val="en-US" w:eastAsia="zh-CN"/>
              </w:rPr>
              <w:t>180.74</w:t>
            </w:r>
            <w:r>
              <w:rPr>
                <w:rFonts w:hint="default" w:ascii="Times New Roman" w:hAnsi="Times New Roman" w:eastAsia="宋体" w:cs="Times New Roman"/>
                <w:sz w:val="24"/>
                <w:szCs w:val="24"/>
              </w:rPr>
              <w:t>mg/s，类比同类</w:t>
            </w:r>
            <w:r>
              <w:rPr>
                <w:rFonts w:hint="eastAsia" w:ascii="Times New Roman" w:hAnsi="Times New Roman" w:eastAsia="宋体" w:cs="Times New Roman"/>
                <w:sz w:val="24"/>
                <w:szCs w:val="24"/>
                <w:lang w:eastAsia="zh-CN"/>
              </w:rPr>
              <w:t>暂存场</w:t>
            </w:r>
            <w:r>
              <w:rPr>
                <w:rFonts w:hint="default" w:ascii="Times New Roman" w:hAnsi="Times New Roman" w:eastAsia="宋体" w:cs="Times New Roman"/>
                <w:sz w:val="24"/>
                <w:szCs w:val="24"/>
              </w:rPr>
              <w:t>的经验，松散物料扬尘量与物料的含水量、粒度情况等因素有关，一般采取洒水抑尘，可降低75%，扬尘排放量为</w:t>
            </w:r>
            <w:r>
              <w:rPr>
                <w:rFonts w:hint="eastAsia" w:ascii="Times New Roman" w:hAnsi="Times New Roman" w:eastAsia="宋体" w:cs="Times New Roman"/>
                <w:sz w:val="24"/>
                <w:szCs w:val="24"/>
                <w:lang w:val="en-US" w:eastAsia="zh-CN"/>
              </w:rPr>
              <w:t>45.18</w:t>
            </w:r>
            <w:r>
              <w:rPr>
                <w:rFonts w:hint="default" w:ascii="Times New Roman" w:hAnsi="Times New Roman" w:eastAsia="宋体" w:cs="Times New Roman"/>
                <w:sz w:val="24"/>
                <w:szCs w:val="24"/>
              </w:rPr>
              <w:t>mg/s（</w:t>
            </w:r>
            <w:r>
              <w:rPr>
                <w:rFonts w:hint="eastAsia" w:ascii="Times New Roman" w:hAnsi="Times New Roman" w:eastAsia="宋体" w:cs="Times New Roman"/>
                <w:sz w:val="24"/>
                <w:szCs w:val="24"/>
                <w:lang w:val="en-US" w:eastAsia="zh-CN"/>
              </w:rPr>
              <w:t>3.9</w:t>
            </w:r>
            <w:r>
              <w:rPr>
                <w:rFonts w:hint="default" w:ascii="Times New Roman" w:hAnsi="Times New Roman" w:eastAsia="宋体" w:cs="Times New Roman"/>
                <w:sz w:val="24"/>
                <w:szCs w:val="24"/>
              </w:rPr>
              <w:t>kg/d），为无组织面源排放。由于本</w:t>
            </w:r>
            <w:r>
              <w:rPr>
                <w:rFonts w:hint="eastAsia" w:ascii="Times New Roman" w:hAnsi="Times New Roman" w:eastAsia="宋体" w:cs="Times New Roman"/>
                <w:sz w:val="24"/>
                <w:szCs w:val="24"/>
                <w:lang w:eastAsia="zh-CN"/>
              </w:rPr>
              <w:t>暂存场</w:t>
            </w:r>
            <w:r>
              <w:rPr>
                <w:rFonts w:hint="default" w:ascii="Times New Roman" w:hAnsi="Times New Roman" w:eastAsia="宋体" w:cs="Times New Roman"/>
                <w:sz w:val="24"/>
                <w:szCs w:val="24"/>
              </w:rPr>
              <w:t>建筑垃圾分单元</w:t>
            </w:r>
            <w:r>
              <w:rPr>
                <w:rFonts w:hint="eastAsia" w:cs="Times New Roman"/>
                <w:sz w:val="24"/>
                <w:szCs w:val="24"/>
                <w:lang w:val="en-US" w:eastAsia="zh-CN"/>
              </w:rPr>
              <w:t>堆存</w:t>
            </w:r>
            <w:r>
              <w:rPr>
                <w:rFonts w:hint="default" w:ascii="Times New Roman" w:hAnsi="Times New Roman" w:eastAsia="宋体" w:cs="Times New Roman"/>
                <w:sz w:val="24"/>
                <w:szCs w:val="24"/>
              </w:rPr>
              <w:t>，形成堆体后即进行覆土</w:t>
            </w:r>
            <w:r>
              <w:rPr>
                <w:rFonts w:hint="eastAsia" w:ascii="Times New Roman" w:hAnsi="Times New Roman" w:eastAsia="宋体" w:cs="Times New Roman"/>
                <w:sz w:val="24"/>
                <w:szCs w:val="24"/>
                <w:lang w:val="en-US" w:eastAsia="zh-CN"/>
              </w:rPr>
              <w:t>并压实</w:t>
            </w:r>
            <w:r>
              <w:rPr>
                <w:rFonts w:hint="default" w:ascii="Times New Roman" w:hAnsi="Times New Roman" w:eastAsia="宋体" w:cs="Times New Roman"/>
                <w:sz w:val="24"/>
                <w:szCs w:val="24"/>
              </w:rPr>
              <w:t>，因此</w:t>
            </w:r>
            <w:r>
              <w:rPr>
                <w:rFonts w:hint="eastAsia" w:ascii="Times New Roman" w:hAnsi="Times New Roman" w:eastAsia="宋体" w:cs="Times New Roman"/>
                <w:sz w:val="24"/>
                <w:szCs w:val="24"/>
                <w:lang w:eastAsia="zh-CN"/>
              </w:rPr>
              <w:t>暂存场</w:t>
            </w:r>
            <w:r>
              <w:rPr>
                <w:rFonts w:hint="eastAsia" w:ascii="Times New Roman" w:hAnsi="Times New Roman" w:eastAsia="宋体" w:cs="Times New Roman"/>
                <w:sz w:val="24"/>
                <w:szCs w:val="24"/>
                <w:lang w:val="en-US" w:eastAsia="zh-CN"/>
              </w:rPr>
              <w:t>堆存粉尘</w:t>
            </w:r>
            <w:r>
              <w:rPr>
                <w:rFonts w:hint="default" w:ascii="Times New Roman" w:hAnsi="Times New Roman" w:eastAsia="宋体" w:cs="Times New Roman"/>
                <w:sz w:val="24"/>
                <w:szCs w:val="24"/>
              </w:rPr>
              <w:t>无组织排放量按每年</w:t>
            </w:r>
            <w:r>
              <w:rPr>
                <w:rFonts w:hint="eastAsia" w:ascii="Times New Roman" w:hAnsi="Times New Roman" w:eastAsia="宋体" w:cs="Times New Roman"/>
                <w:sz w:val="24"/>
                <w:szCs w:val="24"/>
                <w:lang w:val="en-US" w:eastAsia="zh-CN"/>
              </w:rPr>
              <w:t>250</w:t>
            </w:r>
            <w:r>
              <w:rPr>
                <w:rFonts w:hint="default" w:ascii="Times New Roman" w:hAnsi="Times New Roman" w:eastAsia="宋体" w:cs="Times New Roman"/>
                <w:sz w:val="24"/>
                <w:szCs w:val="24"/>
              </w:rPr>
              <w:t>天计，则排放量为</w:t>
            </w:r>
            <w:r>
              <w:rPr>
                <w:rFonts w:hint="eastAsia" w:ascii="Times New Roman" w:hAnsi="Times New Roman" w:eastAsia="宋体" w:cs="Times New Roman"/>
                <w:sz w:val="24"/>
                <w:szCs w:val="24"/>
                <w:lang w:val="en-US" w:eastAsia="zh-CN"/>
              </w:rPr>
              <w:t>0.98</w:t>
            </w:r>
            <w:r>
              <w:rPr>
                <w:rFonts w:hint="default" w:ascii="Times New Roman" w:hAnsi="Times New Roman" w:eastAsia="宋体" w:cs="Times New Roman"/>
                <w:sz w:val="24"/>
                <w:szCs w:val="24"/>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堆土区粉尘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eastAsia" w:ascii="Times New Roman" w:hAnsi="Times New Roman" w:eastAsia="宋体" w:cs="Times New Roman"/>
                <w:sz w:val="24"/>
                <w:szCs w:val="24"/>
                <w:lang w:val="en-US" w:eastAsia="zh-CN"/>
              </w:rPr>
              <w:t>暂存场中</w:t>
            </w:r>
            <w:r>
              <w:rPr>
                <w:rFonts w:hint="default" w:ascii="Times New Roman" w:hAnsi="Times New Roman" w:eastAsia="宋体" w:cs="Times New Roman"/>
                <w:sz w:val="24"/>
                <w:szCs w:val="24"/>
              </w:rPr>
              <w:t>设置</w:t>
            </w:r>
            <w:r>
              <w:rPr>
                <w:rFonts w:hint="eastAsia" w:ascii="Times New Roman" w:hAnsi="Times New Roman" w:eastAsia="宋体" w:cs="Times New Roman"/>
                <w:sz w:val="24"/>
                <w:szCs w:val="24"/>
                <w:lang w:val="en-US" w:eastAsia="zh-CN"/>
              </w:rPr>
              <w:t>堆土区</w:t>
            </w:r>
            <w:r>
              <w:rPr>
                <w:rFonts w:hint="default" w:ascii="Times New Roman" w:hAnsi="Times New Roman" w:eastAsia="宋体" w:cs="Times New Roman"/>
                <w:sz w:val="24"/>
                <w:szCs w:val="24"/>
              </w:rPr>
              <w:t>1座。土方堆存时，会随风产生一定量的扬尘，装卸时也会产生扬尘；堆场装卸起尘量的计算公式如下：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4"/>
                <w:lang w:val="en-US" w:eastAsia="zh-CN"/>
              </w:rPr>
            </w:pPr>
            <w:r>
              <w:rPr>
                <w:rFonts w:hint="eastAsia" w:eastAsia="宋体"/>
                <w:sz w:val="24"/>
                <w:lang w:val="en-US" w:eastAsia="zh-CN"/>
              </w:rPr>
              <w:t>堆场起尘：</w:t>
            </w:r>
            <w:r>
              <w:rPr>
                <w:rFonts w:hint="eastAsia" w:eastAsia="宋体"/>
                <w:position w:val="-10"/>
                <w:sz w:val="24"/>
                <w:lang w:val="en-US" w:eastAsia="zh-CN"/>
              </w:rPr>
              <w:object>
                <v:shape id="_x0000_i1031" o:spt="75" type="#_x0000_t75" style="height:18pt;width:138pt;" o:ole="t" filled="f" stroked="f" coordsize="21600,21600">
                  <v:path/>
                  <v:fill on="f" focussize="0,0"/>
                  <v:stroke on="f"/>
                  <v:imagedata r:id="rId23" embosscolor="#FFFFFF" o:title=""/>
                  <o:lock v:ext="edit" aspectratio="t"/>
                  <w10:wrap type="none"/>
                  <w10:anchorlock/>
                </v:shape>
                <o:OLEObject Type="Embed" ProgID="Equation.KSEE3" ShapeID="_x0000_i1031" DrawAspect="Content" ObjectID="_1468075731" r:id="rId22">
                  <o:LockedField>false</o:LockedField>
                </o:OLEObject>
              </w:object>
            </w:r>
          </w:p>
          <w:p>
            <w:pPr>
              <w:pStyle w:val="15"/>
              <w:rPr>
                <w:rFonts w:hint="eastAsia" w:ascii="Times New Roman" w:hAnsi="Times New Roman" w:cs="Times New Roman"/>
                <w:bCs/>
                <w:spacing w:val="0"/>
                <w:sz w:val="24"/>
                <w:szCs w:val="24"/>
                <w:lang w:val="en-US" w:eastAsia="zh-CN"/>
              </w:rPr>
            </w:pPr>
            <w:r>
              <w:rPr>
                <w:rFonts w:hint="eastAsia" w:eastAsia="宋体"/>
                <w:sz w:val="24"/>
                <w:lang w:val="en-US" w:eastAsia="zh-CN"/>
              </w:rPr>
              <w:t>装卸扬尘：</w:t>
            </w:r>
            <w:r>
              <w:rPr>
                <w:rFonts w:hint="eastAsia" w:eastAsia="宋体"/>
                <w:position w:val="-24"/>
                <w:sz w:val="24"/>
                <w:lang w:val="en-US" w:eastAsia="zh-CN"/>
              </w:rPr>
              <w:object>
                <v:shape id="_x0000_i1032" o:spt="75" type="#_x0000_t75" style="height:31pt;width:179pt;" o:ole="t" filled="f" stroked="f" coordsize="21600,21600">
                  <v:path/>
                  <v:fill on="f" focussize="0,0"/>
                  <v:stroke on="f"/>
                  <v:imagedata r:id="rId25" embosscolor="#FFFFFF" o:title=""/>
                  <o:lock v:ext="edit" aspectratio="t"/>
                  <w10:wrap type="none"/>
                  <w10:anchorlock/>
                </v:shape>
                <o:OLEObject Type="Embed" ProgID="Equation.KSEE3" ShapeID="_x0000_i1032" DrawAspect="Content" ObjectID="_1468075732" r:id="rId2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式中：Q</w:t>
            </w:r>
            <w:r>
              <w:rPr>
                <w:rFonts w:hint="eastAsia" w:ascii="Times New Roman" w:hAnsi="Times New Roman" w:cs="Times New Roman"/>
                <w:bCs/>
                <w:spacing w:val="0"/>
                <w:sz w:val="24"/>
                <w:szCs w:val="24"/>
                <w:vertAlign w:val="subscript"/>
                <w:lang w:val="en-US" w:eastAsia="zh-CN"/>
              </w:rPr>
              <w:t>1</w:t>
            </w:r>
            <w:r>
              <w:rPr>
                <w:rFonts w:hint="eastAsia" w:ascii="Times New Roman" w:hAnsi="Times New Roman" w:cs="Times New Roman"/>
                <w:bCs/>
                <w:spacing w:val="0"/>
                <w:sz w:val="24"/>
                <w:szCs w:val="24"/>
                <w:lang w:val="en-US" w:eastAsia="zh-CN"/>
              </w:rPr>
              <w:t>——堆场起尘量，mg/s；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Q</w:t>
            </w:r>
            <w:r>
              <w:rPr>
                <w:rFonts w:hint="eastAsia" w:ascii="Times New Roman" w:hAnsi="Times New Roman" w:cs="Times New Roman"/>
                <w:bCs/>
                <w:spacing w:val="0"/>
                <w:sz w:val="24"/>
                <w:szCs w:val="24"/>
                <w:vertAlign w:val="subscript"/>
                <w:lang w:val="en-US" w:eastAsia="zh-CN"/>
              </w:rPr>
              <w:t>2</w:t>
            </w:r>
            <w:r>
              <w:rPr>
                <w:rFonts w:hint="eastAsia" w:ascii="Times New Roman" w:hAnsi="Times New Roman" w:cs="Times New Roman"/>
                <w:bCs/>
                <w:spacing w:val="0"/>
                <w:sz w:val="24"/>
                <w:szCs w:val="24"/>
                <w:lang w:val="en-US" w:eastAsia="zh-CN"/>
              </w:rPr>
              <w:t>——装卸扬尘，g/次；</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U——风速，m/s；取0.5m/s；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S——堆场表面积，</w:t>
            </w:r>
            <w:r>
              <w:rPr>
                <w:rFonts w:hint="eastAsia" w:ascii="Times New Roman" w:hAnsi="Times New Roman" w:cs="Times New Roman"/>
                <w:bCs/>
                <w:spacing w:val="0"/>
                <w:sz w:val="24"/>
                <w:szCs w:val="24"/>
                <w:highlight w:val="none"/>
                <w:lang w:val="en-US" w:eastAsia="zh-CN"/>
              </w:rPr>
              <w:t>1000</w:t>
            </w:r>
            <w:r>
              <w:rPr>
                <w:rFonts w:hint="eastAsia" w:ascii="Times New Roman" w:hAnsi="Times New Roman" w:cs="Times New Roman"/>
                <w:bCs/>
                <w:spacing w:val="0"/>
                <w:sz w:val="24"/>
                <w:szCs w:val="24"/>
                <w:lang w:val="en-US" w:eastAsia="zh-CN"/>
              </w:rPr>
              <w:t>m</w:t>
            </w:r>
            <w:r>
              <w:rPr>
                <w:rFonts w:hint="eastAsia" w:ascii="Times New Roman" w:hAnsi="Times New Roman" w:cs="Times New Roman"/>
                <w:bCs/>
                <w:spacing w:val="0"/>
                <w:sz w:val="24"/>
                <w:szCs w:val="24"/>
                <w:vertAlign w:val="superscript"/>
                <w:lang w:val="en-US" w:eastAsia="zh-CN"/>
              </w:rPr>
              <w:t>2</w:t>
            </w:r>
            <w:r>
              <w:rPr>
                <w:rFonts w:hint="eastAsia" w:ascii="Times New Roman" w:hAnsi="Times New Roman" w:cs="Times New Roman"/>
                <w:bCs/>
                <w:spacing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ω——含水量，取3%；</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H——装卸高度，本项目取2m；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M——车辆吨位，t；取</w:t>
            </w:r>
            <w:r>
              <w:rPr>
                <w:rFonts w:hint="default" w:ascii="Times New Roman" w:hAnsi="Times New Roman" w:cs="Times New Roman"/>
                <w:bCs/>
                <w:spacing w:val="0"/>
                <w:sz w:val="24"/>
                <w:szCs w:val="24"/>
                <w:lang w:val="en-US" w:eastAsia="zh-CN"/>
              </w:rPr>
              <w:t>25</w:t>
            </w:r>
            <w:r>
              <w:rPr>
                <w:rFonts w:hint="eastAsia" w:ascii="Times New Roman" w:hAnsi="Times New Roman" w:cs="Times New Roman"/>
                <w:bCs/>
                <w:spacing w:val="0"/>
                <w:sz w:val="24"/>
                <w:szCs w:val="24"/>
                <w:lang w:val="en-US" w:eastAsia="zh-CN"/>
              </w:rPr>
              <w:t>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spacing w:val="0"/>
                <w:sz w:val="24"/>
                <w:szCs w:val="24"/>
                <w:lang w:val="en-US" w:eastAsia="zh-CN"/>
              </w:rPr>
            </w:pPr>
            <w:r>
              <w:rPr>
                <w:rFonts w:hint="eastAsia" w:ascii="Times New Roman" w:hAnsi="Times New Roman" w:eastAsia="宋体" w:cs="Times New Roman"/>
                <w:bCs/>
                <w:spacing w:val="0"/>
                <w:sz w:val="24"/>
                <w:szCs w:val="24"/>
                <w:lang w:val="en-US" w:eastAsia="zh-CN"/>
              </w:rPr>
              <w:t>根据上式计算，本项目</w:t>
            </w:r>
            <w:r>
              <w:rPr>
                <w:rFonts w:hint="eastAsia" w:ascii="Times New Roman" w:hAnsi="Times New Roman" w:cs="Times New Roman"/>
                <w:bCs/>
                <w:spacing w:val="0"/>
                <w:sz w:val="24"/>
                <w:szCs w:val="24"/>
                <w:lang w:val="en-US" w:eastAsia="zh-CN"/>
              </w:rPr>
              <w:t>堆土区</w:t>
            </w:r>
            <w:r>
              <w:rPr>
                <w:rFonts w:hint="eastAsia" w:ascii="Times New Roman" w:hAnsi="Times New Roman" w:eastAsia="宋体" w:cs="Times New Roman"/>
                <w:bCs/>
                <w:spacing w:val="0"/>
                <w:sz w:val="24"/>
                <w:szCs w:val="24"/>
                <w:lang w:val="en-US" w:eastAsia="zh-CN"/>
              </w:rPr>
              <w:t>起尘量为</w:t>
            </w:r>
            <w:r>
              <w:rPr>
                <w:rFonts w:hint="eastAsia" w:ascii="Times New Roman" w:hAnsi="Times New Roman" w:eastAsia="宋体" w:cs="Times New Roman"/>
                <w:bCs/>
                <w:spacing w:val="0"/>
                <w:sz w:val="24"/>
                <w:szCs w:val="24"/>
                <w:highlight w:val="none"/>
                <w:lang w:val="en-US" w:eastAsia="zh-CN"/>
              </w:rPr>
              <w:t>0.</w:t>
            </w:r>
            <w:r>
              <w:rPr>
                <w:rFonts w:hint="eastAsia" w:ascii="Times New Roman" w:hAnsi="Times New Roman" w:cs="Times New Roman"/>
                <w:bCs/>
                <w:spacing w:val="0"/>
                <w:sz w:val="24"/>
                <w:szCs w:val="24"/>
                <w:highlight w:val="none"/>
                <w:lang w:val="en-US" w:eastAsia="zh-CN"/>
              </w:rPr>
              <w:t>48</w:t>
            </w:r>
            <w:r>
              <w:rPr>
                <w:rFonts w:hint="eastAsia" w:ascii="Times New Roman" w:hAnsi="Times New Roman" w:eastAsia="宋体" w:cs="Times New Roman"/>
                <w:bCs/>
                <w:spacing w:val="0"/>
                <w:sz w:val="24"/>
                <w:szCs w:val="24"/>
                <w:lang w:val="en-US" w:eastAsia="zh-CN"/>
              </w:rPr>
              <w:t>t/a，本次装卸次数按</w:t>
            </w:r>
            <w:r>
              <w:rPr>
                <w:rFonts w:hint="eastAsia" w:cs="Times New Roman"/>
                <w:bCs/>
                <w:spacing w:val="0"/>
                <w:sz w:val="24"/>
                <w:szCs w:val="24"/>
                <w:lang w:val="en-US" w:eastAsia="zh-CN"/>
              </w:rPr>
              <w:t>5</w:t>
            </w:r>
            <w:r>
              <w:rPr>
                <w:rFonts w:hint="eastAsia" w:ascii="Times New Roman" w:hAnsi="Times New Roman" w:eastAsia="宋体" w:cs="Times New Roman"/>
                <w:bCs/>
                <w:spacing w:val="0"/>
                <w:sz w:val="24"/>
                <w:szCs w:val="24"/>
                <w:lang w:val="en-US" w:eastAsia="zh-CN"/>
              </w:rPr>
              <w:t>次/d计，则装卸起尘量为</w:t>
            </w:r>
            <w:r>
              <w:rPr>
                <w:rFonts w:hint="eastAsia" w:ascii="Times New Roman" w:hAnsi="Times New Roman" w:eastAsia="宋体" w:cs="Times New Roman"/>
                <w:bCs/>
                <w:spacing w:val="0"/>
                <w:sz w:val="24"/>
                <w:szCs w:val="24"/>
                <w:highlight w:val="none"/>
                <w:lang w:val="en-US" w:eastAsia="zh-CN"/>
              </w:rPr>
              <w:t>0.</w:t>
            </w:r>
            <w:r>
              <w:rPr>
                <w:rFonts w:hint="eastAsia" w:ascii="Times New Roman" w:hAnsi="Times New Roman" w:cs="Times New Roman"/>
                <w:bCs/>
                <w:spacing w:val="0"/>
                <w:sz w:val="24"/>
                <w:szCs w:val="24"/>
                <w:highlight w:val="none"/>
                <w:lang w:val="en-US" w:eastAsia="zh-CN"/>
              </w:rPr>
              <w:t>53</w:t>
            </w:r>
            <w:r>
              <w:rPr>
                <w:rFonts w:hint="eastAsia" w:ascii="Times New Roman" w:hAnsi="Times New Roman" w:eastAsia="宋体" w:cs="Times New Roman"/>
                <w:bCs/>
                <w:spacing w:val="0"/>
                <w:sz w:val="24"/>
                <w:szCs w:val="24"/>
                <w:lang w:val="en-US" w:eastAsia="zh-CN"/>
              </w:rPr>
              <w:t>t/a，堆土区粉尘产生量为</w:t>
            </w:r>
            <w:r>
              <w:rPr>
                <w:rFonts w:hint="eastAsia" w:ascii="Times New Roman" w:hAnsi="Times New Roman" w:cs="Times New Roman"/>
                <w:bCs/>
                <w:spacing w:val="0"/>
                <w:sz w:val="24"/>
                <w:szCs w:val="24"/>
                <w:highlight w:val="none"/>
                <w:lang w:val="en-US" w:eastAsia="zh-CN"/>
              </w:rPr>
              <w:t>1.01</w:t>
            </w:r>
            <w:r>
              <w:rPr>
                <w:rFonts w:hint="eastAsia" w:ascii="Times New Roman" w:hAnsi="Times New Roman" w:eastAsia="宋体" w:cs="Times New Roman"/>
                <w:bCs/>
                <w:spacing w:val="0"/>
                <w:sz w:val="24"/>
                <w:szCs w:val="24"/>
                <w:lang w:val="en-US" w:eastAsia="zh-CN"/>
              </w:rPr>
              <w:t>t/a，洒水抑尘后（抑尘效率</w:t>
            </w:r>
            <w:r>
              <w:rPr>
                <w:rFonts w:hint="eastAsia" w:ascii="Times New Roman" w:hAnsi="Times New Roman" w:cs="Times New Roman"/>
                <w:bCs/>
                <w:spacing w:val="0"/>
                <w:sz w:val="24"/>
                <w:szCs w:val="24"/>
                <w:lang w:val="en-US" w:eastAsia="zh-CN"/>
              </w:rPr>
              <w:t>75</w:t>
            </w:r>
            <w:r>
              <w:rPr>
                <w:rFonts w:hint="eastAsia" w:ascii="Times New Roman" w:hAnsi="Times New Roman" w:eastAsia="宋体" w:cs="Times New Roman"/>
                <w:bCs/>
                <w:spacing w:val="0"/>
                <w:sz w:val="24"/>
                <w:szCs w:val="24"/>
                <w:lang w:val="en-US" w:eastAsia="zh-CN"/>
              </w:rPr>
              <w:t>%），粉尘排放量为</w:t>
            </w:r>
            <w:r>
              <w:rPr>
                <w:rFonts w:hint="eastAsia" w:ascii="Times New Roman" w:hAnsi="Times New Roman" w:eastAsia="宋体" w:cs="Times New Roman"/>
                <w:bCs/>
                <w:spacing w:val="0"/>
                <w:sz w:val="24"/>
                <w:szCs w:val="24"/>
                <w:highlight w:val="none"/>
                <w:lang w:val="en-US" w:eastAsia="zh-CN"/>
              </w:rPr>
              <w:t>0.2</w:t>
            </w:r>
            <w:r>
              <w:rPr>
                <w:rFonts w:hint="eastAsia" w:ascii="Times New Roman" w:hAnsi="Times New Roman" w:cs="Times New Roman"/>
                <w:bCs/>
                <w:spacing w:val="0"/>
                <w:sz w:val="24"/>
                <w:szCs w:val="24"/>
                <w:highlight w:val="none"/>
                <w:lang w:val="en-US" w:eastAsia="zh-CN"/>
              </w:rPr>
              <w:t>5</w:t>
            </w:r>
            <w:r>
              <w:rPr>
                <w:rFonts w:hint="eastAsia" w:ascii="Times New Roman" w:hAnsi="Times New Roman" w:eastAsia="宋体" w:cs="Times New Roman"/>
                <w:bCs/>
                <w:spacing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spacing w:val="0"/>
                <w:sz w:val="24"/>
                <w:szCs w:val="24"/>
                <w:lang w:val="en-US" w:eastAsia="zh-CN"/>
              </w:rPr>
            </w:pPr>
            <w:r>
              <w:rPr>
                <w:rFonts w:hint="eastAsia" w:ascii="Times New Roman" w:hAnsi="Times New Roman" w:eastAsia="宋体" w:cs="Times New Roman"/>
                <w:bCs/>
                <w:spacing w:val="0"/>
                <w:sz w:val="24"/>
                <w:szCs w:val="24"/>
                <w:lang w:val="en-US" w:eastAsia="zh-CN"/>
              </w:rPr>
              <w:t>综上，本项目废气产生及排放情况详见下表。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pacing w:val="0"/>
                <w:sz w:val="21"/>
                <w:szCs w:val="21"/>
                <w:lang w:val="en-US" w:eastAsia="zh-CN"/>
              </w:rPr>
            </w:pPr>
            <w:r>
              <w:rPr>
                <w:rFonts w:hint="eastAsia" w:ascii="Times New Roman" w:hAnsi="Times New Roman" w:cs="Times New Roman"/>
                <w:b/>
                <w:bCs w:val="0"/>
                <w:spacing w:val="0"/>
                <w:sz w:val="21"/>
                <w:szCs w:val="21"/>
                <w:lang w:val="en-US" w:eastAsia="zh-CN"/>
              </w:rPr>
              <w:t xml:space="preserve">表4-2   </w:t>
            </w:r>
            <w:r>
              <w:rPr>
                <w:rFonts w:hint="eastAsia" w:ascii="Times New Roman" w:hAnsi="Times New Roman" w:eastAsia="宋体" w:cs="Times New Roman"/>
                <w:b/>
                <w:bCs w:val="0"/>
                <w:spacing w:val="0"/>
                <w:sz w:val="21"/>
                <w:szCs w:val="21"/>
                <w:lang w:val="en-US" w:eastAsia="zh-CN"/>
              </w:rPr>
              <w:t>本项目废气产生及排放情况一览表</w:t>
            </w:r>
          </w:p>
          <w:tbl>
            <w:tblPr>
              <w:tblStyle w:val="20"/>
              <w:tblW w:w="0" w:type="auto"/>
              <w:tblInd w:w="5" w:type="dxa"/>
              <w:tblBorders>
                <w:top w:val="single" w:color="auto" w:sz="12" w:space="0"/>
                <w:left w:val="none" w:color="auto" w:sz="0" w:space="0"/>
                <w:bottom w:val="single" w:color="auto" w:sz="12"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710"/>
              <w:gridCol w:w="688"/>
              <w:gridCol w:w="608"/>
              <w:gridCol w:w="658"/>
              <w:gridCol w:w="938"/>
              <w:gridCol w:w="675"/>
              <w:gridCol w:w="651"/>
              <w:gridCol w:w="661"/>
              <w:gridCol w:w="761"/>
              <w:gridCol w:w="938"/>
              <w:gridCol w:w="653"/>
            </w:tblGrid>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c>
                <w:tcPr>
                  <w:tcW w:w="710" w:type="dxa"/>
                  <w:vMerge w:val="restart"/>
                  <w:tcBorders>
                    <w:top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sz w:val="21"/>
                      <w:szCs w:val="21"/>
                      <w:vertAlign w:val="baseline"/>
                      <w:lang w:val="en-US" w:eastAsia="zh-CN"/>
                    </w:rPr>
                  </w:pPr>
                  <w:r>
                    <w:rPr>
                      <w:rFonts w:hint="eastAsia" w:ascii="Times New Roman" w:hAnsi="Times New Roman" w:eastAsia="宋体" w:cs="Times New Roman"/>
                      <w:b/>
                      <w:bCs w:val="0"/>
                      <w:spacing w:val="0"/>
                      <w:sz w:val="21"/>
                      <w:szCs w:val="21"/>
                      <w:vertAlign w:val="baseline"/>
                      <w:lang w:val="en-US" w:eastAsia="zh-CN"/>
                    </w:rPr>
                    <w:t>污染源</w:t>
                  </w:r>
                </w:p>
              </w:tc>
              <w:tc>
                <w:tcPr>
                  <w:tcW w:w="688"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sz w:val="21"/>
                      <w:szCs w:val="21"/>
                      <w:vertAlign w:val="baseline"/>
                      <w:lang w:val="en-US" w:eastAsia="zh-CN"/>
                    </w:rPr>
                  </w:pPr>
                  <w:r>
                    <w:rPr>
                      <w:rFonts w:hint="eastAsia" w:ascii="Times New Roman" w:hAnsi="Times New Roman" w:eastAsia="宋体" w:cs="Times New Roman"/>
                      <w:b/>
                      <w:bCs w:val="0"/>
                      <w:spacing w:val="0"/>
                      <w:sz w:val="21"/>
                      <w:szCs w:val="21"/>
                      <w:vertAlign w:val="baseline"/>
                      <w:lang w:val="en-US" w:eastAsia="zh-CN"/>
                    </w:rPr>
                    <w:t>产排污环节</w:t>
                  </w:r>
                </w:p>
              </w:tc>
              <w:tc>
                <w:tcPr>
                  <w:tcW w:w="608"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sz w:val="21"/>
                      <w:szCs w:val="21"/>
                      <w:vertAlign w:val="baseline"/>
                      <w:lang w:val="en-US" w:eastAsia="zh-CN"/>
                    </w:rPr>
                  </w:pPr>
                  <w:r>
                    <w:rPr>
                      <w:rFonts w:hint="eastAsia" w:ascii="Times New Roman" w:hAnsi="Times New Roman" w:eastAsia="宋体" w:cs="Times New Roman"/>
                      <w:b/>
                      <w:bCs w:val="0"/>
                      <w:spacing w:val="0"/>
                      <w:sz w:val="21"/>
                      <w:szCs w:val="21"/>
                      <w:vertAlign w:val="baseline"/>
                      <w:lang w:val="en-US" w:eastAsia="zh-CN"/>
                    </w:rPr>
                    <w:t>污染物</w:t>
                  </w:r>
                </w:p>
              </w:tc>
              <w:tc>
                <w:tcPr>
                  <w:tcW w:w="658"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sz w:val="21"/>
                      <w:szCs w:val="21"/>
                      <w:vertAlign w:val="baseline"/>
                      <w:lang w:val="en-US" w:eastAsia="zh-CN"/>
                    </w:rPr>
                  </w:pPr>
                  <w:r>
                    <w:rPr>
                      <w:rFonts w:hint="eastAsia" w:ascii="Times New Roman" w:hAnsi="Times New Roman" w:eastAsia="宋体" w:cs="Times New Roman"/>
                      <w:b/>
                      <w:bCs w:val="0"/>
                      <w:spacing w:val="0"/>
                      <w:sz w:val="21"/>
                      <w:szCs w:val="21"/>
                      <w:vertAlign w:val="baseline"/>
                      <w:lang w:val="en-US" w:eastAsia="zh-CN"/>
                    </w:rPr>
                    <w:t>排放形式</w:t>
                  </w:r>
                </w:p>
              </w:tc>
              <w:tc>
                <w:tcPr>
                  <w:tcW w:w="1613"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kern w:val="2"/>
                      <w:sz w:val="21"/>
                      <w:szCs w:val="21"/>
                      <w:vertAlign w:val="baseline"/>
                      <w:lang w:val="en-US" w:eastAsia="zh-CN" w:bidi="ar-SA"/>
                    </w:rPr>
                  </w:pPr>
                  <w:r>
                    <w:rPr>
                      <w:rFonts w:hint="eastAsia" w:ascii="Times New Roman" w:hAnsi="Times New Roman" w:eastAsia="宋体" w:cs="Times New Roman"/>
                      <w:b/>
                      <w:bCs w:val="0"/>
                      <w:spacing w:val="0"/>
                      <w:sz w:val="21"/>
                      <w:szCs w:val="21"/>
                      <w:vertAlign w:val="baseline"/>
                      <w:lang w:val="en-US" w:eastAsia="zh-CN"/>
                    </w:rPr>
                    <w:t>污染物产生</w:t>
                  </w:r>
                </w:p>
              </w:tc>
              <w:tc>
                <w:tcPr>
                  <w:tcW w:w="2073" w:type="dxa"/>
                  <w:gridSpan w:val="3"/>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pacing w:val="0"/>
                      <w:sz w:val="21"/>
                      <w:szCs w:val="21"/>
                      <w:vertAlign w:val="baseline"/>
                      <w:lang w:val="en-US" w:eastAsia="zh-CN"/>
                    </w:rPr>
                  </w:pPr>
                  <w:r>
                    <w:rPr>
                      <w:rFonts w:hint="eastAsia" w:ascii="Times New Roman" w:hAnsi="Times New Roman" w:eastAsia="宋体" w:cs="Times New Roman"/>
                      <w:b/>
                      <w:bCs w:val="0"/>
                      <w:spacing w:val="0"/>
                      <w:sz w:val="21"/>
                      <w:szCs w:val="21"/>
                      <w:vertAlign w:val="baseline"/>
                      <w:lang w:val="en-US" w:eastAsia="zh-CN"/>
                    </w:rPr>
                    <w:t>治理措施</w:t>
                  </w:r>
                </w:p>
              </w:tc>
              <w:tc>
                <w:tcPr>
                  <w:tcW w:w="1591" w:type="dxa"/>
                  <w:gridSpan w:val="2"/>
                  <w:tcBorders>
                    <w:top w:val="single" w:color="auto" w:sz="12"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pacing w:val="0"/>
                      <w:sz w:val="21"/>
                      <w:szCs w:val="21"/>
                      <w:vertAlign w:val="baseline"/>
                      <w:lang w:val="en-US" w:eastAsia="zh-CN"/>
                    </w:rPr>
                  </w:pPr>
                  <w:r>
                    <w:rPr>
                      <w:rFonts w:hint="eastAsia" w:ascii="Times New Roman" w:hAnsi="Times New Roman" w:eastAsia="宋体" w:cs="Times New Roman"/>
                      <w:b/>
                      <w:bCs w:val="0"/>
                      <w:spacing w:val="0"/>
                      <w:sz w:val="21"/>
                      <w:szCs w:val="21"/>
                      <w:vertAlign w:val="baseline"/>
                      <w:lang w:val="en-US" w:eastAsia="zh-CN"/>
                    </w:rPr>
                    <w:t>污染物排放</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pacing w:val="0"/>
                      <w:sz w:val="21"/>
                      <w:szCs w:val="21"/>
                      <w:vertAlign w:val="baseline"/>
                      <w:lang w:val="en-US" w:eastAsia="zh-CN"/>
                    </w:rPr>
                  </w:pPr>
                </w:p>
              </w:tc>
              <w:tc>
                <w:tcPr>
                  <w:tcW w:w="688" w:type="dxa"/>
                  <w:vMerge w:val="continue"/>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pacing w:val="0"/>
                      <w:sz w:val="21"/>
                      <w:szCs w:val="21"/>
                      <w:vertAlign w:val="baseline"/>
                      <w:lang w:val="en-US" w:eastAsia="zh-CN"/>
                    </w:rPr>
                  </w:pPr>
                </w:p>
              </w:tc>
              <w:tc>
                <w:tcPr>
                  <w:tcW w:w="608" w:type="dxa"/>
                  <w:vMerge w:val="continue"/>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pacing w:val="0"/>
                      <w:sz w:val="21"/>
                      <w:szCs w:val="21"/>
                      <w:vertAlign w:val="baseline"/>
                      <w:lang w:val="en-US" w:eastAsia="zh-CN"/>
                    </w:rPr>
                  </w:pPr>
                </w:p>
              </w:tc>
              <w:tc>
                <w:tcPr>
                  <w:tcW w:w="658" w:type="dxa"/>
                  <w:vMerge w:val="continue"/>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sz w:val="21"/>
                      <w:szCs w:val="21"/>
                      <w:vertAlign w:val="baseline"/>
                      <w:lang w:val="en-US" w:eastAsia="zh-CN"/>
                    </w:rPr>
                  </w:pPr>
                </w:p>
              </w:tc>
              <w:tc>
                <w:tcPr>
                  <w:tcW w:w="938"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kern w:val="2"/>
                      <w:sz w:val="21"/>
                      <w:szCs w:val="21"/>
                      <w:vertAlign w:val="baseline"/>
                      <w:lang w:val="en-US" w:eastAsia="zh-CN" w:bidi="ar-SA"/>
                    </w:rPr>
                  </w:pPr>
                  <w:r>
                    <w:rPr>
                      <w:rFonts w:hint="eastAsia" w:ascii="Times New Roman" w:hAnsi="Times New Roman" w:eastAsia="宋体" w:cs="Times New Roman"/>
                      <w:b/>
                      <w:bCs w:val="0"/>
                      <w:spacing w:val="0"/>
                      <w:sz w:val="21"/>
                      <w:szCs w:val="21"/>
                      <w:vertAlign w:val="baseline"/>
                      <w:lang w:val="en-US" w:eastAsia="zh-CN"/>
                    </w:rPr>
                    <w:t>产生浓度(mg/m</w:t>
                  </w:r>
                  <w:r>
                    <w:rPr>
                      <w:rFonts w:hint="eastAsia" w:ascii="Times New Roman" w:hAnsi="Times New Roman" w:eastAsia="宋体" w:cs="Times New Roman"/>
                      <w:b/>
                      <w:bCs w:val="0"/>
                      <w:spacing w:val="0"/>
                      <w:sz w:val="21"/>
                      <w:szCs w:val="21"/>
                      <w:vertAlign w:val="superscript"/>
                      <w:lang w:val="en-US" w:eastAsia="zh-CN"/>
                    </w:rPr>
                    <w:t>3</w:t>
                  </w:r>
                  <w:r>
                    <w:rPr>
                      <w:rFonts w:hint="eastAsia" w:ascii="Times New Roman" w:hAnsi="Times New Roman" w:eastAsia="宋体" w:cs="Times New Roman"/>
                      <w:b/>
                      <w:bCs w:val="0"/>
                      <w:spacing w:val="0"/>
                      <w:sz w:val="21"/>
                      <w:szCs w:val="21"/>
                      <w:vertAlign w:val="baseline"/>
                      <w:lang w:val="en-US" w:eastAsia="zh-CN"/>
                    </w:rPr>
                    <w:t>)</w:t>
                  </w:r>
                </w:p>
              </w:tc>
              <w:tc>
                <w:tcPr>
                  <w:tcW w:w="675"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kern w:val="2"/>
                      <w:sz w:val="21"/>
                      <w:szCs w:val="21"/>
                      <w:vertAlign w:val="baseline"/>
                      <w:lang w:val="en-US" w:eastAsia="zh-CN" w:bidi="ar-SA"/>
                    </w:rPr>
                  </w:pPr>
                  <w:r>
                    <w:rPr>
                      <w:rFonts w:hint="eastAsia" w:ascii="Times New Roman" w:hAnsi="Times New Roman" w:eastAsia="宋体" w:cs="Times New Roman"/>
                      <w:b/>
                      <w:bCs w:val="0"/>
                      <w:spacing w:val="0"/>
                      <w:sz w:val="21"/>
                      <w:szCs w:val="21"/>
                      <w:vertAlign w:val="baseline"/>
                      <w:lang w:val="en-US" w:eastAsia="zh-CN"/>
                    </w:rPr>
                    <w:t>产生量(t/a)</w:t>
                  </w:r>
                </w:p>
              </w:tc>
              <w:tc>
                <w:tcPr>
                  <w:tcW w:w="651"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kern w:val="2"/>
                      <w:sz w:val="21"/>
                      <w:szCs w:val="21"/>
                      <w:vertAlign w:val="baseline"/>
                      <w:lang w:val="en-US" w:eastAsia="zh-CN" w:bidi="ar-SA"/>
                    </w:rPr>
                  </w:pPr>
                  <w:r>
                    <w:rPr>
                      <w:rFonts w:hint="eastAsia" w:ascii="Times New Roman" w:hAnsi="Times New Roman" w:eastAsia="宋体" w:cs="Times New Roman"/>
                      <w:b/>
                      <w:bCs w:val="0"/>
                      <w:spacing w:val="0"/>
                      <w:sz w:val="21"/>
                      <w:szCs w:val="21"/>
                      <w:vertAlign w:val="baseline"/>
                      <w:lang w:val="en-US" w:eastAsia="zh-CN"/>
                    </w:rPr>
                    <w:t>工艺</w:t>
                  </w:r>
                </w:p>
              </w:tc>
              <w:tc>
                <w:tcPr>
                  <w:tcW w:w="661"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kern w:val="2"/>
                      <w:sz w:val="21"/>
                      <w:szCs w:val="21"/>
                      <w:vertAlign w:val="baseline"/>
                      <w:lang w:val="en-US" w:eastAsia="zh-CN" w:bidi="ar-SA"/>
                    </w:rPr>
                  </w:pPr>
                  <w:r>
                    <w:rPr>
                      <w:rFonts w:hint="eastAsia" w:ascii="Times New Roman" w:hAnsi="Times New Roman" w:eastAsia="宋体" w:cs="Times New Roman"/>
                      <w:b/>
                      <w:bCs w:val="0"/>
                      <w:spacing w:val="0"/>
                      <w:sz w:val="21"/>
                      <w:szCs w:val="21"/>
                      <w:vertAlign w:val="baseline"/>
                      <w:lang w:val="en-US" w:eastAsia="zh-CN"/>
                    </w:rPr>
                    <w:t>治理效率/%</w:t>
                  </w:r>
                </w:p>
              </w:tc>
              <w:tc>
                <w:tcPr>
                  <w:tcW w:w="761"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sz w:val="21"/>
                      <w:szCs w:val="21"/>
                      <w:vertAlign w:val="baseline"/>
                      <w:lang w:val="en-US" w:eastAsia="zh-CN"/>
                    </w:rPr>
                  </w:pPr>
                  <w:r>
                    <w:rPr>
                      <w:rFonts w:hint="eastAsia" w:ascii="Times New Roman" w:hAnsi="Times New Roman" w:eastAsia="宋体" w:cs="Times New Roman"/>
                      <w:b/>
                      <w:bCs w:val="0"/>
                      <w:spacing w:val="0"/>
                      <w:sz w:val="21"/>
                      <w:szCs w:val="21"/>
                      <w:vertAlign w:val="baseline"/>
                      <w:lang w:val="en-US" w:eastAsia="zh-CN"/>
                    </w:rPr>
                    <w:t>是否为可行技术</w:t>
                  </w:r>
                </w:p>
              </w:tc>
              <w:tc>
                <w:tcPr>
                  <w:tcW w:w="938"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kern w:val="2"/>
                      <w:sz w:val="21"/>
                      <w:szCs w:val="21"/>
                      <w:vertAlign w:val="baseline"/>
                      <w:lang w:val="en-US" w:eastAsia="zh-CN" w:bidi="ar-SA"/>
                    </w:rPr>
                  </w:pPr>
                  <w:r>
                    <w:rPr>
                      <w:rFonts w:hint="eastAsia" w:ascii="Times New Roman" w:hAnsi="Times New Roman" w:eastAsia="宋体" w:cs="Times New Roman"/>
                      <w:b/>
                      <w:bCs w:val="0"/>
                      <w:spacing w:val="0"/>
                      <w:sz w:val="21"/>
                      <w:szCs w:val="21"/>
                      <w:vertAlign w:val="baseline"/>
                      <w:lang w:val="en-US" w:eastAsia="zh-CN"/>
                    </w:rPr>
                    <w:t>排放浓度(mg/m</w:t>
                  </w:r>
                  <w:r>
                    <w:rPr>
                      <w:rFonts w:hint="eastAsia" w:ascii="Times New Roman" w:hAnsi="Times New Roman" w:eastAsia="宋体" w:cs="Times New Roman"/>
                      <w:b/>
                      <w:bCs w:val="0"/>
                      <w:spacing w:val="0"/>
                      <w:sz w:val="21"/>
                      <w:szCs w:val="21"/>
                      <w:vertAlign w:val="superscript"/>
                      <w:lang w:val="en-US" w:eastAsia="zh-CN"/>
                    </w:rPr>
                    <w:t>3</w:t>
                  </w:r>
                  <w:r>
                    <w:rPr>
                      <w:rFonts w:hint="eastAsia" w:ascii="Times New Roman" w:hAnsi="Times New Roman" w:eastAsia="宋体" w:cs="Times New Roman"/>
                      <w:b/>
                      <w:bCs w:val="0"/>
                      <w:spacing w:val="0"/>
                      <w:sz w:val="21"/>
                      <w:szCs w:val="21"/>
                      <w:vertAlign w:val="baseline"/>
                      <w:lang w:val="en-US" w:eastAsia="zh-CN"/>
                    </w:rPr>
                    <w:t>)</w:t>
                  </w:r>
                </w:p>
              </w:tc>
              <w:tc>
                <w:tcPr>
                  <w:tcW w:w="653" w:type="dxa"/>
                  <w:tcBorders>
                    <w:top w:val="single" w:color="auto" w:sz="4"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pacing w:val="0"/>
                      <w:kern w:val="2"/>
                      <w:sz w:val="21"/>
                      <w:szCs w:val="21"/>
                      <w:vertAlign w:val="baseline"/>
                      <w:lang w:val="en-US" w:eastAsia="zh-CN" w:bidi="ar-SA"/>
                    </w:rPr>
                  </w:pPr>
                  <w:r>
                    <w:rPr>
                      <w:rFonts w:hint="eastAsia" w:ascii="Times New Roman" w:hAnsi="Times New Roman" w:eastAsia="宋体" w:cs="Times New Roman"/>
                      <w:b/>
                      <w:bCs w:val="0"/>
                      <w:spacing w:val="0"/>
                      <w:sz w:val="21"/>
                      <w:szCs w:val="21"/>
                      <w:vertAlign w:val="baseline"/>
                      <w:lang w:val="en-US" w:eastAsia="zh-CN"/>
                    </w:rPr>
                    <w:t>排放量(t/a)</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c>
                <w:tcPr>
                  <w:tcW w:w="710" w:type="dxa"/>
                  <w:tcBorders>
                    <w:top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运输道路</w:t>
                  </w:r>
                </w:p>
              </w:tc>
              <w:tc>
                <w:tcPr>
                  <w:tcW w:w="688"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运输</w:t>
                  </w:r>
                </w:p>
              </w:tc>
              <w:tc>
                <w:tcPr>
                  <w:tcW w:w="608"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TSP</w:t>
                  </w:r>
                </w:p>
              </w:tc>
              <w:tc>
                <w:tcPr>
                  <w:tcW w:w="658"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无组织</w:t>
                  </w:r>
                </w:p>
              </w:tc>
              <w:tc>
                <w:tcPr>
                  <w:tcW w:w="938"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w:t>
                  </w:r>
                </w:p>
              </w:tc>
              <w:tc>
                <w:tcPr>
                  <w:tcW w:w="675"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default" w:ascii="Times New Roman" w:hAnsi="Times New Roman" w:eastAsia="宋体" w:cs="Times New Roman"/>
                      <w:b w:val="0"/>
                      <w:bCs/>
                      <w:spacing w:val="0"/>
                      <w:sz w:val="21"/>
                      <w:szCs w:val="21"/>
                      <w:vertAlign w:val="baseline"/>
                      <w:lang w:val="en-US" w:eastAsia="zh-CN"/>
                    </w:rPr>
                    <w:t>2.28</w:t>
                  </w:r>
                </w:p>
              </w:tc>
              <w:tc>
                <w:tcPr>
                  <w:tcW w:w="651"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洒水降尘，及时覆盖防风抑尘网</w:t>
                  </w:r>
                </w:p>
              </w:tc>
              <w:tc>
                <w:tcPr>
                  <w:tcW w:w="661"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75</w:t>
                  </w:r>
                </w:p>
              </w:tc>
              <w:tc>
                <w:tcPr>
                  <w:tcW w:w="761"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是</w:t>
                  </w:r>
                </w:p>
              </w:tc>
              <w:tc>
                <w:tcPr>
                  <w:tcW w:w="938"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w:t>
                  </w:r>
                </w:p>
              </w:tc>
              <w:tc>
                <w:tcPr>
                  <w:tcW w:w="653" w:type="dxa"/>
                  <w:tcBorders>
                    <w:top w:val="single" w:color="auto" w:sz="12"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0.</w:t>
                  </w:r>
                  <w:r>
                    <w:rPr>
                      <w:rFonts w:hint="default" w:ascii="Times New Roman" w:hAnsi="Times New Roman" w:eastAsia="宋体" w:cs="Times New Roman"/>
                      <w:b w:val="0"/>
                      <w:bCs/>
                      <w:spacing w:val="0"/>
                      <w:sz w:val="21"/>
                      <w:szCs w:val="21"/>
                      <w:vertAlign w:val="baseline"/>
                      <w:lang w:val="en-US" w:eastAsia="zh-CN"/>
                    </w:rPr>
                    <w:t>57</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c>
                <w:tcPr>
                  <w:tcW w:w="710" w:type="dxa"/>
                  <w:vMerge w:val="restar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暂存场</w:t>
                  </w:r>
                </w:p>
              </w:tc>
              <w:tc>
                <w:tcPr>
                  <w:tcW w:w="6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卸车</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TSP</w:t>
                  </w:r>
                </w:p>
              </w:tc>
              <w:tc>
                <w:tcPr>
                  <w:tcW w:w="65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9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10.3</w:t>
                  </w:r>
                </w:p>
              </w:tc>
              <w:tc>
                <w:tcPr>
                  <w:tcW w:w="65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76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9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w:t>
                  </w:r>
                </w:p>
              </w:tc>
              <w:tc>
                <w:tcPr>
                  <w:tcW w:w="65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2.58</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6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压实</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TSP</w:t>
                  </w:r>
                </w:p>
              </w:tc>
              <w:tc>
                <w:tcPr>
                  <w:tcW w:w="65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9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3.9</w:t>
                  </w:r>
                </w:p>
              </w:tc>
              <w:tc>
                <w:tcPr>
                  <w:tcW w:w="65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76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9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w:t>
                  </w:r>
                </w:p>
              </w:tc>
              <w:tc>
                <w:tcPr>
                  <w:tcW w:w="65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0.98</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c>
                <w:tcPr>
                  <w:tcW w:w="710"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堆土区</w:t>
                  </w:r>
                </w:p>
              </w:tc>
              <w:tc>
                <w:tcPr>
                  <w:tcW w:w="6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堆存</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TSP</w:t>
                  </w:r>
                </w:p>
              </w:tc>
              <w:tc>
                <w:tcPr>
                  <w:tcW w:w="65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9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1.01</w:t>
                  </w:r>
                </w:p>
              </w:tc>
              <w:tc>
                <w:tcPr>
                  <w:tcW w:w="65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76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p>
              </w:tc>
              <w:tc>
                <w:tcPr>
                  <w:tcW w:w="9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w:t>
                  </w:r>
                </w:p>
              </w:tc>
              <w:tc>
                <w:tcPr>
                  <w:tcW w:w="65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0.25</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c>
                <w:tcPr>
                  <w:tcW w:w="7288" w:type="dxa"/>
                  <w:gridSpan w:val="10"/>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合计</w:t>
                  </w:r>
                </w:p>
              </w:tc>
              <w:tc>
                <w:tcPr>
                  <w:tcW w:w="653"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ascii="Times New Roman" w:hAnsi="Times New Roman" w:eastAsia="宋体" w:cs="Times New Roman"/>
                      <w:b w:val="0"/>
                      <w:bCs/>
                      <w:spacing w:val="0"/>
                      <w:sz w:val="21"/>
                      <w:szCs w:val="21"/>
                      <w:vertAlign w:val="baseline"/>
                      <w:lang w:val="en-US" w:eastAsia="zh-CN"/>
                    </w:rPr>
                    <w:t>4.</w:t>
                  </w:r>
                  <w:r>
                    <w:rPr>
                      <w:rFonts w:hint="eastAsia" w:cs="Times New Roman"/>
                      <w:b w:val="0"/>
                      <w:bCs/>
                      <w:spacing w:val="0"/>
                      <w:sz w:val="21"/>
                      <w:szCs w:val="21"/>
                      <w:vertAlign w:val="baseline"/>
                      <w:lang w:val="en-US" w:eastAsia="zh-CN"/>
                    </w:rPr>
                    <w:t>38</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1.2 废气处理措施及其可行性分析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eastAsia" w:ascii="Times New Roman" w:hAnsi="Times New Roman" w:eastAsia="宋体" w:cs="Times New Roman"/>
                <w:bCs/>
                <w:spacing w:val="0"/>
                <w:sz w:val="24"/>
                <w:szCs w:val="24"/>
                <w:lang w:val="en-US" w:eastAsia="zh-CN"/>
              </w:rPr>
              <w:t>①暂存场扬尘防治措施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①建筑垃圾运至场区后，采用分区堆放、分层碾压堆筑，必须做到随倒随压，尽量减少暴露面积和暴露时间，避免碾压不及时或表面水分蒸发后，风吹扬尘造成二次污染。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②为减轻建筑卸车时产生的扬尘对大气环境的影响，使用专用车辆运输，上部加盖篷布苫盖、洒水车喷洒降尘，应注意控制卸车时的速度，在干燥天气，再配备水车，边卸车边适当洒水，减少扬尘飞扬。</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③建筑垃圾运至堆料区后，边洒水降尘边由推土机将建筑垃圾推平，采用湿式作业下使用碾压机将建筑垃圾压密实，未及时碾压的建筑垃圾进行临时遮盖。管理人员可根据当地的气候变化规律，找出适合本项目堆料区域的喷洒水规律，建立制度，更好地控制堆料区扬尘。应规划堆料间距、定点卸车，使运输车辆在现场依次有序卸灰，不得乱堆乱卸；同时推铺、整平建筑垃圾应沿原料堆序列往返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④作业环节应按照运输、整平、碾压、喷洒的流程进行。表面要定时洒水。洒水周期和水量应根据季节和天气，适时洒水，避免因风吹而扬灰。例如干燥多风季节应勤洒多洒，阴雨天气可以少洒或不洒。一般情况下，建议每天作业时洒水，每遍洒水深度7-8mm。堆料区域、场内运输道路定时采用洒水车方式进行洒水抑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⑤当堆料终了时，应及时按设计进行封场、覆土复垦，恢复自然植被状态。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（2）场内运输扬尘防治措施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为防止建筑垃圾运输过程产生的扬尘污染，环评要求采取以下措施：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①运输车辆运输时，建筑垃圾装车高度不得超过车厢板高度，装载量不得超过车辆自身的限载重量，车辆运输时，车厢上部加盖篷布苫盖。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②为减轻建筑垃圾运输卸车时产生的扬尘对大气环境的影响，要求本项目堆料的建筑垃圾均为湿垃圾；建筑垃圾由专用车辆运输，上部加盖篷布苫盖。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③加强堆料区作业管理，在进入堆料区场内道路后应注意控制行车、卸车时的速度。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④场内道路使用洒水车定期洒水降尘。运输道路使用洒水车定期洒水降尘。运输车辆往返，车厢板和轮胎会滞留有残灰，会造成沿运输道路抛洒、散失，应定时对运输车辆进行清洗，杜绝运输途中发生扬尘污染。实践表明，凝结在车厢板上，且有一定强度，板结后不易清除。在堆场设岗定员，专司车厢清理，避免板结在箱体上。严格禁止超高装车，防止散落。从厂区到处置的运输道路，应有专人巡回清扫，保持良好的运行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⑤遇大风天气，为防止扬尘污染不得进行运输、堆料作业。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工作人员在日常装卸、</w:t>
            </w:r>
            <w:r>
              <w:rPr>
                <w:rFonts w:hint="eastAsia" w:cs="Times New Roman"/>
                <w:bCs/>
                <w:spacing w:val="0"/>
                <w:sz w:val="24"/>
                <w:szCs w:val="24"/>
                <w:lang w:val="en-US" w:eastAsia="zh-CN"/>
              </w:rPr>
              <w:t>堆存</w:t>
            </w:r>
            <w:r>
              <w:rPr>
                <w:rFonts w:hint="eastAsia" w:ascii="Times New Roman" w:hAnsi="Times New Roman" w:cs="Times New Roman"/>
                <w:bCs/>
                <w:spacing w:val="0"/>
                <w:sz w:val="24"/>
                <w:szCs w:val="24"/>
                <w:lang w:val="en-US" w:eastAsia="zh-CN"/>
              </w:rPr>
              <w:t>固废工作中，应做好卫生防护措施，如：戴口罩、防护眼镜等。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（3）卸车扬尘防治措施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 xml:space="preserve">①建筑垃圾装卸车时应该降低卸车高度，尽量轻卸，严禁凌空抛洒。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②卸车过程中注意洒水降尘。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（4）机械废气治理措施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针对堆料作业机械产生的尾气，应加强对堆料作业车辆的检修和维护，严禁使用超期限服役和尾气超标的车辆，尽可能使用油耗低、排气小的堆料作业车辆，选用优质燃油，减少机械和车辆的有害废气排放。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eastAsia" w:ascii="Times New Roman" w:hAnsi="Times New Roman" w:eastAsia="宋体" w:cs="Times New Roman"/>
                <w:bCs/>
                <w:spacing w:val="0"/>
                <w:sz w:val="24"/>
                <w:szCs w:val="24"/>
                <w:lang w:val="en-US" w:eastAsia="zh-CN"/>
              </w:rPr>
              <w:t>（5）防治措施可行性分析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spacing w:val="0"/>
                <w:sz w:val="24"/>
                <w:szCs w:val="24"/>
                <w:lang w:val="en-US" w:eastAsia="zh-CN"/>
              </w:rPr>
            </w:pPr>
            <w:r>
              <w:rPr>
                <w:rFonts w:hint="eastAsia" w:ascii="Times New Roman" w:hAnsi="Times New Roman" w:eastAsia="宋体" w:cs="Times New Roman"/>
                <w:bCs/>
                <w:spacing w:val="0"/>
                <w:sz w:val="24"/>
                <w:szCs w:val="24"/>
                <w:lang w:val="en-US" w:eastAsia="zh-CN"/>
              </w:rPr>
              <w:t>本项目建筑垃圾运输过程中产生的无组织道路扬尘，通过定期洒水、运输车辆全面苫盖等措施进行防治；场区卸料过程中产生的无组织扬尘，通过定期洒水等措施进行防治；场区堆料作业过程中产生的无组织扬尘，通过定期洒水等措施进行防治。各厂界颗粒物无组织浓度均能达到《大气污染物综合排放标准》（GB16297-1996)中标准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spacing w:val="0"/>
                <w:sz w:val="24"/>
                <w:szCs w:val="24"/>
                <w:lang w:val="en-US" w:eastAsia="zh-CN"/>
              </w:rPr>
            </w:pPr>
            <w:r>
              <w:rPr>
                <w:rFonts w:hint="eastAsia" w:ascii="Times New Roman" w:hAnsi="Times New Roman" w:eastAsia="宋体" w:cs="Times New Roman"/>
                <w:bCs/>
                <w:spacing w:val="0"/>
                <w:sz w:val="24"/>
                <w:szCs w:val="24"/>
                <w:lang w:val="en-US" w:eastAsia="zh-CN"/>
              </w:rPr>
              <w:t>对照《排污许可证申请与核发技术规范 工业固体废物和危险废物治理》(HJ 1033-2019)中附录C"废气治理可行技术参考表”，本项目各生产环节无组织颗粒物污染治理技术相符性见表4-3。</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pacing w:val="0"/>
                <w:sz w:val="21"/>
                <w:szCs w:val="21"/>
                <w:lang w:val="en-US" w:eastAsia="zh-CN"/>
              </w:rPr>
            </w:pPr>
            <w:r>
              <w:rPr>
                <w:rFonts w:hint="eastAsia" w:ascii="Times New Roman" w:hAnsi="Times New Roman" w:eastAsia="宋体" w:cs="Times New Roman"/>
                <w:b/>
                <w:bCs w:val="0"/>
                <w:spacing w:val="0"/>
                <w:sz w:val="21"/>
                <w:szCs w:val="21"/>
                <w:lang w:val="en-US" w:eastAsia="zh-CN"/>
              </w:rPr>
              <w:t>表4-3  本项目无组织颗粒物污染防治与HJ 1033-2019可行性技术相符性一览</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55"/>
              <w:gridCol w:w="1001"/>
              <w:gridCol w:w="3027"/>
              <w:gridCol w:w="1769"/>
              <w:gridCol w:w="9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155"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pacing w:val="0"/>
                      <w:sz w:val="21"/>
                      <w:szCs w:val="21"/>
                      <w:lang w:val="en-US" w:eastAsia="zh-CN"/>
                    </w:rPr>
                  </w:pPr>
                  <w:r>
                    <w:rPr>
                      <w:rFonts w:hint="default" w:ascii="Times New Roman" w:hAnsi="Times New Roman" w:eastAsia="宋体" w:cs="Times New Roman"/>
                      <w:b/>
                      <w:bCs w:val="0"/>
                      <w:spacing w:val="0"/>
                      <w:sz w:val="21"/>
                      <w:szCs w:val="21"/>
                      <w:lang w:val="en-US" w:eastAsia="zh-CN"/>
                    </w:rPr>
                    <w:t>废气产污环节</w:t>
                  </w:r>
                </w:p>
              </w:tc>
              <w:tc>
                <w:tcPr>
                  <w:tcW w:w="1001"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pacing w:val="0"/>
                      <w:sz w:val="21"/>
                      <w:szCs w:val="21"/>
                      <w:lang w:val="en-US" w:eastAsia="zh-CN"/>
                    </w:rPr>
                  </w:pPr>
                  <w:r>
                    <w:rPr>
                      <w:rFonts w:hint="default" w:ascii="Times New Roman" w:hAnsi="Times New Roman" w:eastAsia="宋体" w:cs="Times New Roman"/>
                      <w:b/>
                      <w:bCs w:val="0"/>
                      <w:spacing w:val="0"/>
                      <w:sz w:val="21"/>
                      <w:szCs w:val="21"/>
                      <w:lang w:val="en-US" w:eastAsia="zh-CN"/>
                    </w:rPr>
                    <w:t>污染物种类</w:t>
                  </w:r>
                </w:p>
              </w:tc>
              <w:tc>
                <w:tcPr>
                  <w:tcW w:w="3027"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pacing w:val="0"/>
                      <w:sz w:val="21"/>
                      <w:szCs w:val="21"/>
                      <w:lang w:val="en-US" w:eastAsia="zh-CN"/>
                    </w:rPr>
                  </w:pPr>
                  <w:r>
                    <w:rPr>
                      <w:rFonts w:hint="default" w:ascii="Times New Roman" w:hAnsi="Times New Roman" w:eastAsia="宋体" w:cs="Times New Roman"/>
                      <w:b/>
                      <w:bCs w:val="0"/>
                      <w:spacing w:val="0"/>
                      <w:sz w:val="21"/>
                      <w:szCs w:val="21"/>
                      <w:lang w:val="en-US" w:eastAsia="zh-CN"/>
                    </w:rPr>
                    <w:t>可行技术</w:t>
                  </w:r>
                </w:p>
              </w:tc>
              <w:tc>
                <w:tcPr>
                  <w:tcW w:w="1769"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pacing w:val="0"/>
                      <w:sz w:val="21"/>
                      <w:szCs w:val="21"/>
                      <w:lang w:val="en-US" w:eastAsia="zh-CN"/>
                    </w:rPr>
                  </w:pPr>
                  <w:r>
                    <w:rPr>
                      <w:rFonts w:hint="default" w:ascii="Times New Roman" w:hAnsi="Times New Roman" w:eastAsia="宋体" w:cs="Times New Roman"/>
                      <w:b/>
                      <w:bCs w:val="0"/>
                      <w:spacing w:val="0"/>
                      <w:sz w:val="21"/>
                      <w:szCs w:val="21"/>
                      <w:lang w:val="en-US" w:eastAsia="zh-CN"/>
                    </w:rPr>
                    <w:t>本工程采用技术</w:t>
                  </w:r>
                </w:p>
              </w:tc>
              <w:tc>
                <w:tcPr>
                  <w:tcW w:w="991"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pacing w:val="0"/>
                      <w:sz w:val="21"/>
                      <w:szCs w:val="21"/>
                      <w:lang w:val="en-US" w:eastAsia="zh-CN"/>
                    </w:rPr>
                  </w:pPr>
                  <w:r>
                    <w:rPr>
                      <w:rFonts w:hint="default" w:ascii="Times New Roman" w:hAnsi="Times New Roman" w:eastAsia="宋体" w:cs="Times New Roman"/>
                      <w:b/>
                      <w:bCs w:val="0"/>
                      <w:spacing w:val="0"/>
                      <w:sz w:val="21"/>
                      <w:szCs w:val="21"/>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1155"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bCs/>
                      <w:spacing w:val="0"/>
                      <w:sz w:val="21"/>
                      <w:szCs w:val="21"/>
                      <w:lang w:val="en-US" w:eastAsia="zh-CN"/>
                    </w:rPr>
                    <w:t>运输</w:t>
                  </w:r>
                </w:p>
              </w:tc>
              <w:tc>
                <w:tcPr>
                  <w:tcW w:w="1001"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bCs/>
                      <w:spacing w:val="0"/>
                      <w:sz w:val="21"/>
                      <w:szCs w:val="21"/>
                      <w:lang w:val="en-US" w:eastAsia="zh-CN"/>
                    </w:rPr>
                    <w:t>颗粒物</w:t>
                  </w:r>
                </w:p>
              </w:tc>
              <w:tc>
                <w:tcPr>
                  <w:tcW w:w="3027"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eastAsia" w:ascii="Times New Roman" w:hAnsi="Times New Roman" w:eastAsia="宋体" w:cs="Times New Roman"/>
                      <w:bCs/>
                      <w:spacing w:val="0"/>
                      <w:sz w:val="21"/>
                      <w:szCs w:val="21"/>
                      <w:lang w:val="en-US" w:eastAsia="zh-CN"/>
                    </w:rPr>
                    <w:t>/</w:t>
                  </w:r>
                </w:p>
              </w:tc>
              <w:tc>
                <w:tcPr>
                  <w:tcW w:w="1769"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bCs/>
                      <w:spacing w:val="0"/>
                      <w:sz w:val="21"/>
                      <w:szCs w:val="21"/>
                      <w:lang w:val="en-US" w:eastAsia="zh-CN"/>
                    </w:rPr>
                    <w:t>洒水、苫盖等</w:t>
                  </w:r>
                </w:p>
              </w:tc>
              <w:tc>
                <w:tcPr>
                  <w:tcW w:w="991"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eastAsia" w:ascii="Times New Roman" w:hAnsi="Times New Roman" w:eastAsia="宋体" w:cs="Times New Roman"/>
                      <w:bCs/>
                      <w:spacing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11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bCs/>
                      <w:spacing w:val="0"/>
                      <w:sz w:val="21"/>
                      <w:szCs w:val="21"/>
                      <w:lang w:val="en-US" w:eastAsia="zh-CN"/>
                    </w:rPr>
                    <w:t>卸料</w:t>
                  </w:r>
                </w:p>
              </w:tc>
              <w:tc>
                <w:tcPr>
                  <w:tcW w:w="10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bCs/>
                      <w:spacing w:val="0"/>
                      <w:sz w:val="21"/>
                      <w:szCs w:val="21"/>
                      <w:lang w:val="en-US" w:eastAsia="zh-CN"/>
                    </w:rPr>
                    <w:t>颗粒物</w:t>
                  </w:r>
                </w:p>
              </w:tc>
              <w:tc>
                <w:tcPr>
                  <w:tcW w:w="3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bCs/>
                      <w:spacing w:val="0"/>
                      <w:sz w:val="21"/>
                      <w:szCs w:val="21"/>
                      <w:lang w:val="en-US" w:eastAsia="zh-CN"/>
                    </w:rPr>
                    <w:t>/</w:t>
                  </w:r>
                </w:p>
              </w:tc>
              <w:tc>
                <w:tcPr>
                  <w:tcW w:w="17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bCs/>
                      <w:spacing w:val="0"/>
                      <w:sz w:val="21"/>
                      <w:szCs w:val="21"/>
                      <w:lang w:val="en-US" w:eastAsia="zh-CN"/>
                    </w:rPr>
                    <w:t>洒水</w:t>
                  </w:r>
                  <w:r>
                    <w:rPr>
                      <w:rFonts w:hint="eastAsia" w:ascii="Times New Roman" w:hAnsi="Times New Roman" w:eastAsia="宋体" w:cs="Times New Roman"/>
                      <w:bCs/>
                      <w:spacing w:val="0"/>
                      <w:sz w:val="21"/>
                      <w:szCs w:val="21"/>
                      <w:lang w:val="en-US" w:eastAsia="zh-CN"/>
                    </w:rPr>
                    <w:t>抑尘</w:t>
                  </w:r>
                </w:p>
              </w:tc>
              <w:tc>
                <w:tcPr>
                  <w:tcW w:w="9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bCs/>
                      <w:spacing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95" w:hRule="atLeast"/>
                <w:jc w:val="center"/>
              </w:trPr>
              <w:tc>
                <w:tcPr>
                  <w:tcW w:w="11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eastAsia" w:ascii="Times New Roman" w:hAnsi="Times New Roman" w:eastAsia="宋体" w:cs="Times New Roman"/>
                      <w:bCs/>
                      <w:spacing w:val="0"/>
                      <w:sz w:val="21"/>
                      <w:szCs w:val="21"/>
                      <w:lang w:val="en-US" w:eastAsia="zh-CN"/>
                    </w:rPr>
                    <w:t>储存、处置</w:t>
                  </w:r>
                </w:p>
              </w:tc>
              <w:tc>
                <w:tcPr>
                  <w:tcW w:w="10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bCs/>
                      <w:spacing w:val="0"/>
                      <w:sz w:val="21"/>
                      <w:szCs w:val="21"/>
                      <w:lang w:val="en-US" w:eastAsia="zh-CN"/>
                    </w:rPr>
                    <w:t>颗粒物</w:t>
                  </w:r>
                </w:p>
              </w:tc>
              <w:tc>
                <w:tcPr>
                  <w:tcW w:w="3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eastAsia" w:ascii="Times New Roman" w:hAnsi="Times New Roman" w:eastAsia="宋体" w:cs="Times New Roman"/>
                      <w:bCs/>
                      <w:spacing w:val="0"/>
                      <w:sz w:val="21"/>
                      <w:szCs w:val="21"/>
                      <w:lang w:val="en-US" w:eastAsia="zh-CN"/>
                    </w:rPr>
                    <w:t>逐层堆料、覆土压实、及时覆盖、洒水抑尘、设置防风抑尘网、服务期满后及时封场</w:t>
                  </w:r>
                </w:p>
              </w:tc>
              <w:tc>
                <w:tcPr>
                  <w:tcW w:w="17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bCs/>
                      <w:spacing w:val="0"/>
                      <w:sz w:val="21"/>
                      <w:szCs w:val="21"/>
                      <w:lang w:val="en-US" w:eastAsia="zh-CN"/>
                    </w:rPr>
                    <w:t>垃圾进场后</w:t>
                  </w:r>
                  <w:r>
                    <w:rPr>
                      <w:rFonts w:hint="eastAsia" w:ascii="Times New Roman" w:hAnsi="Times New Roman" w:eastAsia="宋体" w:cs="Times New Roman"/>
                      <w:bCs/>
                      <w:spacing w:val="0"/>
                      <w:sz w:val="21"/>
                      <w:szCs w:val="21"/>
                      <w:lang w:val="en-US" w:eastAsia="zh-CN"/>
                    </w:rPr>
                    <w:t>进行逐层堆料，当日进场垃圾</w:t>
                  </w:r>
                  <w:r>
                    <w:rPr>
                      <w:rFonts w:hint="default" w:ascii="Times New Roman" w:hAnsi="Times New Roman" w:eastAsia="宋体" w:cs="Times New Roman"/>
                      <w:bCs/>
                      <w:spacing w:val="0"/>
                      <w:sz w:val="21"/>
                      <w:szCs w:val="21"/>
                      <w:lang w:val="en-US" w:eastAsia="zh-CN"/>
                    </w:rPr>
                    <w:t>于当日完成摊铺、压实、覆盖工作</w:t>
                  </w:r>
                  <w:r>
                    <w:rPr>
                      <w:rFonts w:hint="eastAsia" w:ascii="Times New Roman" w:hAnsi="Times New Roman" w:eastAsia="宋体" w:cs="Times New Roman"/>
                      <w:bCs/>
                      <w:spacing w:val="0"/>
                      <w:sz w:val="21"/>
                      <w:szCs w:val="21"/>
                      <w:lang w:val="en-US" w:eastAsia="zh-CN"/>
                    </w:rPr>
                    <w:t>；及时</w:t>
                  </w:r>
                  <w:r>
                    <w:rPr>
                      <w:rFonts w:hint="default" w:ascii="Times New Roman" w:hAnsi="Times New Roman" w:eastAsia="宋体" w:cs="Times New Roman"/>
                      <w:bCs/>
                      <w:spacing w:val="0"/>
                      <w:sz w:val="21"/>
                      <w:szCs w:val="21"/>
                      <w:lang w:val="en-US" w:eastAsia="zh-CN"/>
                    </w:rPr>
                    <w:t>洒水抑尘</w:t>
                  </w:r>
                  <w:r>
                    <w:rPr>
                      <w:rFonts w:hint="eastAsia" w:ascii="Times New Roman" w:hAnsi="Times New Roman" w:eastAsia="宋体" w:cs="Times New Roman"/>
                      <w:bCs/>
                      <w:spacing w:val="0"/>
                      <w:sz w:val="21"/>
                      <w:szCs w:val="21"/>
                      <w:lang w:val="en-US" w:eastAsia="zh-CN"/>
                    </w:rPr>
                    <w:t>，服务期满后进行封场。</w:t>
                  </w:r>
                </w:p>
              </w:tc>
              <w:tc>
                <w:tcPr>
                  <w:tcW w:w="9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bCs/>
                      <w:spacing w:val="0"/>
                      <w:sz w:val="21"/>
                      <w:szCs w:val="21"/>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spacing w:val="0"/>
                <w:sz w:val="24"/>
                <w:szCs w:val="24"/>
                <w:lang w:val="en-US" w:eastAsia="zh-CN"/>
              </w:rPr>
            </w:pPr>
            <w:r>
              <w:rPr>
                <w:rFonts w:hint="eastAsia" w:ascii="Times New Roman" w:hAnsi="Times New Roman" w:eastAsia="宋体" w:cs="Times New Roman"/>
                <w:bCs/>
                <w:spacing w:val="0"/>
                <w:sz w:val="24"/>
                <w:szCs w:val="24"/>
                <w:lang w:val="en-US" w:eastAsia="zh-CN"/>
              </w:rPr>
              <w:t>由于本项目针对生产作业各环节中颗粒物均采用了HJ 1033-2019中的可行技术进行治理，颗粒物无组织排放浓度均可满足《大气污染物综合排放标准》（GB16297-1996）中表2无组织排放监控浓度限值要求，本项目各生产环节废气治理按拟采取方案处理是可行的。</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1.3 监测计划</w:t>
            </w:r>
          </w:p>
          <w:p>
            <w:pPr>
              <w:pStyle w:val="16"/>
              <w:keepNext w:val="0"/>
              <w:keepLines w:val="0"/>
              <w:pageBreakBefore w:val="0"/>
              <w:widowControl w:val="0"/>
              <w:kinsoku/>
              <w:wordWrap/>
              <w:overflowPunct/>
              <w:topLinePunct w:val="0"/>
              <w:autoSpaceDE/>
              <w:autoSpaceDN/>
              <w:bidi w:val="0"/>
              <w:adjustRightInd/>
              <w:snapToGrid/>
              <w:spacing w:line="360" w:lineRule="auto"/>
              <w:ind w:left="210" w:firstLine="480" w:firstLineChars="200"/>
              <w:textAlignment w:val="auto"/>
              <w:rPr>
                <w:rFonts w:hint="eastAsia"/>
                <w:sz w:val="24"/>
                <w:szCs w:val="24"/>
              </w:rPr>
            </w:pPr>
            <w:r>
              <w:rPr>
                <w:rFonts w:hint="eastAsia"/>
                <w:sz w:val="24"/>
                <w:szCs w:val="24"/>
                <w:lang w:val="en-US" w:eastAsia="zh-CN"/>
              </w:rPr>
              <w:t>根据《排污单位自行监测技术指南 总则》（HJ819-2017），本项目</w:t>
            </w:r>
            <w:r>
              <w:rPr>
                <w:rFonts w:hint="eastAsia"/>
                <w:sz w:val="24"/>
                <w:szCs w:val="24"/>
              </w:rPr>
              <w:t>运营期大气监测计划见下表。</w:t>
            </w:r>
          </w:p>
          <w:p>
            <w:pPr>
              <w:jc w:val="center"/>
              <w:rPr>
                <w:b/>
                <w:bCs/>
                <w:sz w:val="21"/>
                <w:szCs w:val="21"/>
              </w:rPr>
            </w:pPr>
            <w:r>
              <w:rPr>
                <w:rFonts w:hint="eastAsia"/>
                <w:b/>
                <w:bCs/>
                <w:sz w:val="21"/>
                <w:szCs w:val="21"/>
              </w:rPr>
              <w:t>表</w:t>
            </w:r>
            <w:r>
              <w:rPr>
                <w:rFonts w:hint="eastAsia"/>
                <w:b/>
                <w:bCs/>
                <w:sz w:val="21"/>
                <w:szCs w:val="21"/>
                <w:lang w:val="en-US" w:eastAsia="zh-CN"/>
              </w:rPr>
              <w:t xml:space="preserve">4-4     </w:t>
            </w:r>
            <w:r>
              <w:rPr>
                <w:rFonts w:hint="eastAsia"/>
                <w:b/>
                <w:bCs/>
                <w:sz w:val="21"/>
                <w:szCs w:val="21"/>
              </w:rPr>
              <w:t>大气监测计划表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84"/>
              <w:gridCol w:w="567"/>
              <w:gridCol w:w="1581"/>
              <w:gridCol w:w="1818"/>
              <w:gridCol w:w="2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0" w:hRule="atLeast"/>
                <w:jc w:val="center"/>
              </w:trPr>
              <w:tc>
                <w:tcPr>
                  <w:tcW w:w="175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sz w:val="21"/>
                      <w:szCs w:val="21"/>
                    </w:rPr>
                    <w:t>监测</w:t>
                  </w:r>
                  <w:r>
                    <w:rPr>
                      <w:rFonts w:hint="eastAsia"/>
                      <w:sz w:val="21"/>
                      <w:szCs w:val="21"/>
                    </w:rPr>
                    <w:t>因子</w:t>
                  </w:r>
                </w:p>
              </w:tc>
              <w:tc>
                <w:tcPr>
                  <w:tcW w:w="1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rFonts w:hint="eastAsia"/>
                      <w:sz w:val="21"/>
                      <w:szCs w:val="21"/>
                    </w:rPr>
                    <w:t>监测点位</w:t>
                  </w:r>
                </w:p>
              </w:tc>
              <w:tc>
                <w:tcPr>
                  <w:tcW w:w="18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sz w:val="21"/>
                      <w:szCs w:val="21"/>
                    </w:rPr>
                    <w:t>监测频率</w:t>
                  </w:r>
                </w:p>
              </w:tc>
              <w:tc>
                <w:tcPr>
                  <w:tcW w:w="27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sz w:val="21"/>
                      <w:szCs w:val="21"/>
                      <w:lang w:val="en-US" w:eastAsia="zh-CN"/>
                    </w:rPr>
                  </w:pPr>
                  <w:r>
                    <w:rPr>
                      <w:rFonts w:hint="eastAsia"/>
                      <w:sz w:val="21"/>
                      <w:szCs w:val="21"/>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11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sz w:val="21"/>
                      <w:szCs w:val="21"/>
                    </w:rPr>
                    <w:t>大气监测</w:t>
                  </w:r>
                </w:p>
              </w:tc>
              <w:tc>
                <w:tcPr>
                  <w:tcW w:w="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rFonts w:hint="eastAsia"/>
                      <w:sz w:val="21"/>
                      <w:szCs w:val="21"/>
                    </w:rPr>
                    <w:t>TSP</w:t>
                  </w:r>
                </w:p>
              </w:tc>
              <w:tc>
                <w:tcPr>
                  <w:tcW w:w="1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sz w:val="21"/>
                      <w:szCs w:val="21"/>
                      <w:lang w:val="en-US" w:eastAsia="zh-CN"/>
                    </w:rPr>
                  </w:pPr>
                  <w:r>
                    <w:rPr>
                      <w:rFonts w:hint="eastAsia"/>
                      <w:sz w:val="21"/>
                      <w:szCs w:val="21"/>
                      <w:lang w:val="en-US" w:eastAsia="zh-CN"/>
                    </w:rPr>
                    <w:t>项目区下风向</w:t>
                  </w:r>
                </w:p>
              </w:tc>
              <w:tc>
                <w:tcPr>
                  <w:tcW w:w="18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sz w:val="21"/>
                      <w:szCs w:val="21"/>
                      <w:lang w:val="en-US" w:eastAsia="zh-CN"/>
                    </w:rPr>
                  </w:pPr>
                  <w:r>
                    <w:rPr>
                      <w:rFonts w:hint="eastAsia"/>
                      <w:sz w:val="21"/>
                      <w:szCs w:val="21"/>
                      <w:lang w:val="en-US" w:eastAsia="zh-CN"/>
                    </w:rPr>
                    <w:t>1/年</w:t>
                  </w:r>
                </w:p>
              </w:tc>
              <w:tc>
                <w:tcPr>
                  <w:tcW w:w="27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sz w:val="21"/>
                      <w:szCs w:val="21"/>
                    </w:rPr>
                  </w:pPr>
                  <w:r>
                    <w:rPr>
                      <w:rFonts w:hint="eastAsia"/>
                      <w:sz w:val="21"/>
                      <w:szCs w:val="21"/>
                      <w:lang w:val="en-US" w:eastAsia="zh-CN"/>
                    </w:rPr>
                    <w:t>《大气污染物综合排放标准》（GB16297-1996）中表2无组织排放监控浓度限值</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2 废水环境影响和保护措施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本项目运营期产生的废水主要包括生活污水、冲洗废水及雨水渗水。</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z w:val="24"/>
                <w:szCs w:val="24"/>
                <w:highlight w:val="none"/>
                <w:lang w:val="en-US" w:eastAsia="zh-CN"/>
              </w:rPr>
            </w:pPr>
            <w:r>
              <w:rPr>
                <w:rFonts w:hint="eastAsia" w:ascii="Times New Roman" w:hAnsi="Times New Roman" w:cs="Times New Roman"/>
                <w:b/>
                <w:bCs w:val="0"/>
                <w:sz w:val="24"/>
                <w:szCs w:val="24"/>
                <w:highlight w:val="none"/>
                <w:lang w:val="en-US" w:eastAsia="zh-CN"/>
              </w:rPr>
              <w:t>2.1 废水污染源核算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（1）生活污水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sz w:val="24"/>
                <w:szCs w:val="24"/>
                <w:lang w:val="en-US" w:eastAsia="zh-CN"/>
              </w:rPr>
              <w:t>本项目生活用水量</w:t>
            </w:r>
            <w:r>
              <w:rPr>
                <w:rFonts w:hint="eastAsia" w:ascii="Times New Roman" w:hAnsi="Times New Roman" w:cs="Times New Roman"/>
                <w:bCs/>
                <w:color w:val="auto"/>
                <w:sz w:val="24"/>
                <w:szCs w:val="24"/>
                <w:lang w:val="en-US" w:eastAsia="zh-CN"/>
              </w:rPr>
              <w:t>为</w:t>
            </w:r>
            <w:r>
              <w:rPr>
                <w:rFonts w:hint="eastAsia" w:cs="Times New Roman"/>
                <w:color w:val="auto"/>
                <w:kern w:val="0"/>
                <w:sz w:val="24"/>
                <w:szCs w:val="24"/>
                <w:lang w:val="en-US" w:eastAsia="zh-CN"/>
              </w:rPr>
              <w:t>0.5</w:t>
            </w:r>
            <w:r>
              <w:rPr>
                <w:rFonts w:hint="eastAsia" w:ascii="Times New Roman" w:hAnsi="Times New Roman" w:eastAsia="宋体" w:cs="Times New Roman"/>
                <w:color w:val="auto"/>
                <w:kern w:val="0"/>
                <w:sz w:val="24"/>
                <w:szCs w:val="24"/>
                <w:lang w:val="en-US" w:eastAsia="zh-CN"/>
              </w:rPr>
              <w:t>m</w:t>
            </w:r>
            <w:r>
              <w:rPr>
                <w:rFonts w:hint="eastAsia"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/d</w:t>
            </w:r>
            <w:r>
              <w:rPr>
                <w:rFonts w:hint="eastAsia" w:ascii="宋体" w:hAnsi="宋体" w:eastAsia="宋体" w:cs="宋体"/>
                <w:color w:val="auto"/>
                <w:kern w:val="0"/>
                <w:sz w:val="24"/>
                <w:szCs w:val="24"/>
                <w:lang w:val="en-US" w:eastAsia="zh-CN"/>
              </w:rPr>
              <w:t>（</w:t>
            </w:r>
            <w:r>
              <w:rPr>
                <w:rFonts w:hint="eastAsia" w:cs="Times New Roman"/>
                <w:color w:val="auto"/>
                <w:kern w:val="0"/>
                <w:sz w:val="24"/>
                <w:szCs w:val="24"/>
                <w:lang w:val="en-US" w:eastAsia="zh-CN"/>
              </w:rPr>
              <w:t>125</w:t>
            </w:r>
            <w:r>
              <w:rPr>
                <w:rFonts w:hint="eastAsia" w:ascii="Times New Roman" w:hAnsi="Times New Roman" w:eastAsia="宋体" w:cs="Times New Roman"/>
                <w:color w:val="auto"/>
                <w:kern w:val="0"/>
                <w:sz w:val="24"/>
                <w:szCs w:val="24"/>
                <w:lang w:val="en-US" w:eastAsia="zh-CN"/>
              </w:rPr>
              <w:t>m</w:t>
            </w:r>
            <w:r>
              <w:rPr>
                <w:rFonts w:hint="eastAsia"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/a</w:t>
            </w:r>
            <w:r>
              <w:rPr>
                <w:rFonts w:hint="eastAsia" w:ascii="宋体" w:hAnsi="宋体" w:eastAsia="宋体" w:cs="宋体"/>
                <w:color w:val="auto"/>
                <w:kern w:val="0"/>
                <w:sz w:val="24"/>
                <w:szCs w:val="24"/>
                <w:lang w:val="en-US" w:eastAsia="zh-CN"/>
              </w:rPr>
              <w:t>），</w:t>
            </w:r>
            <w:r>
              <w:rPr>
                <w:rFonts w:hint="default" w:ascii="Times New Roman" w:hAnsi="Times New Roman" w:eastAsia="宋体" w:cs="Times New Roman"/>
                <w:color w:val="auto"/>
                <w:kern w:val="0"/>
                <w:sz w:val="24"/>
                <w:szCs w:val="24"/>
                <w:highlight w:val="none"/>
                <w:lang w:val="en-US" w:eastAsia="zh-CN"/>
              </w:rPr>
              <w:t>排水量按用水量的</w:t>
            </w:r>
            <w:r>
              <w:rPr>
                <w:rFonts w:hint="eastAsia" w:ascii="Times New Roman" w:hAnsi="Times New Roman" w:eastAsia="宋体" w:cs="Times New Roman"/>
                <w:color w:val="auto"/>
                <w:kern w:val="0"/>
                <w:sz w:val="24"/>
                <w:szCs w:val="24"/>
                <w:highlight w:val="none"/>
                <w:lang w:val="en-US" w:eastAsia="zh-CN"/>
              </w:rPr>
              <w:t>80</w:t>
            </w:r>
            <w:r>
              <w:rPr>
                <w:rFonts w:hint="default" w:ascii="Times New Roman" w:hAnsi="Times New Roman" w:eastAsia="宋体" w:cs="Times New Roman"/>
                <w:color w:val="auto"/>
                <w:kern w:val="0"/>
                <w:sz w:val="24"/>
                <w:szCs w:val="24"/>
                <w:highlight w:val="none"/>
                <w:lang w:val="en-US" w:eastAsia="zh-CN"/>
              </w:rPr>
              <w:t>%进行计算，则</w:t>
            </w:r>
            <w:r>
              <w:rPr>
                <w:rFonts w:hint="eastAsia" w:ascii="Times New Roman" w:hAnsi="Times New Roman" w:eastAsia="宋体" w:cs="Times New Roman"/>
                <w:color w:val="auto"/>
                <w:kern w:val="0"/>
                <w:sz w:val="24"/>
                <w:szCs w:val="24"/>
                <w:lang w:val="en-US" w:eastAsia="zh-CN"/>
              </w:rPr>
              <w:t>生活污水</w:t>
            </w:r>
            <w:r>
              <w:rPr>
                <w:rFonts w:hint="eastAsia" w:ascii="Times New Roman" w:hAnsi="Times New Roman" w:eastAsia="宋体" w:cs="Times New Roman"/>
                <w:color w:val="auto"/>
                <w:kern w:val="0"/>
                <w:sz w:val="24"/>
                <w:szCs w:val="24"/>
                <w:highlight w:val="none"/>
                <w:lang w:val="en-US" w:eastAsia="zh-CN"/>
              </w:rPr>
              <w:t>排放量</w:t>
            </w:r>
            <w:r>
              <w:rPr>
                <w:rFonts w:hint="default" w:ascii="Times New Roman" w:hAnsi="Times New Roman" w:eastAsia="宋体" w:cs="Times New Roman"/>
                <w:color w:val="auto"/>
                <w:kern w:val="0"/>
                <w:sz w:val="24"/>
                <w:szCs w:val="24"/>
                <w:highlight w:val="none"/>
                <w:lang w:val="en-US" w:eastAsia="zh-CN"/>
              </w:rPr>
              <w:t>为</w:t>
            </w:r>
            <w:r>
              <w:rPr>
                <w:rFonts w:hint="eastAsia" w:ascii="Times New Roman" w:hAnsi="Times New Roman" w:eastAsia="宋体" w:cs="Times New Roman"/>
                <w:color w:val="auto"/>
                <w:kern w:val="0"/>
                <w:sz w:val="24"/>
                <w:szCs w:val="24"/>
                <w:highlight w:val="none"/>
                <w:lang w:val="en-US" w:eastAsia="zh-CN"/>
              </w:rPr>
              <w:t>0.</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d</w:t>
            </w:r>
            <w:r>
              <w:rPr>
                <w:rFonts w:hint="eastAsia" w:ascii="宋体" w:hAnsi="宋体" w:eastAsia="宋体" w:cs="宋体"/>
                <w:color w:val="auto"/>
                <w:kern w:val="0"/>
                <w:sz w:val="24"/>
                <w:szCs w:val="24"/>
                <w:lang w:val="en-US" w:eastAsia="zh-CN"/>
              </w:rPr>
              <w:t>（</w:t>
            </w:r>
            <w:r>
              <w:rPr>
                <w:rFonts w:hint="eastAsia" w:ascii="宋体" w:hAnsi="宋体" w:cs="宋体"/>
                <w:color w:val="auto"/>
                <w:kern w:val="0"/>
                <w:sz w:val="24"/>
                <w:szCs w:val="24"/>
                <w:lang w:val="en-US" w:eastAsia="zh-CN"/>
              </w:rPr>
              <w:t>100</w:t>
            </w:r>
            <w:r>
              <w:rPr>
                <w:rFonts w:hint="eastAsia" w:ascii="Times New Roman" w:hAnsi="Times New Roman" w:eastAsia="宋体" w:cs="Times New Roman"/>
                <w:color w:val="auto"/>
                <w:kern w:val="0"/>
                <w:sz w:val="24"/>
                <w:szCs w:val="24"/>
                <w:lang w:val="en-US" w:eastAsia="zh-CN"/>
              </w:rPr>
              <w:t>m</w:t>
            </w:r>
            <w:r>
              <w:rPr>
                <w:rFonts w:hint="eastAsia"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/a</w:t>
            </w:r>
            <w:r>
              <w:rPr>
                <w:rFonts w:hint="eastAsia" w:ascii="宋体" w:hAnsi="宋体" w:eastAsia="宋体" w:cs="宋体"/>
                <w:color w:val="auto"/>
                <w:kern w:val="0"/>
                <w:sz w:val="24"/>
                <w:szCs w:val="24"/>
                <w:lang w:val="en-US" w:eastAsia="zh-CN"/>
              </w:rPr>
              <w:t>）</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生活污水排入管理区的化粪池中后由吸污车拉运至污水处理厂处置。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（2）冲洗废水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本项目冲洗用水量为</w:t>
            </w:r>
            <w:r>
              <w:rPr>
                <w:rFonts w:hint="eastAsia" w:cs="Times New Roman"/>
                <w:bCs/>
                <w:color w:val="auto"/>
                <w:sz w:val="24"/>
                <w:szCs w:val="24"/>
                <w:lang w:val="en-US" w:eastAsia="zh-CN"/>
              </w:rPr>
              <w:t>1</w:t>
            </w:r>
            <w:r>
              <w:rPr>
                <w:rFonts w:hint="eastAsia" w:ascii="Times New Roman" w:hAnsi="Times New Roman" w:cs="Times New Roman"/>
                <w:bCs/>
                <w:color w:val="auto"/>
                <w:sz w:val="24"/>
                <w:szCs w:val="24"/>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/d（</w:t>
            </w:r>
            <w:r>
              <w:rPr>
                <w:rFonts w:hint="eastAsia" w:cs="Times New Roman"/>
                <w:bCs/>
                <w:color w:val="auto"/>
                <w:sz w:val="24"/>
                <w:szCs w:val="24"/>
                <w:lang w:val="en-US" w:eastAsia="zh-CN"/>
              </w:rPr>
              <w:t>250</w:t>
            </w:r>
            <w:r>
              <w:rPr>
                <w:rFonts w:hint="eastAsia" w:ascii="Times New Roman" w:hAnsi="Times New Roman" w:cs="Times New Roman"/>
                <w:bCs/>
                <w:color w:val="auto"/>
                <w:sz w:val="24"/>
                <w:szCs w:val="24"/>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/a），</w:t>
            </w:r>
            <w:r>
              <w:rPr>
                <w:rFonts w:hint="default" w:ascii="Times New Roman" w:hAnsi="Times New Roman" w:eastAsia="宋体" w:cs="Times New Roman"/>
                <w:color w:val="auto"/>
                <w:kern w:val="0"/>
                <w:sz w:val="24"/>
                <w:szCs w:val="24"/>
                <w:highlight w:val="none"/>
                <w:lang w:val="en-US" w:eastAsia="zh-CN"/>
              </w:rPr>
              <w:t>排水量按用水量的</w:t>
            </w:r>
            <w:r>
              <w:rPr>
                <w:rFonts w:hint="eastAsia" w:cs="Times New Roman"/>
                <w:color w:val="auto"/>
                <w:kern w:val="0"/>
                <w:sz w:val="24"/>
                <w:szCs w:val="24"/>
                <w:highlight w:val="none"/>
                <w:lang w:val="en-US" w:eastAsia="zh-CN"/>
              </w:rPr>
              <w:t>8</w:t>
            </w:r>
            <w:r>
              <w:rPr>
                <w:rFonts w:hint="eastAsia" w:ascii="Times New Roman" w:hAnsi="Times New Roman" w:eastAsia="宋体" w:cs="Times New Roman"/>
                <w:color w:val="auto"/>
                <w:kern w:val="0"/>
                <w:sz w:val="24"/>
                <w:szCs w:val="24"/>
                <w:highlight w:val="none"/>
                <w:lang w:val="en-US" w:eastAsia="zh-CN"/>
              </w:rPr>
              <w:t>0</w:t>
            </w:r>
            <w:r>
              <w:rPr>
                <w:rFonts w:hint="default" w:ascii="Times New Roman" w:hAnsi="Times New Roman" w:eastAsia="宋体" w:cs="Times New Roman"/>
                <w:color w:val="auto"/>
                <w:kern w:val="0"/>
                <w:sz w:val="24"/>
                <w:szCs w:val="24"/>
                <w:highlight w:val="none"/>
                <w:lang w:val="en-US" w:eastAsia="zh-CN"/>
              </w:rPr>
              <w:t>%进行计算，</w:t>
            </w:r>
            <w:r>
              <w:rPr>
                <w:rFonts w:hint="eastAsia" w:ascii="Times New Roman" w:hAnsi="Times New Roman" w:eastAsia="宋体" w:cs="Times New Roman"/>
                <w:color w:val="auto"/>
                <w:kern w:val="0"/>
                <w:sz w:val="24"/>
                <w:szCs w:val="24"/>
                <w:highlight w:val="none"/>
                <w:lang w:val="en-US" w:eastAsia="zh-CN"/>
              </w:rPr>
              <w:t>则冲洗废水排放量为</w:t>
            </w:r>
            <w:r>
              <w:rPr>
                <w:rFonts w:hint="eastAsia" w:cs="Times New Roman"/>
                <w:bCs/>
                <w:color w:val="auto"/>
                <w:sz w:val="24"/>
                <w:szCs w:val="24"/>
                <w:lang w:val="en-US" w:eastAsia="zh-CN"/>
              </w:rPr>
              <w:t>0.8</w:t>
            </w:r>
            <w:r>
              <w:rPr>
                <w:rFonts w:hint="eastAsia" w:ascii="Times New Roman" w:hAnsi="Times New Roman" w:cs="Times New Roman"/>
                <w:bCs/>
                <w:color w:val="auto"/>
                <w:sz w:val="24"/>
                <w:szCs w:val="24"/>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/d（</w:t>
            </w:r>
            <w:r>
              <w:rPr>
                <w:rFonts w:hint="eastAsia" w:cs="Times New Roman"/>
                <w:bCs/>
                <w:color w:val="auto"/>
                <w:sz w:val="24"/>
                <w:szCs w:val="24"/>
                <w:lang w:val="en-US" w:eastAsia="zh-CN"/>
              </w:rPr>
              <w:t>200</w:t>
            </w:r>
            <w:r>
              <w:rPr>
                <w:rFonts w:hint="eastAsia" w:ascii="Times New Roman" w:hAnsi="Times New Roman" w:cs="Times New Roman"/>
                <w:bCs/>
                <w:color w:val="auto"/>
                <w:sz w:val="24"/>
                <w:szCs w:val="24"/>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/a），冲洗废水</w:t>
            </w:r>
            <w:r>
              <w:rPr>
                <w:rFonts w:hint="eastAsia" w:ascii="Times New Roman" w:hAnsi="Times New Roman" w:eastAsia="宋体" w:cs="Times New Roman"/>
                <w:color w:val="auto"/>
                <w:kern w:val="0"/>
                <w:sz w:val="24"/>
                <w:szCs w:val="24"/>
                <w:highlight w:val="none"/>
                <w:lang w:val="en-US" w:eastAsia="zh-CN"/>
              </w:rPr>
              <w:t>排入管理区的化粪池中后由吸污车拉运至污水处理厂处置。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（3）雨水渗水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ascii="宋体" w:hAnsi="宋体" w:eastAsia="宋体" w:cs="宋体"/>
                <w:sz w:val="24"/>
                <w:szCs w:val="24"/>
              </w:rPr>
              <w:t>本</w:t>
            </w:r>
            <w:r>
              <w:rPr>
                <w:rFonts w:hint="eastAsia" w:ascii="宋体" w:hAnsi="宋体" w:eastAsia="宋体" w:cs="宋体"/>
                <w:sz w:val="24"/>
                <w:szCs w:val="24"/>
                <w:lang w:eastAsia="zh-CN"/>
              </w:rPr>
              <w:t>暂存场</w:t>
            </w:r>
            <w:r>
              <w:rPr>
                <w:rFonts w:ascii="宋体" w:hAnsi="宋体" w:eastAsia="宋体" w:cs="宋体"/>
                <w:sz w:val="24"/>
                <w:szCs w:val="24"/>
              </w:rPr>
              <w:t>的</w:t>
            </w:r>
            <w:r>
              <w:rPr>
                <w:rFonts w:hint="eastAsia" w:ascii="宋体" w:hAnsi="宋体" w:eastAsia="宋体" w:cs="宋体"/>
                <w:sz w:val="24"/>
                <w:szCs w:val="24"/>
                <w:lang w:eastAsia="zh-CN"/>
              </w:rPr>
              <w:t>雨水渗水</w:t>
            </w:r>
            <w:r>
              <w:rPr>
                <w:rFonts w:ascii="宋体" w:hAnsi="宋体" w:eastAsia="宋体" w:cs="宋体"/>
                <w:sz w:val="24"/>
                <w:szCs w:val="24"/>
              </w:rPr>
              <w:t>产生量主要来自</w:t>
            </w:r>
            <w:r>
              <w:rPr>
                <w:rFonts w:hint="eastAsia" w:ascii="宋体" w:hAnsi="宋体" w:eastAsia="宋体" w:cs="宋体"/>
                <w:sz w:val="24"/>
                <w:szCs w:val="24"/>
                <w:lang w:eastAsia="zh-CN"/>
              </w:rPr>
              <w:t>堆料区</w:t>
            </w:r>
            <w:r>
              <w:rPr>
                <w:rFonts w:ascii="宋体" w:hAnsi="宋体" w:eastAsia="宋体" w:cs="宋体"/>
                <w:sz w:val="24"/>
                <w:szCs w:val="24"/>
              </w:rPr>
              <w:t>集雨面积范围内下渗入垃圾堆体的降雨量。本项目</w:t>
            </w:r>
            <w:r>
              <w:rPr>
                <w:rFonts w:hint="eastAsia" w:ascii="宋体" w:hAnsi="宋体" w:eastAsia="宋体" w:cs="宋体"/>
                <w:sz w:val="24"/>
                <w:szCs w:val="24"/>
                <w:lang w:eastAsia="zh-CN"/>
              </w:rPr>
              <w:t>雨水渗水</w:t>
            </w:r>
            <w:r>
              <w:rPr>
                <w:rFonts w:ascii="宋体" w:hAnsi="宋体" w:eastAsia="宋体" w:cs="宋体"/>
                <w:sz w:val="24"/>
                <w:szCs w:val="24"/>
              </w:rPr>
              <w:t>产生量计算公式如下：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cs="Times New Roman"/>
                <w:bCs/>
                <w:sz w:val="24"/>
                <w:szCs w:val="24"/>
                <w:lang w:val="en-US" w:eastAsia="zh-CN"/>
              </w:rPr>
            </w:pPr>
            <w:r>
              <w:rPr>
                <w:rFonts w:hint="eastAsia" w:ascii="Times New Roman" w:hAnsi="Times New Roman" w:eastAsia="宋体" w:cs="Times New Roman"/>
                <w:color w:val="auto"/>
                <w:sz w:val="24"/>
                <w:lang w:eastAsia="zh-CN"/>
              </w:rPr>
              <w:t>Q= (C</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I</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A)/</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000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式中：Q——雨水渗水产生量（m</w:t>
            </w:r>
            <w:r>
              <w:rPr>
                <w:rFonts w:hint="eastAsia" w:ascii="Times New Roman" w:hAnsi="Times New Roman" w:cs="Times New Roman"/>
                <w:bCs/>
                <w:sz w:val="24"/>
                <w:szCs w:val="24"/>
                <w:vertAlign w:val="superscript"/>
                <w:lang w:val="en-US" w:eastAsia="zh-CN"/>
              </w:rPr>
              <w:t>3</w:t>
            </w:r>
            <w:r>
              <w:rPr>
                <w:rFonts w:hint="eastAsia" w:ascii="Times New Roman" w:hAnsi="Times New Roman" w:cs="Times New Roman"/>
                <w:bCs/>
                <w:sz w:val="24"/>
                <w:szCs w:val="24"/>
                <w:lang w:val="en-US" w:eastAsia="zh-CN"/>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I——多年平均日降雨量（mm/d）；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sz w:val="24"/>
                <w:szCs w:val="24"/>
                <w:lang w:val="en-US" w:eastAsia="zh-CN"/>
              </w:rPr>
              <w:t>A——作业单元汇水面积（m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lang w:val="en-US" w:eastAsia="zh-CN"/>
              </w:rPr>
              <w:t>）</w:t>
            </w:r>
            <w:r>
              <w:rPr>
                <w:rFonts w:hint="eastAsia" w:cs="Times New Roman"/>
                <w:bCs/>
                <w:sz w:val="24"/>
                <w:szCs w:val="24"/>
                <w:lang w:val="en-US" w:eastAsia="zh-CN"/>
              </w:rPr>
              <w:t>，</w:t>
            </w:r>
            <w:r>
              <w:rPr>
                <w:rFonts w:hint="eastAsia" w:cs="Times New Roman"/>
                <w:bCs/>
                <w:color w:val="auto"/>
                <w:sz w:val="24"/>
                <w:szCs w:val="24"/>
                <w:lang w:val="en-US" w:eastAsia="zh-CN"/>
              </w:rPr>
              <w:t>取1000m</w:t>
            </w:r>
            <w:r>
              <w:rPr>
                <w:rFonts w:hint="eastAsia" w:cs="Times New Roman"/>
                <w:bCs/>
                <w:color w:val="auto"/>
                <w:sz w:val="24"/>
                <w:szCs w:val="24"/>
                <w:vertAlign w:val="superscript"/>
                <w:lang w:val="en-US" w:eastAsia="zh-CN"/>
              </w:rPr>
              <w:t>2</w:t>
            </w:r>
            <w:r>
              <w:rPr>
                <w:rFonts w:hint="eastAsia" w:ascii="Times New Roman" w:hAnsi="Times New Roman" w:cs="Times New Roman"/>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C——雨水下渗系数，因土质、地形垃圾种类、填埋方式而异，C=0.2；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暴雨日降雨量为60mm，</w:t>
            </w:r>
            <w:r>
              <w:rPr>
                <w:rFonts w:hint="eastAsia" w:ascii="Times New Roman" w:hAnsi="Times New Roman" w:cs="Times New Roman"/>
                <w:bCs/>
                <w:color w:val="auto"/>
                <w:sz w:val="24"/>
                <w:szCs w:val="24"/>
                <w:vertAlign w:val="baseline"/>
                <w:lang w:val="en-US" w:eastAsia="zh-CN"/>
              </w:rPr>
              <w:t>经计算，本项目雨水渗水产生量为</w:t>
            </w:r>
            <w:r>
              <w:rPr>
                <w:rFonts w:hint="eastAsia" w:cs="Times New Roman"/>
                <w:bCs/>
                <w:color w:val="auto"/>
                <w:sz w:val="24"/>
                <w:szCs w:val="24"/>
                <w:highlight w:val="none"/>
                <w:vertAlign w:val="baseline"/>
                <w:lang w:val="en-US" w:eastAsia="zh-CN"/>
              </w:rPr>
              <w:t>12</w:t>
            </w:r>
            <w:r>
              <w:rPr>
                <w:rFonts w:hint="eastAsia" w:ascii="Times New Roman" w:hAnsi="Times New Roman" w:cs="Times New Roman"/>
                <w:bCs/>
                <w:color w:val="auto"/>
                <w:sz w:val="24"/>
                <w:szCs w:val="24"/>
                <w:vertAlign w:val="baseline"/>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vertAlign w:val="baseline"/>
                <w:lang w:val="en-US" w:eastAsia="zh-CN"/>
              </w:rPr>
              <w:t>/d。雨水渗水经收集</w:t>
            </w:r>
            <w:r>
              <w:rPr>
                <w:rFonts w:hint="eastAsia" w:cs="Times New Roman"/>
                <w:bCs/>
                <w:color w:val="auto"/>
                <w:sz w:val="24"/>
                <w:szCs w:val="24"/>
                <w:vertAlign w:val="baseline"/>
                <w:lang w:val="en-US" w:eastAsia="zh-CN"/>
              </w:rPr>
              <w:t>排入沉淀池沉淀后，排入雨水渗水暂存池，与化粪池污</w:t>
            </w:r>
            <w:r>
              <w:rPr>
                <w:rFonts w:hint="eastAsia" w:cs="Times New Roman"/>
                <w:bCs/>
                <w:sz w:val="24"/>
                <w:szCs w:val="24"/>
                <w:vertAlign w:val="baseline"/>
                <w:lang w:val="en-US" w:eastAsia="zh-CN"/>
              </w:rPr>
              <w:t>水一起由</w:t>
            </w:r>
            <w:r>
              <w:rPr>
                <w:rFonts w:hint="eastAsia" w:ascii="Times New Roman" w:hAnsi="Times New Roman" w:cs="Times New Roman"/>
                <w:bCs/>
                <w:sz w:val="24"/>
                <w:szCs w:val="24"/>
                <w:highlight w:val="none"/>
                <w:vertAlign w:val="baseline"/>
                <w:lang w:val="en-US" w:eastAsia="zh-CN"/>
              </w:rPr>
              <w:t>吸污车拉运至</w:t>
            </w:r>
            <w:r>
              <w:rPr>
                <w:rFonts w:hint="eastAsia" w:cs="Times New Roman"/>
                <w:bCs/>
                <w:sz w:val="24"/>
                <w:szCs w:val="24"/>
                <w:highlight w:val="none"/>
                <w:vertAlign w:val="baseline"/>
                <w:lang w:val="en-US" w:eastAsia="zh-CN"/>
              </w:rPr>
              <w:t>七台河市第二</w:t>
            </w:r>
            <w:r>
              <w:rPr>
                <w:rFonts w:hint="eastAsia" w:ascii="Times New Roman" w:hAnsi="Times New Roman" w:cs="Times New Roman"/>
                <w:bCs/>
                <w:sz w:val="24"/>
                <w:szCs w:val="24"/>
                <w:highlight w:val="none"/>
                <w:vertAlign w:val="baseline"/>
                <w:lang w:val="en-US" w:eastAsia="zh-CN"/>
              </w:rPr>
              <w:t>污水处理厂处理</w:t>
            </w:r>
            <w:r>
              <w:rPr>
                <w:rFonts w:hint="eastAsia" w:cs="Times New Roman"/>
                <w:bCs/>
                <w:sz w:val="24"/>
                <w:szCs w:val="24"/>
                <w:vertAlign w:val="baseline"/>
                <w:lang w:val="en-US" w:eastAsia="zh-CN"/>
              </w:rPr>
              <w:t>。</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olor w:val="auto"/>
                <w:sz w:val="24"/>
                <w:szCs w:val="24"/>
                <w:lang w:val="en-US" w:eastAsia="zh-CN"/>
              </w:rPr>
            </w:pPr>
            <w:r>
              <w:rPr>
                <w:rFonts w:hint="eastAsia" w:ascii="Times New Roman" w:hAnsi="Times New Roman" w:cs="Times New Roman"/>
                <w:color w:val="auto"/>
                <w:sz w:val="24"/>
                <w:szCs w:val="24"/>
                <w:lang w:eastAsia="zh-CN"/>
              </w:rPr>
              <w:t>雨水渗水</w:t>
            </w:r>
            <w:r>
              <w:rPr>
                <w:rFonts w:hint="default" w:ascii="Times New Roman" w:hAnsi="Times New Roman" w:cs="Times New Roman"/>
                <w:color w:val="auto"/>
                <w:sz w:val="24"/>
                <w:szCs w:val="24"/>
                <w:lang w:eastAsia="zh-CN"/>
              </w:rPr>
              <w:t>主要污染物为</w:t>
            </w:r>
            <w:r>
              <w:rPr>
                <w:rFonts w:hint="default" w:ascii="Times New Roman" w:hAnsi="Times New Roman" w:cs="Times New Roman"/>
                <w:color w:val="auto"/>
                <w:sz w:val="24"/>
                <w:szCs w:val="24"/>
                <w:lang w:val="en-US" w:eastAsia="zh-CN"/>
              </w:rPr>
              <w:t>CODcr、NH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-N、SS，其浓度约为：CODcr</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120</w:t>
            </w:r>
            <w:r>
              <w:rPr>
                <w:rFonts w:hint="default" w:ascii="Times New Roman" w:hAnsi="Times New Roman" w:cs="Times New Roman"/>
                <w:color w:val="auto"/>
                <w:sz w:val="24"/>
                <w:szCs w:val="24"/>
                <w:lang w:val="en-US" w:eastAsia="zh-CN"/>
              </w:rPr>
              <w:t>mg/L、NH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lang w:val="en-US" w:eastAsia="zh-CN"/>
              </w:rPr>
              <w:t>mg/L、SS</w:t>
            </w:r>
            <w:r>
              <w:rPr>
                <w:rFonts w:hint="eastAsia" w:cs="Times New Roman"/>
                <w:color w:val="auto"/>
                <w:sz w:val="24"/>
                <w:szCs w:val="24"/>
                <w:lang w:val="en-US" w:eastAsia="zh-CN"/>
              </w:rPr>
              <w:t>-600</w:t>
            </w:r>
            <w:r>
              <w:rPr>
                <w:rFonts w:hint="default" w:ascii="Times New Roman" w:hAnsi="Times New Roman" w:cs="Times New Roman"/>
                <w:color w:val="auto"/>
                <w:sz w:val="24"/>
                <w:szCs w:val="24"/>
                <w:lang w:val="en-US" w:eastAsia="zh-CN"/>
              </w:rPr>
              <w:t>mg/L。</w:t>
            </w:r>
            <w:r>
              <w:rPr>
                <w:rFonts w:hint="eastAsia" w:cs="Times New Roman"/>
                <w:color w:val="auto"/>
                <w:sz w:val="24"/>
                <w:szCs w:val="24"/>
                <w:lang w:val="en-US" w:eastAsia="zh-CN"/>
              </w:rPr>
              <w:t>年暴雨天数取3天。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sz w:val="24"/>
                <w:szCs w:val="24"/>
                <w:lang w:val="en-US" w:eastAsia="zh-CN"/>
              </w:rPr>
              <w:t>本项目各类废水排放情况见下表。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表4-5 各类废水排放一览表</w:t>
            </w:r>
          </w:p>
          <w:tbl>
            <w:tblPr>
              <w:tblStyle w:val="2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818"/>
              <w:gridCol w:w="1276"/>
              <w:gridCol w:w="1266"/>
              <w:gridCol w:w="698"/>
              <w:gridCol w:w="1280"/>
              <w:gridCol w:w="836"/>
              <w:gridCol w:w="7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9"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废水类别及废水量</w:t>
                  </w:r>
                </w:p>
              </w:tc>
              <w:tc>
                <w:tcPr>
                  <w:tcW w:w="818"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污染物</w:t>
                  </w:r>
                </w:p>
              </w:tc>
              <w:tc>
                <w:tcPr>
                  <w:tcW w:w="1276"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产生浓度及产生量</w:t>
                  </w:r>
                </w:p>
              </w:tc>
              <w:tc>
                <w:tcPr>
                  <w:tcW w:w="1266"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治理措施及排放去向</w:t>
                  </w:r>
                </w:p>
              </w:tc>
              <w:tc>
                <w:tcPr>
                  <w:tcW w:w="698"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排放方式</w:t>
                  </w:r>
                </w:p>
              </w:tc>
              <w:tc>
                <w:tcPr>
                  <w:tcW w:w="1280"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排放浓度及排放量</w:t>
                  </w:r>
                </w:p>
              </w:tc>
              <w:tc>
                <w:tcPr>
                  <w:tcW w:w="836"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执行标准限值(mg/L)</w:t>
                  </w:r>
                </w:p>
              </w:tc>
              <w:tc>
                <w:tcPr>
                  <w:tcW w:w="713"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9" w:type="dxa"/>
                  <w:vMerge w:val="restart"/>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化粪池污水（300m</w:t>
                  </w:r>
                  <w:r>
                    <w:rPr>
                      <w:rFonts w:hint="eastAsia"/>
                      <w:color w:val="auto"/>
                      <w:vertAlign w:val="superscript"/>
                      <w:lang w:val="en-US" w:eastAsia="zh-CN"/>
                    </w:rPr>
                    <w:t>3</w:t>
                  </w:r>
                  <w:r>
                    <w:rPr>
                      <w:rFonts w:hint="eastAsia"/>
                      <w:color w:val="auto"/>
                      <w:lang w:val="en-US" w:eastAsia="zh-CN"/>
                    </w:rPr>
                    <w:t>/a)</w:t>
                  </w:r>
                </w:p>
              </w:tc>
              <w:tc>
                <w:tcPr>
                  <w:tcW w:w="818"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kern w:val="2"/>
                      <w:sz w:val="21"/>
                      <w:szCs w:val="21"/>
                      <w:vertAlign w:val="baseline"/>
                      <w:lang w:val="en-US" w:eastAsia="zh-CN" w:bidi="ar-SA"/>
                    </w:rPr>
                  </w:pPr>
                  <w:r>
                    <w:rPr>
                      <w:rFonts w:hint="eastAsia"/>
                      <w:color w:val="auto"/>
                      <w:sz w:val="21"/>
                      <w:szCs w:val="21"/>
                      <w:vertAlign w:val="baseline"/>
                      <w:lang w:val="en-US" w:eastAsia="zh-CN"/>
                    </w:rPr>
                    <w:t>COD</w:t>
                  </w:r>
                </w:p>
              </w:tc>
              <w:tc>
                <w:tcPr>
                  <w:tcW w:w="1276"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lang w:val="en-US" w:eastAsia="zh-CN"/>
                    </w:rPr>
                    <w:t>350mg/L;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0.105t/a</w:t>
                  </w:r>
                </w:p>
              </w:tc>
              <w:tc>
                <w:tcPr>
                  <w:tcW w:w="1266" w:type="dxa"/>
                  <w:vMerge w:val="restar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排入管理区的化粪池中后</w:t>
                  </w:r>
                  <w:r>
                    <w:rPr>
                      <w:rFonts w:hint="eastAsia"/>
                      <w:b w:val="0"/>
                      <w:bCs w:val="0"/>
                      <w:color w:val="auto"/>
                      <w:sz w:val="21"/>
                      <w:szCs w:val="21"/>
                      <w:vertAlign w:val="baseline"/>
                      <w:lang w:val="en-US" w:eastAsia="zh-CN"/>
                    </w:rPr>
                    <w:t>，定期</w:t>
                  </w:r>
                  <w:r>
                    <w:rPr>
                      <w:rFonts w:hint="default"/>
                      <w:b w:val="0"/>
                      <w:bCs w:val="0"/>
                      <w:color w:val="auto"/>
                      <w:sz w:val="21"/>
                      <w:szCs w:val="21"/>
                      <w:vertAlign w:val="baseline"/>
                      <w:lang w:val="en-US" w:eastAsia="zh-CN"/>
                    </w:rPr>
                    <w:t>由吸污车拉运至</w:t>
                  </w:r>
                  <w:r>
                    <w:rPr>
                      <w:rFonts w:hint="eastAsia"/>
                      <w:b w:val="0"/>
                      <w:bCs w:val="0"/>
                      <w:color w:val="auto"/>
                      <w:sz w:val="21"/>
                      <w:szCs w:val="21"/>
                      <w:vertAlign w:val="baseline"/>
                      <w:lang w:val="en-US" w:eastAsia="zh-CN"/>
                    </w:rPr>
                    <w:t>七台河市第二污水处理厂</w:t>
                  </w:r>
                  <w:r>
                    <w:rPr>
                      <w:rFonts w:hint="default"/>
                      <w:b w:val="0"/>
                      <w:bCs w:val="0"/>
                      <w:color w:val="auto"/>
                      <w:sz w:val="21"/>
                      <w:szCs w:val="21"/>
                      <w:vertAlign w:val="baseline"/>
                      <w:lang w:val="en-US" w:eastAsia="zh-CN"/>
                    </w:rPr>
                    <w:t>处置。</w:t>
                  </w:r>
                </w:p>
              </w:tc>
              <w:tc>
                <w:tcPr>
                  <w:tcW w:w="698" w:type="dxa"/>
                  <w:vMerge w:val="restar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2"/>
                      <w:sz w:val="21"/>
                      <w:szCs w:val="24"/>
                      <w:lang w:val="en-US" w:eastAsia="zh-CN" w:bidi="ar-SA"/>
                    </w:rPr>
                  </w:pPr>
                  <w:r>
                    <w:rPr>
                      <w:rFonts w:hint="eastAsia"/>
                      <w:color w:val="auto"/>
                      <w:kern w:val="2"/>
                      <w:sz w:val="21"/>
                      <w:szCs w:val="24"/>
                      <w:lang w:val="en-US" w:eastAsia="zh-CN" w:bidi="ar-SA"/>
                    </w:rPr>
                    <w:t>不外排</w:t>
                  </w:r>
                </w:p>
              </w:tc>
              <w:tc>
                <w:tcPr>
                  <w:tcW w:w="1280"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lang w:val="en-US" w:eastAsia="zh-CN"/>
                    </w:rPr>
                    <w:t>350mg/L;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kern w:val="2"/>
                      <w:sz w:val="21"/>
                      <w:szCs w:val="24"/>
                      <w:lang w:val="en-US" w:eastAsia="zh-CN" w:bidi="ar-SA"/>
                    </w:rPr>
                  </w:pPr>
                  <w:r>
                    <w:rPr>
                      <w:rFonts w:hint="eastAsia"/>
                      <w:color w:val="auto"/>
                      <w:lang w:val="en-US" w:eastAsia="zh-CN"/>
                    </w:rPr>
                    <w:t>0.105t/a</w:t>
                  </w:r>
                </w:p>
              </w:tc>
              <w:tc>
                <w:tcPr>
                  <w:tcW w:w="836"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500</w:t>
                  </w:r>
                </w:p>
              </w:tc>
              <w:tc>
                <w:tcPr>
                  <w:tcW w:w="713"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p>
              </w:tc>
              <w:tc>
                <w:tcPr>
                  <w:tcW w:w="81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kern w:val="2"/>
                      <w:sz w:val="21"/>
                      <w:szCs w:val="21"/>
                      <w:vertAlign w:val="baseline"/>
                      <w:lang w:val="en-US" w:eastAsia="zh-CN" w:bidi="ar-SA"/>
                    </w:rPr>
                  </w:pPr>
                  <w:r>
                    <w:rPr>
                      <w:rFonts w:hint="eastAsia"/>
                      <w:color w:val="auto"/>
                      <w:sz w:val="21"/>
                      <w:szCs w:val="21"/>
                      <w:vertAlign w:val="baseline"/>
                      <w:lang w:val="en-US" w:eastAsia="zh-CN"/>
                    </w:rPr>
                    <w:t>BOD</w:t>
                  </w:r>
                  <w:r>
                    <w:rPr>
                      <w:rFonts w:hint="eastAsia"/>
                      <w:color w:val="auto"/>
                      <w:sz w:val="21"/>
                      <w:szCs w:val="21"/>
                      <w:vertAlign w:val="subscript"/>
                      <w:lang w:val="en-US" w:eastAsia="zh-CN"/>
                    </w:rPr>
                    <w:t>5</w:t>
                  </w:r>
                </w:p>
              </w:tc>
              <w:tc>
                <w:tcPr>
                  <w:tcW w:w="127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lang w:val="en-US" w:eastAsia="zh-CN"/>
                    </w:rPr>
                    <w:t>250mg/L;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color w:val="auto"/>
                      <w:lang w:val="en-US" w:eastAsia="zh-CN"/>
                    </w:rPr>
                    <w:t>0.075t/a</w:t>
                  </w:r>
                </w:p>
              </w:tc>
              <w:tc>
                <w:tcPr>
                  <w:tcW w:w="12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p>
              </w:tc>
              <w:tc>
                <w:tcPr>
                  <w:tcW w:w="69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kern w:val="2"/>
                      <w:sz w:val="21"/>
                      <w:szCs w:val="21"/>
                      <w:vertAlign w:val="baseline"/>
                      <w:lang w:val="en-US" w:eastAsia="zh-CN" w:bidi="ar-SA"/>
                    </w:rPr>
                  </w:pPr>
                </w:p>
              </w:tc>
              <w:tc>
                <w:tcPr>
                  <w:tcW w:w="128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250mg/L;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kern w:val="2"/>
                      <w:sz w:val="21"/>
                      <w:szCs w:val="21"/>
                      <w:vertAlign w:val="baseline"/>
                      <w:lang w:val="en-US" w:eastAsia="zh-CN" w:bidi="ar-SA"/>
                    </w:rPr>
                  </w:pPr>
                  <w:r>
                    <w:rPr>
                      <w:rFonts w:hint="eastAsia"/>
                      <w:color w:val="auto"/>
                      <w:lang w:val="en-US" w:eastAsia="zh-CN"/>
                    </w:rPr>
                    <w:t>0.075t/a</w:t>
                  </w:r>
                </w:p>
              </w:tc>
              <w:tc>
                <w:tcPr>
                  <w:tcW w:w="8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300</w:t>
                  </w:r>
                </w:p>
              </w:tc>
              <w:tc>
                <w:tcPr>
                  <w:tcW w:w="713"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p>
              </w:tc>
              <w:tc>
                <w:tcPr>
                  <w:tcW w:w="81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kern w:val="2"/>
                      <w:sz w:val="21"/>
                      <w:szCs w:val="21"/>
                      <w:vertAlign w:val="baseline"/>
                      <w:lang w:val="en-US" w:eastAsia="zh-CN" w:bidi="ar-SA"/>
                    </w:rPr>
                  </w:pPr>
                  <w:r>
                    <w:rPr>
                      <w:rFonts w:hint="eastAsia"/>
                      <w:color w:val="auto"/>
                      <w:sz w:val="21"/>
                      <w:szCs w:val="21"/>
                      <w:vertAlign w:val="baseline"/>
                      <w:lang w:val="en-US" w:eastAsia="zh-CN"/>
                    </w:rPr>
                    <w:t>SS</w:t>
                  </w:r>
                </w:p>
              </w:tc>
              <w:tc>
                <w:tcPr>
                  <w:tcW w:w="127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lang w:val="en-US" w:eastAsia="zh-CN"/>
                    </w:rPr>
                    <w:t>200mg/L;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color w:val="auto"/>
                      <w:lang w:val="en-US" w:eastAsia="zh-CN"/>
                    </w:rPr>
                    <w:t>0.06t/a</w:t>
                  </w:r>
                </w:p>
              </w:tc>
              <w:tc>
                <w:tcPr>
                  <w:tcW w:w="12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p>
              </w:tc>
              <w:tc>
                <w:tcPr>
                  <w:tcW w:w="69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kern w:val="2"/>
                      <w:sz w:val="21"/>
                      <w:szCs w:val="21"/>
                      <w:vertAlign w:val="baseline"/>
                      <w:lang w:val="en-US" w:eastAsia="zh-CN" w:bidi="ar-SA"/>
                    </w:rPr>
                  </w:pPr>
                </w:p>
              </w:tc>
              <w:tc>
                <w:tcPr>
                  <w:tcW w:w="128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lang w:val="en-US" w:eastAsia="zh-CN"/>
                    </w:rPr>
                    <w:t>200mg/L;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kern w:val="2"/>
                      <w:sz w:val="21"/>
                      <w:szCs w:val="21"/>
                      <w:vertAlign w:val="baseline"/>
                      <w:lang w:val="en-US" w:eastAsia="zh-CN" w:bidi="ar-SA"/>
                    </w:rPr>
                  </w:pPr>
                  <w:r>
                    <w:rPr>
                      <w:rFonts w:hint="eastAsia"/>
                      <w:color w:val="auto"/>
                      <w:lang w:val="en-US" w:eastAsia="zh-CN"/>
                    </w:rPr>
                    <w:t>0.06t/a</w:t>
                  </w:r>
                </w:p>
              </w:tc>
              <w:tc>
                <w:tcPr>
                  <w:tcW w:w="8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400</w:t>
                  </w:r>
                </w:p>
              </w:tc>
              <w:tc>
                <w:tcPr>
                  <w:tcW w:w="713"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0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p>
              </w:tc>
              <w:tc>
                <w:tcPr>
                  <w:tcW w:w="81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kern w:val="2"/>
                      <w:sz w:val="21"/>
                      <w:szCs w:val="21"/>
                      <w:vertAlign w:val="baseline"/>
                      <w:lang w:val="en-US" w:eastAsia="zh-CN" w:bidi="ar-SA"/>
                    </w:rPr>
                  </w:pPr>
                  <w:r>
                    <w:rPr>
                      <w:rFonts w:hint="eastAsia"/>
                      <w:color w:val="auto"/>
                      <w:sz w:val="21"/>
                      <w:szCs w:val="21"/>
                      <w:vertAlign w:val="baseline"/>
                      <w:lang w:val="en-US" w:eastAsia="zh-CN"/>
                    </w:rPr>
                    <w:t>NH</w:t>
                  </w:r>
                  <w:r>
                    <w:rPr>
                      <w:rFonts w:hint="eastAsia"/>
                      <w:color w:val="auto"/>
                      <w:sz w:val="21"/>
                      <w:szCs w:val="21"/>
                      <w:vertAlign w:val="subscript"/>
                      <w:lang w:val="en-US" w:eastAsia="zh-CN"/>
                    </w:rPr>
                    <w:t>3</w:t>
                  </w:r>
                  <w:r>
                    <w:rPr>
                      <w:rFonts w:hint="eastAsia"/>
                      <w:color w:val="auto"/>
                      <w:sz w:val="21"/>
                      <w:szCs w:val="21"/>
                      <w:vertAlign w:val="baseline"/>
                      <w:lang w:val="en-US" w:eastAsia="zh-CN"/>
                    </w:rPr>
                    <w:t>-N</w:t>
                  </w:r>
                </w:p>
              </w:tc>
              <w:tc>
                <w:tcPr>
                  <w:tcW w:w="127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lang w:val="en-US" w:eastAsia="zh-CN"/>
                    </w:rPr>
                    <w:t>35mg/L;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color w:val="auto"/>
                      <w:lang w:val="en-US" w:eastAsia="zh-CN"/>
                    </w:rPr>
                    <w:t>0.0105t/a</w:t>
                  </w:r>
                </w:p>
              </w:tc>
              <w:tc>
                <w:tcPr>
                  <w:tcW w:w="12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p>
              </w:tc>
              <w:tc>
                <w:tcPr>
                  <w:tcW w:w="69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kern w:val="2"/>
                      <w:sz w:val="21"/>
                      <w:szCs w:val="21"/>
                      <w:vertAlign w:val="baseline"/>
                      <w:lang w:val="en-US" w:eastAsia="zh-CN" w:bidi="ar-SA"/>
                    </w:rPr>
                  </w:pPr>
                </w:p>
              </w:tc>
              <w:tc>
                <w:tcPr>
                  <w:tcW w:w="128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lang w:val="en-US" w:eastAsia="zh-CN"/>
                    </w:rPr>
                  </w:pPr>
                  <w:r>
                    <w:rPr>
                      <w:rFonts w:hint="eastAsia"/>
                      <w:color w:val="auto"/>
                      <w:highlight w:val="none"/>
                      <w:lang w:val="en-US" w:eastAsia="zh-CN"/>
                    </w:rPr>
                    <w:t>35mg/L;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kern w:val="2"/>
                      <w:sz w:val="21"/>
                      <w:szCs w:val="21"/>
                      <w:vertAlign w:val="baseline"/>
                      <w:lang w:val="en-US" w:eastAsia="zh-CN" w:bidi="ar-SA"/>
                    </w:rPr>
                  </w:pPr>
                  <w:r>
                    <w:rPr>
                      <w:rFonts w:hint="eastAsia"/>
                      <w:color w:val="auto"/>
                      <w:highlight w:val="none"/>
                      <w:lang w:val="en-US" w:eastAsia="zh-CN"/>
                    </w:rPr>
                    <w:t>0.0105t/a</w:t>
                  </w:r>
                </w:p>
              </w:tc>
              <w:tc>
                <w:tcPr>
                  <w:tcW w:w="8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713"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9" w:type="dxa"/>
                  <w:vMerge w:val="restart"/>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default" w:ascii="Times New Roman" w:hAnsi="Times New Roman" w:eastAsia="宋体" w:cs="Times New Roman"/>
                      <w:color w:val="auto"/>
                      <w:lang w:val="en-US" w:eastAsia="zh-CN"/>
                    </w:rPr>
                    <w:t>垃圾</w:t>
                  </w:r>
                  <w:r>
                    <w:rPr>
                      <w:rFonts w:hint="eastAsia" w:ascii="Times New Roman" w:hAnsi="Times New Roman" w:eastAsia="宋体" w:cs="Times New Roman"/>
                      <w:color w:val="auto"/>
                      <w:lang w:val="en-US" w:eastAsia="zh-CN"/>
                    </w:rPr>
                    <w:t>雨水渗水</w:t>
                  </w:r>
                  <w:r>
                    <w:rPr>
                      <w:rFonts w:hint="default" w:ascii="Times New Roman" w:hAnsi="Times New Roman" w:eastAsia="宋体" w:cs="Times New Roman"/>
                      <w:color w:val="auto"/>
                      <w:lang w:val="en-US" w:eastAsia="zh-CN"/>
                    </w:rPr>
                    <w:t>(</w:t>
                  </w:r>
                  <w:r>
                    <w:rPr>
                      <w:rFonts w:hint="eastAsia" w:cs="Times New Roman"/>
                      <w:color w:val="auto"/>
                      <w:highlight w:val="none"/>
                      <w:lang w:val="en-US" w:eastAsia="zh-CN"/>
                    </w:rPr>
                    <w:t>36</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a</w:t>
                  </w:r>
                  <w:r>
                    <w:rPr>
                      <w:rFonts w:hint="default" w:ascii="Times New Roman" w:hAnsi="Times New Roman" w:eastAsia="宋体" w:cs="Times New Roman"/>
                      <w:b w:val="0"/>
                      <w:bCs w:val="0"/>
                      <w:color w:val="auto"/>
                      <w:sz w:val="21"/>
                      <w:szCs w:val="21"/>
                      <w:vertAlign w:val="baseline"/>
                      <w:lang w:val="en-US" w:eastAsia="zh-CN"/>
                    </w:rPr>
                    <w:t>)</w:t>
                  </w:r>
                </w:p>
              </w:tc>
              <w:tc>
                <w:tcPr>
                  <w:tcW w:w="81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kern w:val="2"/>
                      <w:sz w:val="21"/>
                      <w:szCs w:val="21"/>
                      <w:vertAlign w:val="baseline"/>
                      <w:lang w:val="en-US" w:eastAsia="zh-CN" w:bidi="ar-SA"/>
                    </w:rPr>
                  </w:pPr>
                  <w:r>
                    <w:rPr>
                      <w:rFonts w:hint="eastAsia"/>
                      <w:color w:val="auto"/>
                      <w:sz w:val="21"/>
                      <w:szCs w:val="21"/>
                      <w:vertAlign w:val="baseline"/>
                      <w:lang w:val="en-US" w:eastAsia="zh-CN"/>
                    </w:rPr>
                    <w:t>COD</w:t>
                  </w:r>
                </w:p>
              </w:tc>
              <w:tc>
                <w:tcPr>
                  <w:tcW w:w="127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lang w:val="en-US" w:eastAsia="zh-CN"/>
                    </w:rPr>
                    <w:t>120mg/L;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2"/>
                      <w:sz w:val="21"/>
                      <w:szCs w:val="24"/>
                      <w:lang w:val="en-US" w:eastAsia="zh-CN" w:bidi="ar-SA"/>
                    </w:rPr>
                  </w:pPr>
                  <w:r>
                    <w:rPr>
                      <w:rFonts w:hint="eastAsia"/>
                      <w:color w:val="auto"/>
                      <w:lang w:val="en-US" w:eastAsia="zh-CN"/>
                    </w:rPr>
                    <w:t>4.32×10</w:t>
                  </w:r>
                  <w:r>
                    <w:rPr>
                      <w:rFonts w:hint="eastAsia"/>
                      <w:color w:val="auto"/>
                      <w:vertAlign w:val="superscript"/>
                      <w:lang w:val="en-US" w:eastAsia="zh-CN"/>
                    </w:rPr>
                    <w:t>-3</w:t>
                  </w:r>
                  <w:r>
                    <w:rPr>
                      <w:rFonts w:hint="eastAsia"/>
                      <w:color w:val="auto"/>
                      <w:lang w:val="en-US" w:eastAsia="zh-CN"/>
                    </w:rPr>
                    <w:t>t/a</w:t>
                  </w:r>
                </w:p>
              </w:tc>
              <w:tc>
                <w:tcPr>
                  <w:tcW w:w="1266"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ascii="Times New Roman" w:hAnsi="Times New Roman" w:cs="Times New Roman"/>
                      <w:bCs/>
                      <w:sz w:val="21"/>
                      <w:szCs w:val="24"/>
                      <w:vertAlign w:val="baseline"/>
                      <w:lang w:val="en-US" w:eastAsia="zh-CN"/>
                    </w:rPr>
                    <w:t>雨水渗水经收集</w:t>
                  </w:r>
                  <w:r>
                    <w:rPr>
                      <w:rFonts w:hint="eastAsia" w:cs="Times New Roman"/>
                      <w:bCs/>
                      <w:sz w:val="21"/>
                      <w:szCs w:val="24"/>
                      <w:vertAlign w:val="baseline"/>
                      <w:lang w:val="en-US" w:eastAsia="zh-CN"/>
                    </w:rPr>
                    <w:t>排入沉淀池沉淀后，排入雨水渗水暂存池，与化粪池污水一起由</w:t>
                  </w:r>
                  <w:r>
                    <w:rPr>
                      <w:rFonts w:hint="eastAsia" w:ascii="Times New Roman" w:hAnsi="Times New Roman" w:cs="Times New Roman"/>
                      <w:bCs/>
                      <w:sz w:val="21"/>
                      <w:szCs w:val="24"/>
                      <w:highlight w:val="none"/>
                      <w:vertAlign w:val="baseline"/>
                      <w:lang w:val="en-US" w:eastAsia="zh-CN"/>
                    </w:rPr>
                    <w:t>吸污车拉运至</w:t>
                  </w:r>
                  <w:r>
                    <w:rPr>
                      <w:rFonts w:hint="eastAsia" w:cs="Times New Roman"/>
                      <w:bCs/>
                      <w:sz w:val="21"/>
                      <w:szCs w:val="24"/>
                      <w:highlight w:val="none"/>
                      <w:vertAlign w:val="baseline"/>
                      <w:lang w:val="en-US" w:eastAsia="zh-CN"/>
                    </w:rPr>
                    <w:t>七台河市第二</w:t>
                  </w:r>
                  <w:r>
                    <w:rPr>
                      <w:rFonts w:hint="eastAsia" w:ascii="Times New Roman" w:hAnsi="Times New Roman" w:cs="Times New Roman"/>
                      <w:bCs/>
                      <w:sz w:val="21"/>
                      <w:szCs w:val="24"/>
                      <w:highlight w:val="none"/>
                      <w:vertAlign w:val="baseline"/>
                      <w:lang w:val="en-US" w:eastAsia="zh-CN"/>
                    </w:rPr>
                    <w:t>污水处理厂处理</w:t>
                  </w:r>
                  <w:r>
                    <w:rPr>
                      <w:rFonts w:hint="eastAsia" w:cs="Times New Roman"/>
                      <w:bCs/>
                      <w:sz w:val="21"/>
                      <w:szCs w:val="24"/>
                      <w:vertAlign w:val="baseline"/>
                      <w:lang w:val="en-US" w:eastAsia="zh-CN"/>
                    </w:rPr>
                    <w:t>。</w:t>
                  </w:r>
                </w:p>
              </w:tc>
              <w:tc>
                <w:tcPr>
                  <w:tcW w:w="698"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不外排</w:t>
                  </w:r>
                </w:p>
              </w:tc>
              <w:tc>
                <w:tcPr>
                  <w:tcW w:w="1280" w:type="dxa"/>
                  <w:tcBorders>
                    <w:top w:val="single" w:color="auto" w:sz="4" w:space="0"/>
                    <w:left w:val="single" w:color="auto" w:sz="4" w:space="0"/>
                    <w:bottom w:val="single" w:color="auto" w:sz="4" w:space="0"/>
                    <w:right w:val="single" w:color="auto" w:sz="4" w:space="0"/>
                    <w:tl2br w:val="nil"/>
                    <w:tr2bl w:val="nil"/>
                  </w:tcBorders>
                  <w:vAlign w:val="center"/>
                </w:tcPr>
                <w:p>
                  <w:pPr>
                    <w:adjustRightInd/>
                    <w:snapToGrid/>
                    <w:spacing w:line="240" w:lineRule="auto"/>
                    <w:jc w:val="center"/>
                    <w:rPr>
                      <w:rFonts w:hint="default"/>
                      <w:b w:val="0"/>
                      <w:bCs w:val="0"/>
                      <w:color w:val="auto"/>
                      <w:sz w:val="21"/>
                      <w:szCs w:val="21"/>
                      <w:vertAlign w:val="baseline"/>
                      <w:lang w:val="en-US" w:eastAsia="zh-CN"/>
                    </w:rPr>
                  </w:pPr>
                  <w:r>
                    <w:rPr>
                      <w:rFonts w:hint="default" w:ascii="Times New Roman" w:hAnsi="Times New Roman" w:eastAsia="宋体" w:cs="Times New Roman"/>
                      <w:b w:val="0"/>
                      <w:bCs w:val="0"/>
                      <w:i w:val="0"/>
                      <w:iCs w:val="0"/>
                      <w:color w:val="auto"/>
                      <w:kern w:val="2"/>
                      <w:sz w:val="21"/>
                      <w:szCs w:val="24"/>
                      <w:highlight w:val="none"/>
                      <w:vertAlign w:val="baseline"/>
                      <w:lang w:val="en-US" w:eastAsia="zh-CN" w:bidi="ar-SA"/>
                    </w:rPr>
                    <w:t>120mg/L;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color w:val="auto"/>
                      <w:lang w:val="en-US" w:eastAsia="zh-CN"/>
                    </w:rPr>
                    <w:t>4.32×10</w:t>
                  </w:r>
                  <w:r>
                    <w:rPr>
                      <w:rFonts w:hint="eastAsia"/>
                      <w:color w:val="auto"/>
                      <w:vertAlign w:val="superscript"/>
                      <w:lang w:val="en-US" w:eastAsia="zh-CN"/>
                    </w:rPr>
                    <w:t>-3</w:t>
                  </w:r>
                  <w:r>
                    <w:rPr>
                      <w:rFonts w:hint="eastAsia"/>
                      <w:color w:val="auto"/>
                      <w:lang w:val="en-US" w:eastAsia="zh-CN"/>
                    </w:rPr>
                    <w:t>t/a</w:t>
                  </w:r>
                </w:p>
              </w:tc>
              <w:tc>
                <w:tcPr>
                  <w:tcW w:w="8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500</w:t>
                  </w:r>
                </w:p>
              </w:tc>
              <w:tc>
                <w:tcPr>
                  <w:tcW w:w="713"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9"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1"/>
                      <w:szCs w:val="21"/>
                      <w:vertAlign w:val="baseline"/>
                      <w:lang w:val="en-US" w:eastAsia="zh-CN"/>
                    </w:rPr>
                  </w:pPr>
                </w:p>
              </w:tc>
              <w:tc>
                <w:tcPr>
                  <w:tcW w:w="81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kern w:val="2"/>
                      <w:sz w:val="21"/>
                      <w:szCs w:val="21"/>
                      <w:vertAlign w:val="baseline"/>
                      <w:lang w:val="en-US" w:eastAsia="zh-CN" w:bidi="ar-SA"/>
                    </w:rPr>
                  </w:pPr>
                  <w:r>
                    <w:rPr>
                      <w:rFonts w:hint="eastAsia"/>
                      <w:color w:val="auto"/>
                      <w:sz w:val="21"/>
                      <w:szCs w:val="21"/>
                      <w:vertAlign w:val="baseline"/>
                      <w:lang w:val="en-US" w:eastAsia="zh-CN"/>
                    </w:rPr>
                    <w:t>SS</w:t>
                  </w:r>
                </w:p>
              </w:tc>
              <w:tc>
                <w:tcPr>
                  <w:tcW w:w="127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600mg/L;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kern w:val="2"/>
                      <w:sz w:val="21"/>
                      <w:szCs w:val="21"/>
                      <w:vertAlign w:val="baseline"/>
                      <w:lang w:val="en-US" w:eastAsia="zh-CN" w:bidi="ar-SA"/>
                    </w:rPr>
                  </w:pPr>
                  <w:r>
                    <w:rPr>
                      <w:rFonts w:hint="eastAsia"/>
                      <w:lang w:val="en-US" w:eastAsia="zh-CN"/>
                    </w:rPr>
                    <w:t>2.16×10</w:t>
                  </w:r>
                  <w:r>
                    <w:rPr>
                      <w:rFonts w:hint="eastAsia"/>
                      <w:vertAlign w:val="superscript"/>
                      <w:lang w:val="en-US" w:eastAsia="zh-CN"/>
                    </w:rPr>
                    <w:t>-2</w:t>
                  </w:r>
                  <w:r>
                    <w:rPr>
                      <w:rFonts w:hint="eastAsia"/>
                      <w:lang w:val="en-US" w:eastAsia="zh-CN"/>
                    </w:rPr>
                    <w:t>t/a</w:t>
                  </w:r>
                </w:p>
              </w:tc>
              <w:tc>
                <w:tcPr>
                  <w:tcW w:w="12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1"/>
                      <w:szCs w:val="21"/>
                      <w:vertAlign w:val="baseline"/>
                      <w:lang w:val="en-US" w:eastAsia="zh-CN"/>
                    </w:rPr>
                  </w:pPr>
                </w:p>
              </w:tc>
              <w:tc>
                <w:tcPr>
                  <w:tcW w:w="69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1"/>
                      <w:szCs w:val="21"/>
                      <w:vertAlign w:val="baseline"/>
                      <w:lang w:val="en-US" w:eastAsia="zh-CN"/>
                    </w:rPr>
                  </w:pPr>
                </w:p>
              </w:tc>
              <w:tc>
                <w:tcPr>
                  <w:tcW w:w="1280" w:type="dxa"/>
                  <w:tcBorders>
                    <w:top w:val="single" w:color="auto" w:sz="4" w:space="0"/>
                    <w:left w:val="single" w:color="auto" w:sz="4" w:space="0"/>
                    <w:bottom w:val="single" w:color="auto" w:sz="4" w:space="0"/>
                    <w:right w:val="single" w:color="auto" w:sz="4" w:space="0"/>
                    <w:tl2br w:val="nil"/>
                    <w:tr2bl w:val="nil"/>
                  </w:tcBorders>
                  <w:vAlign w:val="center"/>
                </w:tcPr>
                <w:p>
                  <w:pPr>
                    <w:adjustRightInd/>
                    <w:snapToGrid/>
                    <w:spacing w:line="240" w:lineRule="auto"/>
                    <w:jc w:val="center"/>
                    <w:rPr>
                      <w:rFonts w:hint="default"/>
                      <w:b w:val="0"/>
                      <w:bCs w:val="0"/>
                      <w:sz w:val="21"/>
                      <w:szCs w:val="21"/>
                      <w:vertAlign w:val="baseline"/>
                      <w:lang w:val="en-US" w:eastAsia="zh-CN"/>
                    </w:rPr>
                  </w:pPr>
                  <w:r>
                    <w:rPr>
                      <w:rFonts w:hint="default" w:ascii="Times New Roman" w:hAnsi="Times New Roman" w:eastAsia="宋体" w:cs="Times New Roman"/>
                      <w:b w:val="0"/>
                      <w:bCs w:val="0"/>
                      <w:i w:val="0"/>
                      <w:iCs w:val="0"/>
                      <w:color w:val="auto"/>
                      <w:kern w:val="2"/>
                      <w:sz w:val="21"/>
                      <w:szCs w:val="24"/>
                      <w:highlight w:val="none"/>
                      <w:vertAlign w:val="baseline"/>
                      <w:lang w:val="en-US" w:eastAsia="zh-CN" w:bidi="ar-SA"/>
                    </w:rPr>
                    <w:t>400mg/L;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cs="Times New Roman"/>
                      <w:b w:val="0"/>
                      <w:bCs w:val="0"/>
                      <w:i w:val="0"/>
                      <w:iCs w:val="0"/>
                      <w:color w:val="auto"/>
                      <w:kern w:val="2"/>
                      <w:sz w:val="21"/>
                      <w:szCs w:val="24"/>
                      <w:highlight w:val="none"/>
                      <w:vertAlign w:val="baseline"/>
                      <w:lang w:val="en-US" w:eastAsia="zh-CN" w:bidi="ar-SA"/>
                    </w:rPr>
                    <w:t>1.44</w:t>
                  </w:r>
                  <w:r>
                    <w:rPr>
                      <w:rFonts w:hint="default" w:ascii="Times New Roman" w:hAnsi="Times New Roman" w:eastAsia="宋体" w:cs="Times New Roman"/>
                      <w:b w:val="0"/>
                      <w:bCs w:val="0"/>
                      <w:i w:val="0"/>
                      <w:iCs w:val="0"/>
                      <w:color w:val="auto"/>
                      <w:kern w:val="2"/>
                      <w:sz w:val="21"/>
                      <w:szCs w:val="24"/>
                      <w:highlight w:val="none"/>
                      <w:vertAlign w:val="baseline"/>
                      <w:lang w:val="en-US" w:eastAsia="zh-CN" w:bidi="ar-SA"/>
                    </w:rPr>
                    <w:t>×10</w:t>
                  </w:r>
                  <w:r>
                    <w:rPr>
                      <w:rFonts w:hint="default" w:ascii="Times New Roman" w:hAnsi="Times New Roman" w:eastAsia="宋体" w:cs="Times New Roman"/>
                      <w:b w:val="0"/>
                      <w:bCs w:val="0"/>
                      <w:i w:val="0"/>
                      <w:iCs w:val="0"/>
                      <w:color w:val="auto"/>
                      <w:kern w:val="2"/>
                      <w:sz w:val="21"/>
                      <w:szCs w:val="24"/>
                      <w:highlight w:val="none"/>
                      <w:vertAlign w:val="superscript"/>
                      <w:lang w:val="en-US" w:eastAsia="zh-CN" w:bidi="ar-SA"/>
                    </w:rPr>
                    <w:t>-</w:t>
                  </w:r>
                  <w:r>
                    <w:rPr>
                      <w:rFonts w:hint="eastAsia" w:cs="Times New Roman"/>
                      <w:b w:val="0"/>
                      <w:bCs w:val="0"/>
                      <w:i w:val="0"/>
                      <w:iCs w:val="0"/>
                      <w:color w:val="auto"/>
                      <w:kern w:val="2"/>
                      <w:sz w:val="21"/>
                      <w:szCs w:val="24"/>
                      <w:highlight w:val="none"/>
                      <w:vertAlign w:val="superscript"/>
                      <w:lang w:val="en-US" w:eastAsia="zh-CN" w:bidi="ar-SA"/>
                    </w:rPr>
                    <w:t>2</w:t>
                  </w:r>
                  <w:r>
                    <w:rPr>
                      <w:rFonts w:hint="default" w:ascii="Times New Roman" w:hAnsi="Times New Roman" w:eastAsia="宋体" w:cs="Times New Roman"/>
                      <w:b w:val="0"/>
                      <w:bCs w:val="0"/>
                      <w:i w:val="0"/>
                      <w:iCs w:val="0"/>
                      <w:color w:val="auto"/>
                      <w:kern w:val="2"/>
                      <w:sz w:val="21"/>
                      <w:szCs w:val="24"/>
                      <w:highlight w:val="none"/>
                      <w:vertAlign w:val="baseline"/>
                      <w:lang w:val="en-US" w:eastAsia="zh-CN" w:bidi="ar-SA"/>
                    </w:rPr>
                    <w:t>t/</w:t>
                  </w:r>
                  <w:r>
                    <w:rPr>
                      <w:rFonts w:hint="eastAsia" w:cs="Times New Roman"/>
                      <w:b w:val="0"/>
                      <w:bCs w:val="0"/>
                      <w:i w:val="0"/>
                      <w:iCs w:val="0"/>
                      <w:color w:val="auto"/>
                      <w:kern w:val="2"/>
                      <w:sz w:val="21"/>
                      <w:szCs w:val="24"/>
                      <w:highlight w:val="none"/>
                      <w:vertAlign w:val="baseline"/>
                      <w:lang w:val="en-US" w:eastAsia="zh-CN" w:bidi="ar-SA"/>
                    </w:rPr>
                    <w:t>a</w:t>
                  </w:r>
                </w:p>
              </w:tc>
              <w:tc>
                <w:tcPr>
                  <w:tcW w:w="8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400</w:t>
                  </w:r>
                </w:p>
              </w:tc>
              <w:tc>
                <w:tcPr>
                  <w:tcW w:w="713"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9" w:type="dxa"/>
                  <w:vMerge w:val="continue"/>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1"/>
                      <w:szCs w:val="21"/>
                      <w:vertAlign w:val="baseline"/>
                      <w:lang w:val="en-US" w:eastAsia="zh-CN"/>
                    </w:rPr>
                  </w:pPr>
                </w:p>
              </w:tc>
              <w:tc>
                <w:tcPr>
                  <w:tcW w:w="818"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kern w:val="2"/>
                      <w:sz w:val="21"/>
                      <w:szCs w:val="21"/>
                      <w:vertAlign w:val="baseline"/>
                      <w:lang w:val="en-US" w:eastAsia="zh-CN" w:bidi="ar-SA"/>
                    </w:rPr>
                  </w:pPr>
                  <w:r>
                    <w:rPr>
                      <w:rFonts w:hint="eastAsia"/>
                      <w:color w:val="auto"/>
                      <w:sz w:val="21"/>
                      <w:szCs w:val="21"/>
                      <w:vertAlign w:val="baseline"/>
                      <w:lang w:val="en-US" w:eastAsia="zh-CN"/>
                    </w:rPr>
                    <w:t>NH</w:t>
                  </w:r>
                  <w:r>
                    <w:rPr>
                      <w:rFonts w:hint="eastAsia"/>
                      <w:color w:val="auto"/>
                      <w:sz w:val="21"/>
                      <w:szCs w:val="21"/>
                      <w:vertAlign w:val="subscript"/>
                      <w:lang w:val="en-US" w:eastAsia="zh-CN"/>
                    </w:rPr>
                    <w:t>3</w:t>
                  </w:r>
                  <w:r>
                    <w:rPr>
                      <w:rFonts w:hint="eastAsia"/>
                      <w:color w:val="auto"/>
                      <w:sz w:val="21"/>
                      <w:szCs w:val="21"/>
                      <w:vertAlign w:val="baseline"/>
                      <w:lang w:val="en-US" w:eastAsia="zh-CN"/>
                    </w:rPr>
                    <w:t>-N</w:t>
                  </w:r>
                </w:p>
              </w:tc>
              <w:tc>
                <w:tcPr>
                  <w:tcW w:w="1276"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35mg/L;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kern w:val="2"/>
                      <w:sz w:val="21"/>
                      <w:szCs w:val="21"/>
                      <w:vertAlign w:val="baseline"/>
                      <w:lang w:val="en-US" w:eastAsia="zh-CN" w:bidi="ar-SA"/>
                    </w:rPr>
                  </w:pPr>
                  <w:r>
                    <w:rPr>
                      <w:rFonts w:hint="eastAsia"/>
                      <w:lang w:val="en-US" w:eastAsia="zh-CN"/>
                    </w:rPr>
                    <w:t>1.26×10</w:t>
                  </w:r>
                  <w:r>
                    <w:rPr>
                      <w:rFonts w:hint="eastAsia"/>
                      <w:vertAlign w:val="superscript"/>
                      <w:lang w:val="en-US" w:eastAsia="zh-CN"/>
                    </w:rPr>
                    <w:t>-3</w:t>
                  </w:r>
                  <w:r>
                    <w:rPr>
                      <w:rFonts w:hint="eastAsia"/>
                      <w:lang w:val="en-US" w:eastAsia="zh-CN"/>
                    </w:rPr>
                    <w:t>t/a</w:t>
                  </w:r>
                </w:p>
              </w:tc>
              <w:tc>
                <w:tcPr>
                  <w:tcW w:w="1266" w:type="dxa"/>
                  <w:vMerge w:val="continue"/>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1"/>
                      <w:szCs w:val="21"/>
                      <w:vertAlign w:val="baseline"/>
                      <w:lang w:val="en-US" w:eastAsia="zh-CN"/>
                    </w:rPr>
                  </w:pPr>
                </w:p>
              </w:tc>
              <w:tc>
                <w:tcPr>
                  <w:tcW w:w="698" w:type="dxa"/>
                  <w:vMerge w:val="continue"/>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1"/>
                      <w:szCs w:val="21"/>
                      <w:vertAlign w:val="baseline"/>
                      <w:lang w:val="en-US" w:eastAsia="zh-CN"/>
                    </w:rPr>
                  </w:pPr>
                </w:p>
              </w:tc>
              <w:tc>
                <w:tcPr>
                  <w:tcW w:w="1280" w:type="dxa"/>
                  <w:tcBorders>
                    <w:top w:val="single" w:color="auto" w:sz="4" w:space="0"/>
                    <w:left w:val="single" w:color="auto" w:sz="4" w:space="0"/>
                    <w:bottom w:val="single" w:color="auto" w:sz="12" w:space="0"/>
                    <w:right w:val="single" w:color="auto" w:sz="4" w:space="0"/>
                    <w:tl2br w:val="nil"/>
                    <w:tr2bl w:val="nil"/>
                  </w:tcBorders>
                  <w:vAlign w:val="center"/>
                </w:tcPr>
                <w:p>
                  <w:pPr>
                    <w:adjustRightInd/>
                    <w:snapToGrid/>
                    <w:spacing w:line="240" w:lineRule="auto"/>
                    <w:jc w:val="center"/>
                    <w:rPr>
                      <w:rFonts w:hint="default"/>
                      <w:b w:val="0"/>
                      <w:bCs w:val="0"/>
                      <w:sz w:val="21"/>
                      <w:szCs w:val="21"/>
                      <w:vertAlign w:val="baseline"/>
                      <w:lang w:val="en-US" w:eastAsia="zh-CN"/>
                    </w:rPr>
                  </w:pPr>
                  <w:r>
                    <w:rPr>
                      <w:rFonts w:hint="default" w:ascii="Times New Roman" w:hAnsi="Times New Roman" w:eastAsia="宋体" w:cs="Times New Roman"/>
                      <w:b w:val="0"/>
                      <w:bCs w:val="0"/>
                      <w:i w:val="0"/>
                      <w:iCs w:val="0"/>
                      <w:color w:val="auto"/>
                      <w:kern w:val="2"/>
                      <w:sz w:val="21"/>
                      <w:szCs w:val="24"/>
                      <w:highlight w:val="none"/>
                      <w:vertAlign w:val="baseline"/>
                      <w:lang w:val="en-US" w:eastAsia="zh-CN" w:bidi="ar-SA"/>
                    </w:rPr>
                    <w:t>35mg/L;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lang w:val="en-US" w:eastAsia="zh-CN"/>
                    </w:rPr>
                    <w:t>1.26×10</w:t>
                  </w:r>
                  <w:r>
                    <w:rPr>
                      <w:rFonts w:hint="eastAsia"/>
                      <w:vertAlign w:val="superscript"/>
                      <w:lang w:val="en-US" w:eastAsia="zh-CN"/>
                    </w:rPr>
                    <w:t>-3</w:t>
                  </w:r>
                  <w:r>
                    <w:rPr>
                      <w:rFonts w:hint="eastAsia"/>
                      <w:lang w:val="en-US" w:eastAsia="zh-CN"/>
                    </w:rPr>
                    <w:t>t/a</w:t>
                  </w:r>
                </w:p>
              </w:tc>
              <w:tc>
                <w:tcPr>
                  <w:tcW w:w="836"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w:t>
                  </w:r>
                </w:p>
              </w:tc>
              <w:tc>
                <w:tcPr>
                  <w:tcW w:w="713"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2.2 废水污染物治理措施的可行性分析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eastAsia" w:ascii="Times New Roman" w:hAnsi="Times New Roman" w:eastAsia="宋体" w:cs="Times New Roman"/>
                <w:bCs/>
                <w:spacing w:val="0"/>
                <w:sz w:val="24"/>
                <w:szCs w:val="24"/>
                <w:lang w:val="en-US" w:eastAsia="zh-CN"/>
              </w:rPr>
              <w:t>（1）雨水渗水</w:t>
            </w:r>
            <w:r>
              <w:rPr>
                <w:rFonts w:hint="eastAsia" w:cs="Times New Roman"/>
                <w:bCs/>
                <w:spacing w:val="0"/>
                <w:sz w:val="24"/>
                <w:szCs w:val="24"/>
                <w:lang w:val="en-US" w:eastAsia="zh-CN"/>
              </w:rPr>
              <w:t>沉淀</w:t>
            </w:r>
            <w:r>
              <w:rPr>
                <w:rFonts w:hint="eastAsia" w:ascii="Times New Roman" w:hAnsi="Times New Roman" w:eastAsia="宋体" w:cs="Times New Roman"/>
                <w:bCs/>
                <w:spacing w:val="0"/>
                <w:sz w:val="24"/>
                <w:szCs w:val="24"/>
                <w:lang w:val="en-US" w:eastAsia="zh-CN"/>
              </w:rPr>
              <w:t>池</w:t>
            </w:r>
            <w:r>
              <w:rPr>
                <w:rFonts w:hint="eastAsia" w:cs="Times New Roman"/>
                <w:bCs/>
                <w:spacing w:val="0"/>
                <w:sz w:val="24"/>
                <w:szCs w:val="24"/>
                <w:lang w:val="en-US" w:eastAsia="zh-CN"/>
              </w:rPr>
              <w:t>和暂存池</w:t>
            </w:r>
            <w:r>
              <w:rPr>
                <w:rFonts w:hint="eastAsia" w:ascii="Times New Roman" w:hAnsi="Times New Roman" w:eastAsia="宋体" w:cs="Times New Roman"/>
                <w:bCs/>
                <w:spacing w:val="0"/>
                <w:sz w:val="24"/>
                <w:szCs w:val="24"/>
                <w:lang w:val="en-US" w:eastAsia="zh-CN"/>
              </w:rPr>
              <w:t>容积合理性分析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eastAsia" w:ascii="Times New Roman" w:hAnsi="Times New Roman" w:eastAsia="宋体" w:cs="Times New Roman"/>
                <w:bCs/>
                <w:spacing w:val="0"/>
                <w:sz w:val="24"/>
                <w:szCs w:val="24"/>
                <w:lang w:val="en-US" w:eastAsia="zh-CN"/>
              </w:rPr>
              <w:t>本项目暴雨降雨量为60mm，建筑垃圾堆料区域采用压实机进行压实，</w:t>
            </w:r>
            <w:r>
              <w:rPr>
                <w:rFonts w:hint="eastAsia" w:ascii="Times New Roman" w:hAnsi="Times New Roman" w:eastAsia="宋体" w:cs="Times New Roman"/>
                <w:bCs/>
                <w:color w:val="auto"/>
                <w:spacing w:val="0"/>
                <w:sz w:val="24"/>
                <w:szCs w:val="24"/>
                <w:lang w:val="en-US" w:eastAsia="zh-CN"/>
              </w:rPr>
              <w:t>在一般降雨或遇短历时暴雨时，雨水将被吸收到建筑垃圾体内，不会有雨水渗水产生，但当偶遇连续长时间降雨或特大暴雨时，则会有雨水渗水产生。根据上述雨水渗水估算，堆料区产生的雨水渗水量约为</w:t>
            </w:r>
            <w:r>
              <w:rPr>
                <w:rFonts w:hint="eastAsia" w:cs="Times New Roman"/>
                <w:bCs/>
                <w:color w:val="auto"/>
                <w:sz w:val="24"/>
                <w:szCs w:val="24"/>
                <w:highlight w:val="none"/>
                <w:vertAlign w:val="baseline"/>
                <w:lang w:val="en-US" w:eastAsia="zh-CN"/>
              </w:rPr>
              <w:t>12</w:t>
            </w:r>
            <w:r>
              <w:rPr>
                <w:rFonts w:hint="eastAsia" w:ascii="Times New Roman" w:hAnsi="Times New Roman" w:cs="Times New Roman"/>
                <w:bCs/>
                <w:color w:val="auto"/>
                <w:sz w:val="24"/>
                <w:szCs w:val="24"/>
                <w:vertAlign w:val="baseline"/>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vertAlign w:val="baseline"/>
                <w:lang w:val="en-US" w:eastAsia="zh-CN"/>
              </w:rPr>
              <w:t>/d，</w:t>
            </w:r>
            <w:r>
              <w:rPr>
                <w:rFonts w:hint="eastAsia" w:ascii="Times New Roman" w:hAnsi="Times New Roman" w:cs="Times New Roman"/>
                <w:bCs/>
                <w:sz w:val="24"/>
                <w:szCs w:val="24"/>
                <w:vertAlign w:val="baseline"/>
                <w:lang w:val="en-US" w:eastAsia="zh-CN"/>
              </w:rPr>
              <w:t>本项目雨水渗水</w:t>
            </w:r>
            <w:r>
              <w:rPr>
                <w:rFonts w:hint="eastAsia" w:cs="Times New Roman"/>
                <w:bCs/>
                <w:sz w:val="24"/>
                <w:szCs w:val="24"/>
                <w:vertAlign w:val="baseline"/>
                <w:lang w:val="en-US" w:eastAsia="zh-CN"/>
              </w:rPr>
              <w:t>沉淀</w:t>
            </w:r>
            <w:r>
              <w:rPr>
                <w:rFonts w:hint="eastAsia" w:ascii="Times New Roman" w:hAnsi="Times New Roman" w:cs="Times New Roman"/>
                <w:bCs/>
                <w:sz w:val="24"/>
                <w:szCs w:val="24"/>
                <w:vertAlign w:val="baseline"/>
                <w:lang w:val="en-US" w:eastAsia="zh-CN"/>
              </w:rPr>
              <w:t>池容积为</w:t>
            </w:r>
            <w:r>
              <w:rPr>
                <w:rFonts w:hint="eastAsia" w:cs="Times New Roman"/>
                <w:bCs/>
                <w:sz w:val="24"/>
                <w:szCs w:val="24"/>
                <w:vertAlign w:val="baseline"/>
                <w:lang w:val="en-US" w:eastAsia="zh-CN"/>
              </w:rPr>
              <w:t>15</w:t>
            </w:r>
            <w:r>
              <w:rPr>
                <w:rFonts w:hint="eastAsia" w:ascii="Times New Roman" w:hAnsi="Times New Roman" w:cs="Times New Roman"/>
                <w:bCs/>
                <w:sz w:val="24"/>
                <w:szCs w:val="24"/>
                <w:vertAlign w:val="baseline"/>
                <w:lang w:val="en-US" w:eastAsia="zh-CN"/>
              </w:rPr>
              <w:t>m</w:t>
            </w:r>
            <w:r>
              <w:rPr>
                <w:rFonts w:hint="eastAsia" w:ascii="Times New Roman" w:hAnsi="Times New Roman" w:cs="Times New Roman"/>
                <w:bCs/>
                <w:sz w:val="24"/>
                <w:szCs w:val="24"/>
                <w:vertAlign w:val="superscript"/>
                <w:lang w:val="en-US" w:eastAsia="zh-CN"/>
              </w:rPr>
              <w:t>3</w:t>
            </w:r>
            <w:r>
              <w:rPr>
                <w:rFonts w:hint="eastAsia" w:ascii="Times New Roman" w:hAnsi="Times New Roman" w:cs="Times New Roman"/>
                <w:bCs/>
                <w:sz w:val="24"/>
                <w:szCs w:val="24"/>
                <w:vertAlign w:val="baseline"/>
                <w:lang w:val="en-US" w:eastAsia="zh-CN"/>
              </w:rPr>
              <w:t>，</w:t>
            </w:r>
            <w:r>
              <w:rPr>
                <w:rFonts w:hint="eastAsia" w:cs="Times New Roman"/>
                <w:bCs/>
                <w:sz w:val="24"/>
                <w:szCs w:val="24"/>
                <w:vertAlign w:val="baseline"/>
                <w:lang w:val="en-US" w:eastAsia="zh-CN"/>
              </w:rPr>
              <w:t>暂存池15</w:t>
            </w:r>
            <w:r>
              <w:rPr>
                <w:rFonts w:hint="eastAsia" w:ascii="Times New Roman" w:hAnsi="Times New Roman" w:cs="Times New Roman"/>
                <w:bCs/>
                <w:sz w:val="24"/>
                <w:szCs w:val="24"/>
                <w:vertAlign w:val="baseline"/>
                <w:lang w:val="en-US" w:eastAsia="zh-CN"/>
              </w:rPr>
              <w:t>m</w:t>
            </w:r>
            <w:r>
              <w:rPr>
                <w:rFonts w:hint="eastAsia" w:ascii="Times New Roman" w:hAnsi="Times New Roman" w:cs="Times New Roman"/>
                <w:bCs/>
                <w:sz w:val="24"/>
                <w:szCs w:val="24"/>
                <w:vertAlign w:val="superscript"/>
                <w:lang w:val="en-US" w:eastAsia="zh-CN"/>
              </w:rPr>
              <w:t>3</w:t>
            </w:r>
            <w:r>
              <w:rPr>
                <w:rFonts w:hint="eastAsia" w:cs="Times New Roman"/>
                <w:bCs/>
                <w:sz w:val="24"/>
                <w:szCs w:val="24"/>
                <w:vertAlign w:val="baseline"/>
                <w:lang w:val="en-US" w:eastAsia="zh-CN"/>
              </w:rPr>
              <w:t>，</w:t>
            </w:r>
            <w:r>
              <w:rPr>
                <w:rFonts w:hint="eastAsia" w:ascii="Times New Roman" w:hAnsi="Times New Roman" w:cs="Times New Roman"/>
                <w:bCs/>
                <w:sz w:val="24"/>
                <w:szCs w:val="24"/>
                <w:vertAlign w:val="baseline"/>
                <w:lang w:val="en-US" w:eastAsia="zh-CN"/>
              </w:rPr>
              <w:t>满足雨水渗水存储要求。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highlight w:val="yellow"/>
                <w:lang w:val="en-US" w:eastAsia="zh-CN"/>
              </w:rPr>
            </w:pPr>
            <w:r>
              <w:rPr>
                <w:rFonts w:hint="eastAsia" w:ascii="Times New Roman" w:hAnsi="Times New Roman" w:eastAsia="宋体" w:cs="Times New Roman"/>
                <w:bCs/>
                <w:spacing w:val="0"/>
                <w:sz w:val="24"/>
                <w:szCs w:val="24"/>
                <w:highlight w:val="none"/>
                <w:lang w:val="en-US" w:eastAsia="zh-CN"/>
              </w:rPr>
              <w:t>（2）依托可行性分析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宋体"/>
                <w:sz w:val="24"/>
                <w:szCs w:val="24"/>
              </w:rPr>
            </w:pPr>
            <w:r>
              <w:rPr>
                <w:rFonts w:ascii="Times New Roman" w:hAnsi="Times New Roman" w:eastAsia="宋体" w:cs="宋体"/>
                <w:sz w:val="24"/>
                <w:szCs w:val="24"/>
              </w:rPr>
              <w:t>本项目排放废水主要为生活污水</w:t>
            </w:r>
            <w:r>
              <w:rPr>
                <w:rFonts w:hint="eastAsia" w:cs="宋体"/>
                <w:sz w:val="24"/>
                <w:szCs w:val="24"/>
                <w:lang w:val="en-US" w:eastAsia="zh-CN"/>
              </w:rPr>
              <w:t>和冲洗废水</w:t>
            </w:r>
            <w:r>
              <w:rPr>
                <w:rFonts w:ascii="Times New Roman" w:hAnsi="Times New Roman" w:eastAsia="宋体" w:cs="宋体"/>
                <w:sz w:val="24"/>
                <w:szCs w:val="24"/>
              </w:rPr>
              <w:t>，水质简单，</w:t>
            </w:r>
            <w:r>
              <w:rPr>
                <w:rFonts w:hint="eastAsia" w:ascii="Times New Roman" w:hAnsi="Times New Roman" w:cs="Times New Roman"/>
                <w:bCs/>
                <w:spacing w:val="0"/>
                <w:sz w:val="24"/>
                <w:szCs w:val="24"/>
                <w:vertAlign w:val="baseline"/>
                <w:lang w:val="en-US" w:eastAsia="zh-CN"/>
              </w:rPr>
              <w:t>定期由吸污车拉运至</w:t>
            </w:r>
            <w:r>
              <w:rPr>
                <w:rFonts w:hint="eastAsia" w:cs="Times New Roman"/>
                <w:bCs/>
                <w:spacing w:val="0"/>
                <w:sz w:val="24"/>
                <w:szCs w:val="24"/>
                <w:vertAlign w:val="baseline"/>
                <w:lang w:val="en-US" w:eastAsia="zh-CN"/>
              </w:rPr>
              <w:t>七台河第二</w:t>
            </w:r>
            <w:r>
              <w:rPr>
                <w:rFonts w:hint="eastAsia" w:ascii="Times New Roman" w:hAnsi="Times New Roman" w:cs="Times New Roman"/>
                <w:bCs/>
                <w:spacing w:val="0"/>
                <w:sz w:val="24"/>
                <w:szCs w:val="24"/>
                <w:vertAlign w:val="baseline"/>
                <w:lang w:val="en-US" w:eastAsia="zh-CN"/>
              </w:rPr>
              <w:t>污水处理厂</w:t>
            </w:r>
            <w:r>
              <w:rPr>
                <w:rFonts w:ascii="Times New Roman" w:hAnsi="Times New Roman" w:eastAsia="宋体" w:cs="宋体"/>
                <w:sz w:val="24"/>
                <w:szCs w:val="24"/>
              </w:rPr>
              <w:t>，本项目达标排放的废水不会对七台河市第二污水处理厂产生较大影响。七台河市第二污水处理厂采用</w:t>
            </w:r>
            <w:r>
              <w:rPr>
                <w:rFonts w:hint="eastAsia" w:ascii="Times New Roman" w:hAnsi="Times New Roman" w:eastAsia="宋体" w:cs="宋体"/>
                <w:sz w:val="24"/>
                <w:szCs w:val="24"/>
                <w:lang w:eastAsia="zh-CN"/>
              </w:rPr>
              <w:t>“</w:t>
            </w:r>
            <w:r>
              <w:rPr>
                <w:rFonts w:ascii="Times New Roman" w:hAnsi="Times New Roman" w:eastAsia="宋体" w:cs="宋体"/>
                <w:sz w:val="24"/>
                <w:szCs w:val="24"/>
              </w:rPr>
              <w:t>强化A</w:t>
            </w:r>
            <w:r>
              <w:rPr>
                <w:rFonts w:ascii="Times New Roman" w:hAnsi="Times New Roman" w:eastAsia="宋体" w:cs="宋体"/>
                <w:sz w:val="24"/>
                <w:szCs w:val="24"/>
                <w:vertAlign w:val="superscript"/>
              </w:rPr>
              <w:t>2</w:t>
            </w:r>
            <w:r>
              <w:rPr>
                <w:rFonts w:ascii="Times New Roman" w:hAnsi="Times New Roman" w:eastAsia="宋体" w:cs="宋体"/>
                <w:sz w:val="24"/>
                <w:szCs w:val="24"/>
              </w:rPr>
              <w:t>O</w:t>
            </w:r>
            <w:r>
              <w:rPr>
                <w:rFonts w:hint="eastAsia" w:ascii="Times New Roman" w:hAnsi="Times New Roman" w:eastAsia="宋体" w:cs="宋体"/>
                <w:sz w:val="24"/>
                <w:szCs w:val="24"/>
                <w:lang w:eastAsia="zh-CN"/>
              </w:rPr>
              <w:t>”</w:t>
            </w:r>
            <w:r>
              <w:rPr>
                <w:rFonts w:ascii="Times New Roman" w:hAnsi="Times New Roman" w:eastAsia="宋体" w:cs="宋体"/>
                <w:sz w:val="24"/>
                <w:szCs w:val="24"/>
              </w:rPr>
              <w:t>处理工艺，污水处理能力4万t/d，目前日处理污水量3.</w:t>
            </w:r>
            <w:r>
              <w:rPr>
                <w:rFonts w:hint="eastAsia" w:ascii="Times New Roman" w:hAnsi="Times New Roman" w:eastAsia="宋体" w:cs="宋体"/>
                <w:sz w:val="24"/>
                <w:szCs w:val="24"/>
                <w:lang w:val="en-US" w:eastAsia="zh-CN"/>
              </w:rPr>
              <w:t>6</w:t>
            </w:r>
            <w:r>
              <w:rPr>
                <w:rFonts w:ascii="Times New Roman" w:hAnsi="Times New Roman" w:eastAsia="宋体" w:cs="宋体"/>
                <w:sz w:val="24"/>
                <w:szCs w:val="24"/>
              </w:rPr>
              <w:t>万t/d，本项目</w:t>
            </w:r>
            <w:r>
              <w:rPr>
                <w:rFonts w:hint="eastAsia" w:ascii="Times New Roman" w:hAnsi="Times New Roman" w:eastAsia="宋体" w:cs="宋体"/>
                <w:sz w:val="24"/>
                <w:szCs w:val="24"/>
                <w:lang w:val="en-US" w:eastAsia="zh-CN"/>
              </w:rPr>
              <w:t>固定</w:t>
            </w:r>
            <w:r>
              <w:rPr>
                <w:rFonts w:ascii="Times New Roman" w:hAnsi="Times New Roman" w:eastAsia="宋体" w:cs="宋体"/>
                <w:sz w:val="24"/>
                <w:szCs w:val="24"/>
              </w:rPr>
              <w:t>污水排放量为</w:t>
            </w:r>
            <w:r>
              <w:rPr>
                <w:rFonts w:hint="eastAsia" w:ascii="Times New Roman" w:hAnsi="Times New Roman" w:eastAsia="宋体" w:cs="宋体"/>
                <w:sz w:val="24"/>
                <w:szCs w:val="24"/>
                <w:lang w:val="en-US" w:eastAsia="zh-CN"/>
              </w:rPr>
              <w:t>1.2</w:t>
            </w:r>
            <w:r>
              <w:rPr>
                <w:rFonts w:ascii="Times New Roman" w:hAnsi="Times New Roman" w:eastAsia="宋体" w:cs="宋体"/>
                <w:sz w:val="24"/>
                <w:szCs w:val="24"/>
              </w:rPr>
              <w:t>t/d，</w:t>
            </w:r>
            <w:r>
              <w:rPr>
                <w:rFonts w:hint="eastAsia" w:ascii="Times New Roman" w:hAnsi="Times New Roman" w:eastAsia="宋体" w:cs="宋体"/>
                <w:sz w:val="24"/>
                <w:szCs w:val="24"/>
                <w:lang w:val="en-US" w:eastAsia="zh-CN"/>
              </w:rPr>
              <w:t>暴雨时排放量</w:t>
            </w:r>
            <w:r>
              <w:rPr>
                <w:rFonts w:hint="eastAsia" w:cs="宋体"/>
                <w:sz w:val="24"/>
                <w:szCs w:val="24"/>
                <w:lang w:val="en-US" w:eastAsia="zh-CN"/>
              </w:rPr>
              <w:t>13.2</w:t>
            </w:r>
            <w:r>
              <w:rPr>
                <w:rFonts w:hint="eastAsia" w:ascii="Times New Roman" w:hAnsi="Times New Roman" w:eastAsia="宋体" w:cs="宋体"/>
                <w:sz w:val="24"/>
                <w:szCs w:val="24"/>
                <w:lang w:val="en-US" w:eastAsia="zh-CN"/>
              </w:rPr>
              <w:t>t/d，</w:t>
            </w:r>
            <w:r>
              <w:rPr>
                <w:rFonts w:ascii="Times New Roman" w:hAnsi="Times New Roman" w:eastAsia="宋体" w:cs="宋体"/>
                <w:sz w:val="24"/>
                <w:szCs w:val="24"/>
              </w:rPr>
              <w:t>废水排放量远小于七台河第二污水处理厂剩余处理规模，七台河第二污水处理厂可以满足本项目污水处理需求，因此依托该污水厂处理本项目外排废水可行。因此，从污水水质和水量角度考虑，黑龙江省七台河市第二污水处理厂能满足本项目排水要求，本项目污水排放对外环境影响较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3 噪声影响和保护措施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eastAsia="宋体"/>
                <w:sz w:val="24"/>
                <w:szCs w:val="24"/>
                <w:lang w:val="en-US" w:eastAsia="zh-CN"/>
              </w:rPr>
            </w:pPr>
            <w:r>
              <w:rPr>
                <w:rFonts w:hint="eastAsia"/>
                <w:b/>
                <w:bCs/>
                <w:sz w:val="24"/>
                <w:szCs w:val="24"/>
                <w:lang w:val="en-US" w:eastAsia="zh-CN"/>
              </w:rPr>
              <w:t>3.1 噪声影响分析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sz w:val="24"/>
                <w:szCs w:val="24"/>
              </w:rPr>
              <w:t>（1）噪声源强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32"/>
              </w:rPr>
            </w:pPr>
            <w:r>
              <w:rPr>
                <w:sz w:val="24"/>
                <w:szCs w:val="24"/>
              </w:rPr>
              <w:t>工程营运期间产生的噪声主要</w:t>
            </w:r>
            <w:r>
              <w:rPr>
                <w:rFonts w:hint="eastAsia"/>
                <w:sz w:val="24"/>
                <w:szCs w:val="24"/>
                <w:lang w:val="en-US" w:eastAsia="zh-CN"/>
              </w:rPr>
              <w:t>为运输车辆</w:t>
            </w:r>
            <w:r>
              <w:rPr>
                <w:rFonts w:hint="eastAsia"/>
                <w:sz w:val="24"/>
                <w:szCs w:val="24"/>
              </w:rPr>
              <w:t>、</w:t>
            </w:r>
            <w:r>
              <w:rPr>
                <w:rFonts w:hint="eastAsia"/>
                <w:sz w:val="24"/>
                <w:szCs w:val="24"/>
                <w:lang w:val="en-US" w:eastAsia="zh-CN"/>
              </w:rPr>
              <w:t>暂存场作业机械，噪声值在75-90dB（A）之间，噪声排放状况见下表。</w:t>
            </w:r>
          </w:p>
          <w:p>
            <w:pPr>
              <w:adjustRightInd w:val="0"/>
              <w:snapToGrid w:val="0"/>
              <w:jc w:val="center"/>
              <w:rPr>
                <w:b/>
                <w:bCs/>
              </w:rPr>
            </w:pPr>
            <w:r>
              <w:rPr>
                <w:b/>
                <w:bCs/>
              </w:rPr>
              <w:t>表</w:t>
            </w:r>
            <w:r>
              <w:rPr>
                <w:rFonts w:hint="eastAsia"/>
                <w:b/>
                <w:bCs/>
                <w:lang w:val="en-US" w:eastAsia="zh-CN"/>
              </w:rPr>
              <w:t xml:space="preserve">4-6 </w:t>
            </w:r>
            <w:r>
              <w:rPr>
                <w:b/>
                <w:bCs/>
              </w:rPr>
              <w:t>工程营运期声源主要噪声源强一览表单位：dB(A)</w:t>
            </w:r>
          </w:p>
          <w:tbl>
            <w:tblPr>
              <w:tblStyle w:val="20"/>
              <w:tblW w:w="79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98"/>
              <w:gridCol w:w="1642"/>
              <w:gridCol w:w="1135"/>
              <w:gridCol w:w="1135"/>
              <w:gridCol w:w="1135"/>
              <w:gridCol w:w="11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12" w:space="0"/>
                    <w:bottom w:val="single" w:color="auto" w:sz="12"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序号</w:t>
                  </w:r>
                </w:p>
              </w:tc>
              <w:tc>
                <w:tcPr>
                  <w:tcW w:w="1098"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设备名称</w:t>
                  </w:r>
                </w:p>
              </w:tc>
              <w:tc>
                <w:tcPr>
                  <w:tcW w:w="1642"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噪声级dB（A）</w:t>
                  </w:r>
                </w:p>
              </w:tc>
              <w:tc>
                <w:tcPr>
                  <w:tcW w:w="1135"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数量（台）</w:t>
                  </w:r>
                </w:p>
              </w:tc>
              <w:tc>
                <w:tcPr>
                  <w:tcW w:w="1135"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所在位置</w:t>
                  </w:r>
                </w:p>
              </w:tc>
              <w:tc>
                <w:tcPr>
                  <w:tcW w:w="1135"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类别</w:t>
                  </w:r>
                </w:p>
              </w:tc>
              <w:tc>
                <w:tcPr>
                  <w:tcW w:w="1136" w:type="dxa"/>
                  <w:tcBorders>
                    <w:top w:val="single" w:color="auto" w:sz="12" w:space="0"/>
                    <w:left w:val="single" w:color="auto" w:sz="4" w:space="0"/>
                    <w:bottom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防护措施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1</w:t>
                  </w:r>
                </w:p>
              </w:tc>
              <w:tc>
                <w:tcPr>
                  <w:tcW w:w="1098"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压实机</w:t>
                  </w:r>
                </w:p>
              </w:tc>
              <w:tc>
                <w:tcPr>
                  <w:tcW w:w="1642"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90</w:t>
                  </w:r>
                </w:p>
              </w:tc>
              <w:tc>
                <w:tcPr>
                  <w:tcW w:w="1135"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1</w:t>
                  </w:r>
                </w:p>
              </w:tc>
              <w:tc>
                <w:tcPr>
                  <w:tcW w:w="1135"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堆料区</w:t>
                  </w:r>
                </w:p>
              </w:tc>
              <w:tc>
                <w:tcPr>
                  <w:tcW w:w="1135"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流动源</w:t>
                  </w:r>
                </w:p>
              </w:tc>
              <w:tc>
                <w:tcPr>
                  <w:tcW w:w="1136" w:type="dxa"/>
                  <w:vMerge w:val="restart"/>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选用低噪声机械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2</w:t>
                  </w:r>
                </w:p>
              </w:tc>
              <w:tc>
                <w:tcPr>
                  <w:tcW w:w="109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推土机</w:t>
                  </w:r>
                </w:p>
              </w:tc>
              <w:tc>
                <w:tcPr>
                  <w:tcW w:w="164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85</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1</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堆料区</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流动源</w:t>
                  </w:r>
                </w:p>
              </w:tc>
              <w:tc>
                <w:tcPr>
                  <w:tcW w:w="1136" w:type="dxa"/>
                  <w:vMerge w:val="continue"/>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3</w:t>
                  </w:r>
                </w:p>
              </w:tc>
              <w:tc>
                <w:tcPr>
                  <w:tcW w:w="109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挖掘机</w:t>
                  </w:r>
                </w:p>
              </w:tc>
              <w:tc>
                <w:tcPr>
                  <w:tcW w:w="164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90</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1</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堆料区</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流动源</w:t>
                  </w:r>
                </w:p>
              </w:tc>
              <w:tc>
                <w:tcPr>
                  <w:tcW w:w="1136" w:type="dxa"/>
                  <w:vMerge w:val="continue"/>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5"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4</w:t>
                  </w:r>
                </w:p>
              </w:tc>
              <w:tc>
                <w:tcPr>
                  <w:tcW w:w="109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自卸卡车</w:t>
                  </w:r>
                </w:p>
              </w:tc>
              <w:tc>
                <w:tcPr>
                  <w:tcW w:w="164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85</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1</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堆料区</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流动源</w:t>
                  </w:r>
                </w:p>
              </w:tc>
              <w:tc>
                <w:tcPr>
                  <w:tcW w:w="1136" w:type="dxa"/>
                  <w:vMerge w:val="continue"/>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5</w:t>
                  </w:r>
                </w:p>
              </w:tc>
              <w:tc>
                <w:tcPr>
                  <w:tcW w:w="109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装载机</w:t>
                  </w:r>
                </w:p>
              </w:tc>
              <w:tc>
                <w:tcPr>
                  <w:tcW w:w="164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90</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1</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堆料区</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流动源</w:t>
                  </w:r>
                </w:p>
              </w:tc>
              <w:tc>
                <w:tcPr>
                  <w:tcW w:w="1136" w:type="dxa"/>
                  <w:vMerge w:val="continue"/>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109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洒水车</w:t>
                  </w:r>
                </w:p>
              </w:tc>
              <w:tc>
                <w:tcPr>
                  <w:tcW w:w="164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90</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1</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堆料区</w:t>
                  </w:r>
                </w:p>
              </w:tc>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流动源</w:t>
                  </w:r>
                </w:p>
              </w:tc>
              <w:tc>
                <w:tcPr>
                  <w:tcW w:w="1136" w:type="dxa"/>
                  <w:vMerge w:val="continue"/>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w:t>
                  </w:r>
                </w:p>
              </w:tc>
              <w:tc>
                <w:tcPr>
                  <w:tcW w:w="1098"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运输车辆</w:t>
                  </w:r>
                </w:p>
              </w:tc>
              <w:tc>
                <w:tcPr>
                  <w:tcW w:w="1642"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75</w:t>
                  </w:r>
                </w:p>
              </w:tc>
              <w:tc>
                <w:tcPr>
                  <w:tcW w:w="1135"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w:t>
                  </w:r>
                </w:p>
              </w:tc>
              <w:tc>
                <w:tcPr>
                  <w:tcW w:w="1135"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道路</w:t>
                  </w:r>
                </w:p>
              </w:tc>
              <w:tc>
                <w:tcPr>
                  <w:tcW w:w="1135"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流动源</w:t>
                  </w:r>
                </w:p>
              </w:tc>
              <w:tc>
                <w:tcPr>
                  <w:tcW w:w="1136" w:type="dxa"/>
                  <w:vMerge w:val="continue"/>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sz w:val="24"/>
                <w:szCs w:val="22"/>
              </w:rPr>
            </w:pPr>
            <w:r>
              <w:rPr>
                <w:rFonts w:hint="eastAsia"/>
                <w:sz w:val="24"/>
                <w:szCs w:val="22"/>
              </w:rPr>
              <w:t>（2）噪声预测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szCs w:val="22"/>
                <w:lang w:val="en-US" w:eastAsia="zh-CN"/>
              </w:rPr>
            </w:pPr>
            <w:r>
              <w:rPr>
                <w:rFonts w:hint="eastAsia"/>
                <w:sz w:val="24"/>
                <w:szCs w:val="22"/>
                <w:lang w:val="en-US" w:eastAsia="zh-CN"/>
              </w:rPr>
              <w:t>室外点声源对场界噪声预测点贡献值预测模式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4"/>
                <w:szCs w:val="22"/>
                <w:lang w:val="en-US" w:eastAsia="zh-CN"/>
              </w:rPr>
            </w:pPr>
            <w:r>
              <w:rPr>
                <w:rFonts w:hint="eastAsia"/>
                <w:position w:val="-14"/>
                <w:sz w:val="24"/>
                <w:szCs w:val="22"/>
                <w:lang w:val="en-US" w:eastAsia="zh-CN"/>
              </w:rPr>
              <w:object>
                <v:shape id="_x0000_i1033" o:spt="75" type="#_x0000_t75" style="height:19pt;width:247.95pt;" o:ole="t" filled="f" stroked="f" coordsize="21600,21600">
                  <v:path/>
                  <v:fill on="f" focussize="0,0"/>
                  <v:stroke on="f"/>
                  <v:imagedata r:id="rId27" embosscolor="#FFFFFF" o:title=""/>
                  <o:lock v:ext="edit" aspectratio="t"/>
                  <w10:wrap type="none"/>
                  <w10:anchorlock/>
                </v:shape>
                <o:OLEObject Type="Embed" ProgID="Equation.KSEE3" ShapeID="_x0000_i1033" DrawAspect="Content" ObjectID="_1468075733" r:id="rId26">
                  <o:LockedField>false</o:LockedField>
                </o:OLEObject>
              </w:objec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szCs w:val="22"/>
                <w:lang w:val="en-US" w:eastAsia="zh-CN"/>
              </w:rPr>
            </w:pPr>
            <w:r>
              <w:rPr>
                <w:rFonts w:hint="eastAsia"/>
                <w:sz w:val="24"/>
                <w:szCs w:val="22"/>
                <w:lang w:val="en-US" w:eastAsia="zh-CN"/>
              </w:rPr>
              <w:t>式中：L</w:t>
            </w:r>
            <w:r>
              <w:rPr>
                <w:rFonts w:hint="eastAsia"/>
                <w:sz w:val="24"/>
                <w:szCs w:val="22"/>
                <w:vertAlign w:val="subscript"/>
                <w:lang w:val="en-US" w:eastAsia="zh-CN"/>
              </w:rPr>
              <w:t>p</w:t>
            </w:r>
            <w:r>
              <w:rPr>
                <w:rFonts w:hint="eastAsia"/>
                <w:sz w:val="24"/>
                <w:szCs w:val="22"/>
                <w:lang w:val="en-US" w:eastAsia="zh-CN"/>
              </w:rPr>
              <w:t>(r)——预测点处声压级，dB；</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eastAsia"/>
                <w:sz w:val="24"/>
                <w:szCs w:val="22"/>
                <w:lang w:val="en-US" w:eastAsia="zh-CN"/>
              </w:rPr>
            </w:pPr>
            <w:r>
              <w:rPr>
                <w:rFonts w:hint="eastAsia"/>
                <w:sz w:val="24"/>
                <w:szCs w:val="22"/>
                <w:lang w:val="en-US" w:eastAsia="zh-CN"/>
              </w:rPr>
              <w:t>L</w:t>
            </w:r>
            <w:r>
              <w:rPr>
                <w:rFonts w:hint="eastAsia"/>
                <w:sz w:val="24"/>
                <w:szCs w:val="22"/>
                <w:vertAlign w:val="subscript"/>
                <w:lang w:val="en-US" w:eastAsia="zh-CN"/>
              </w:rPr>
              <w:t>p</w:t>
            </w:r>
            <w:r>
              <w:rPr>
                <w:rFonts w:hint="eastAsia"/>
                <w:sz w:val="24"/>
                <w:szCs w:val="22"/>
                <w:lang w:val="en-US" w:eastAsia="zh-CN"/>
              </w:rPr>
              <w:t>(r</w:t>
            </w:r>
            <w:r>
              <w:rPr>
                <w:rFonts w:hint="eastAsia"/>
                <w:sz w:val="24"/>
                <w:szCs w:val="22"/>
                <w:vertAlign w:val="subscript"/>
                <w:lang w:val="en-US" w:eastAsia="zh-CN"/>
              </w:rPr>
              <w:t>0</w:t>
            </w:r>
            <w:r>
              <w:rPr>
                <w:rFonts w:hint="eastAsia"/>
                <w:sz w:val="24"/>
                <w:szCs w:val="22"/>
                <w:lang w:val="en-US" w:eastAsia="zh-CN"/>
              </w:rPr>
              <w:t>)——参考位置r</w:t>
            </w:r>
            <w:r>
              <w:rPr>
                <w:rFonts w:hint="eastAsia"/>
                <w:sz w:val="24"/>
                <w:szCs w:val="22"/>
                <w:vertAlign w:val="subscript"/>
                <w:lang w:val="en-US" w:eastAsia="zh-CN"/>
              </w:rPr>
              <w:t>0</w:t>
            </w:r>
            <w:r>
              <w:rPr>
                <w:rFonts w:hint="eastAsia"/>
                <w:sz w:val="24"/>
                <w:szCs w:val="22"/>
                <w:lang w:val="en-US" w:eastAsia="zh-CN"/>
              </w:rPr>
              <w:t>处的声压级，dB；</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eastAsia"/>
                <w:sz w:val="24"/>
                <w:szCs w:val="22"/>
                <w:lang w:val="en-US" w:eastAsia="zh-CN"/>
              </w:rPr>
            </w:pPr>
            <w:r>
              <w:rPr>
                <w:rFonts w:hint="eastAsia"/>
                <w:sz w:val="24"/>
                <w:szCs w:val="22"/>
                <w:lang w:val="en-US" w:eastAsia="zh-CN"/>
              </w:rPr>
              <w:t>D</w:t>
            </w:r>
            <w:r>
              <w:rPr>
                <w:rFonts w:hint="eastAsia"/>
                <w:sz w:val="24"/>
                <w:szCs w:val="22"/>
                <w:vertAlign w:val="subscript"/>
                <w:lang w:val="en-US" w:eastAsia="zh-CN"/>
              </w:rPr>
              <w:t>C</w:t>
            </w:r>
            <w:r>
              <w:rPr>
                <w:rFonts w:hint="eastAsia"/>
                <w:sz w:val="24"/>
                <w:szCs w:val="22"/>
                <w:lang w:val="en-US" w:eastAsia="zh-CN"/>
              </w:rPr>
              <w:t>——指向性校正，它描述点声源的等效连续声压级与产生声功率级Lw的全向点声源在规定方向的声级的偏差程度，dB；</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eastAsia"/>
                <w:sz w:val="24"/>
                <w:szCs w:val="22"/>
                <w:lang w:val="en-US" w:eastAsia="zh-CN"/>
              </w:rPr>
            </w:pPr>
            <w:r>
              <w:rPr>
                <w:rFonts w:hint="eastAsia"/>
                <w:sz w:val="24"/>
                <w:szCs w:val="22"/>
                <w:lang w:val="en-US" w:eastAsia="zh-CN"/>
              </w:rPr>
              <w:t>A</w:t>
            </w:r>
            <w:r>
              <w:rPr>
                <w:rFonts w:hint="eastAsia"/>
                <w:sz w:val="24"/>
                <w:szCs w:val="22"/>
                <w:vertAlign w:val="subscript"/>
                <w:lang w:val="en-US" w:eastAsia="zh-CN"/>
              </w:rPr>
              <w:t>div</w:t>
            </w:r>
            <w:r>
              <w:rPr>
                <w:rFonts w:hint="eastAsia"/>
                <w:sz w:val="24"/>
                <w:szCs w:val="22"/>
                <w:lang w:val="en-US" w:eastAsia="zh-CN"/>
              </w:rPr>
              <w:t>——几何发散引起的衰减，dB；</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eastAsia"/>
                <w:sz w:val="24"/>
                <w:szCs w:val="22"/>
                <w:lang w:val="en-US" w:eastAsia="zh-CN"/>
              </w:rPr>
            </w:pPr>
            <w:r>
              <w:rPr>
                <w:rFonts w:hint="eastAsia"/>
                <w:sz w:val="24"/>
                <w:szCs w:val="22"/>
                <w:lang w:val="en-US" w:eastAsia="zh-CN"/>
              </w:rPr>
              <w:t>A</w:t>
            </w:r>
            <w:r>
              <w:rPr>
                <w:rFonts w:hint="eastAsia"/>
                <w:sz w:val="24"/>
                <w:szCs w:val="22"/>
                <w:vertAlign w:val="subscript"/>
                <w:lang w:val="en-US" w:eastAsia="zh-CN"/>
              </w:rPr>
              <w:t>atm</w:t>
            </w:r>
            <w:r>
              <w:rPr>
                <w:rFonts w:hint="eastAsia"/>
                <w:sz w:val="24"/>
                <w:szCs w:val="22"/>
                <w:lang w:val="en-US" w:eastAsia="zh-CN"/>
              </w:rPr>
              <w:t>——大气吸收引起的衰减，dB；</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eastAsia"/>
                <w:sz w:val="24"/>
                <w:szCs w:val="22"/>
                <w:lang w:val="en-US" w:eastAsia="zh-CN"/>
              </w:rPr>
            </w:pPr>
            <w:r>
              <w:rPr>
                <w:rFonts w:hint="eastAsia"/>
                <w:sz w:val="24"/>
                <w:szCs w:val="22"/>
                <w:lang w:val="en-US" w:eastAsia="zh-CN"/>
              </w:rPr>
              <w:t>A</w:t>
            </w:r>
            <w:r>
              <w:rPr>
                <w:rFonts w:hint="eastAsia"/>
                <w:sz w:val="24"/>
                <w:szCs w:val="22"/>
                <w:vertAlign w:val="subscript"/>
                <w:lang w:val="en-US" w:eastAsia="zh-CN"/>
              </w:rPr>
              <w:t>gr</w:t>
            </w:r>
            <w:r>
              <w:rPr>
                <w:rFonts w:hint="eastAsia"/>
                <w:sz w:val="24"/>
                <w:szCs w:val="22"/>
                <w:lang w:val="en-US" w:eastAsia="zh-CN"/>
              </w:rPr>
              <w:t>——地面效应引起的衰减，dB；</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eastAsia"/>
                <w:sz w:val="24"/>
                <w:szCs w:val="22"/>
                <w:lang w:val="en-US" w:eastAsia="zh-CN"/>
              </w:rPr>
            </w:pPr>
            <w:r>
              <w:rPr>
                <w:rFonts w:hint="eastAsia"/>
                <w:sz w:val="24"/>
                <w:szCs w:val="22"/>
                <w:lang w:val="en-US" w:eastAsia="zh-CN"/>
              </w:rPr>
              <w:t>A</w:t>
            </w:r>
            <w:r>
              <w:rPr>
                <w:rFonts w:hint="eastAsia"/>
                <w:sz w:val="24"/>
                <w:szCs w:val="22"/>
                <w:vertAlign w:val="subscript"/>
                <w:lang w:val="en-US" w:eastAsia="zh-CN"/>
              </w:rPr>
              <w:t>bar</w:t>
            </w:r>
            <w:r>
              <w:rPr>
                <w:rFonts w:hint="eastAsia"/>
                <w:sz w:val="24"/>
                <w:szCs w:val="22"/>
                <w:lang w:val="en-US" w:eastAsia="zh-CN"/>
              </w:rPr>
              <w:t>——障碍物屏蔽引起的衰减，dB；</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eastAsia"/>
                <w:sz w:val="24"/>
                <w:szCs w:val="22"/>
                <w:lang w:val="en-US" w:eastAsia="zh-CN"/>
              </w:rPr>
            </w:pPr>
            <w:r>
              <w:rPr>
                <w:rFonts w:hint="eastAsia"/>
                <w:sz w:val="24"/>
                <w:szCs w:val="22"/>
                <w:lang w:val="en-US" w:eastAsia="zh-CN"/>
              </w:rPr>
              <w:t>A</w:t>
            </w:r>
            <w:r>
              <w:rPr>
                <w:rFonts w:hint="eastAsia"/>
                <w:sz w:val="24"/>
                <w:szCs w:val="22"/>
                <w:vertAlign w:val="subscript"/>
                <w:lang w:val="en-US" w:eastAsia="zh-CN"/>
              </w:rPr>
              <w:t>misc</w:t>
            </w:r>
            <w:r>
              <w:rPr>
                <w:rFonts w:hint="eastAsia"/>
                <w:sz w:val="24"/>
                <w:szCs w:val="22"/>
                <w:lang w:val="en-US" w:eastAsia="zh-CN"/>
              </w:rPr>
              <w:t>——其他多方面效应引起的衰减，dB。</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sz w:val="24"/>
                <w:szCs w:val="22"/>
                <w:lang w:val="en-US" w:eastAsia="zh-CN"/>
              </w:rPr>
            </w:pPr>
            <w:r>
              <w:rPr>
                <w:rFonts w:hint="eastAsia"/>
                <w:sz w:val="24"/>
                <w:szCs w:val="22"/>
                <w:lang w:val="en-US" w:eastAsia="zh-CN"/>
              </w:rPr>
              <w:t>①几何发散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szCs w:val="22"/>
                <w:lang w:val="en-US" w:eastAsia="zh-CN"/>
              </w:rPr>
            </w:pPr>
            <w:r>
              <w:rPr>
                <w:rFonts w:hint="eastAsia"/>
                <w:sz w:val="24"/>
                <w:szCs w:val="22"/>
                <w:lang w:val="en-US" w:eastAsia="zh-CN"/>
              </w:rPr>
              <w:t>对于室外点声源，不考虑其指向性，几何发散衰减计算公式为：</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4"/>
                <w:szCs w:val="22"/>
                <w:lang w:val="en-US" w:eastAsia="zh-CN"/>
              </w:rPr>
            </w:pPr>
            <w:r>
              <w:rPr>
                <w:rFonts w:hint="eastAsia" w:eastAsia="宋体"/>
                <w:position w:val="-30"/>
                <w:lang w:eastAsia="zh-CN"/>
              </w:rPr>
              <w:object>
                <v:shape id="_x0000_i1034" o:spt="75" type="#_x0000_t75" style="height:34pt;width:129pt;" o:ole="t" filled="f" stroked="f" coordsize="21600,21600">
                  <v:path/>
                  <v:fill on="f" focussize="0,0"/>
                  <v:stroke on="f"/>
                  <v:imagedata r:id="rId29" embosscolor="#FFFFFF" o:title=""/>
                  <o:lock v:ext="edit" aspectratio="t"/>
                  <w10:wrap type="none"/>
                  <w10:anchorlock/>
                </v:shape>
                <o:OLEObject Type="Embed" ProgID="Equation.KSEE3" ShapeID="_x0000_i1034" DrawAspect="Content" ObjectID="_1468075734" r:id="rId28">
                  <o:LockedField>false</o:LockedField>
                </o:OLEObject>
              </w:objec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2"/>
                <w:lang w:val="en-US" w:eastAsia="zh-CN"/>
              </w:rPr>
            </w:pPr>
            <w:r>
              <w:rPr>
                <w:rFonts w:hint="eastAsia"/>
                <w:sz w:val="24"/>
                <w:szCs w:val="22"/>
                <w:lang w:val="en-US" w:eastAsia="zh-CN"/>
              </w:rPr>
              <w:t>式中：</w:t>
            </w:r>
            <w:r>
              <w:rPr>
                <w:rFonts w:hint="default" w:ascii="Times New Roman" w:hAnsi="Times New Roman" w:eastAsia="宋体" w:cs="Times New Roman"/>
                <w:sz w:val="24"/>
                <w:szCs w:val="22"/>
                <w:lang w:val="en-US" w:eastAsia="zh-CN"/>
              </w:rPr>
              <w:t>L</w:t>
            </w:r>
            <w:r>
              <w:rPr>
                <w:rFonts w:hint="default" w:ascii="Times New Roman" w:hAnsi="Times New Roman" w:eastAsia="宋体" w:cs="Times New Roman"/>
                <w:sz w:val="24"/>
                <w:szCs w:val="22"/>
                <w:vertAlign w:val="subscript"/>
                <w:lang w:val="en-US" w:eastAsia="zh-CN"/>
              </w:rPr>
              <w:t>p</w:t>
            </w:r>
            <w:r>
              <w:rPr>
                <w:rFonts w:hint="default" w:ascii="Times New Roman" w:hAnsi="Times New Roman" w:eastAsia="宋体" w:cs="Times New Roman"/>
                <w:sz w:val="24"/>
                <w:szCs w:val="22"/>
                <w:lang w:val="en-US" w:eastAsia="zh-CN"/>
              </w:rPr>
              <w:t>(r)——预测点处声压级，dB；</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Lp(r</w:t>
            </w:r>
            <w:r>
              <w:rPr>
                <w:rFonts w:hint="default" w:ascii="Times New Roman" w:hAnsi="Times New Roman" w:eastAsia="宋体" w:cs="Times New Roman"/>
                <w:sz w:val="24"/>
                <w:szCs w:val="22"/>
                <w:vertAlign w:val="subscript"/>
                <w:lang w:val="en-US" w:eastAsia="zh-CN"/>
              </w:rPr>
              <w:t>0</w:t>
            </w:r>
            <w:r>
              <w:rPr>
                <w:rFonts w:hint="default" w:ascii="Times New Roman" w:hAnsi="Times New Roman" w:eastAsia="宋体" w:cs="Times New Roman"/>
                <w:sz w:val="24"/>
                <w:szCs w:val="22"/>
                <w:lang w:val="en-US" w:eastAsia="zh-CN"/>
              </w:rPr>
              <w:t>)——参考位置r</w:t>
            </w:r>
            <w:r>
              <w:rPr>
                <w:rFonts w:hint="default" w:ascii="Times New Roman" w:hAnsi="Times New Roman" w:eastAsia="宋体" w:cs="Times New Roman"/>
                <w:sz w:val="24"/>
                <w:szCs w:val="22"/>
                <w:vertAlign w:val="subscript"/>
                <w:lang w:val="en-US" w:eastAsia="zh-CN"/>
              </w:rPr>
              <w:t>0</w:t>
            </w:r>
            <w:r>
              <w:rPr>
                <w:rFonts w:hint="default" w:ascii="Times New Roman" w:hAnsi="Times New Roman" w:eastAsia="宋体" w:cs="Times New Roman"/>
                <w:sz w:val="24"/>
                <w:szCs w:val="22"/>
                <w:lang w:val="en-US" w:eastAsia="zh-CN"/>
              </w:rPr>
              <w:t>处的声压级，dB；</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r——预测点距声源的距离；</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eastAsia"/>
                <w:sz w:val="24"/>
                <w:szCs w:val="22"/>
                <w:lang w:val="en-US" w:eastAsia="zh-CN"/>
              </w:rPr>
            </w:pPr>
            <w:r>
              <w:rPr>
                <w:rFonts w:hint="default" w:ascii="Times New Roman" w:hAnsi="Times New Roman" w:eastAsia="宋体" w:cs="Times New Roman"/>
                <w:sz w:val="24"/>
                <w:szCs w:val="22"/>
                <w:lang w:val="en-US" w:eastAsia="zh-CN"/>
              </w:rPr>
              <w:t>r</w:t>
            </w:r>
            <w:r>
              <w:rPr>
                <w:rFonts w:hint="default" w:ascii="Times New Roman" w:hAnsi="Times New Roman" w:eastAsia="宋体" w:cs="Times New Roman"/>
                <w:sz w:val="24"/>
                <w:szCs w:val="22"/>
                <w:vertAlign w:val="subscript"/>
                <w:lang w:val="en-US" w:eastAsia="zh-CN"/>
              </w:rPr>
              <w:t>0</w:t>
            </w:r>
            <w:r>
              <w:rPr>
                <w:rFonts w:hint="default" w:ascii="Times New Roman" w:hAnsi="Times New Roman" w:eastAsia="宋体" w:cs="Times New Roman"/>
                <w:sz w:val="24"/>
                <w:szCs w:val="22"/>
                <w:lang w:val="en-US" w:eastAsia="zh-CN"/>
              </w:rPr>
              <w:t>——参考位置距声源的距离。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sz w:val="24"/>
                <w:szCs w:val="22"/>
                <w:lang w:val="en-US" w:eastAsia="zh-CN"/>
              </w:rPr>
            </w:pPr>
            <w:r>
              <w:rPr>
                <w:rFonts w:hint="eastAsia"/>
                <w:sz w:val="24"/>
                <w:szCs w:val="22"/>
                <w:lang w:val="en-US" w:eastAsia="zh-CN"/>
              </w:rPr>
              <w:t>②空气吸收引起的衰减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szCs w:val="22"/>
                <w:lang w:val="en-US" w:eastAsia="zh-CN"/>
              </w:rPr>
            </w:pPr>
            <w:r>
              <w:rPr>
                <w:rFonts w:hint="eastAsia"/>
                <w:sz w:val="24"/>
                <w:szCs w:val="22"/>
                <w:lang w:val="en-US" w:eastAsia="zh-CN"/>
              </w:rPr>
              <w:t>遮挡物引起的衰减，只考虑各声源所在厂房围护结构的屏蔽效应，①中已计算，其他忽略不计。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sz w:val="24"/>
                <w:szCs w:val="22"/>
                <w:lang w:val="en-US" w:eastAsia="zh-CN"/>
              </w:rPr>
            </w:pPr>
            <w:r>
              <w:rPr>
                <w:rFonts w:hint="default"/>
                <w:sz w:val="24"/>
                <w:szCs w:val="22"/>
                <w:lang w:val="en-US" w:eastAsia="zh-CN"/>
              </w:rPr>
              <w:t>空气吸收引起的衰减按下式计算：</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sz w:val="24"/>
                <w:szCs w:val="22"/>
                <w:lang w:val="en-US" w:eastAsia="zh-CN"/>
              </w:rPr>
            </w:pPr>
            <w:r>
              <w:rPr>
                <w:rFonts w:hint="eastAsia"/>
                <w:position w:val="-12"/>
                <w:sz w:val="24"/>
                <w:szCs w:val="22"/>
                <w:lang w:val="en-US" w:eastAsia="zh-CN"/>
              </w:rPr>
              <w:object>
                <v:shape id="_x0000_i1035" o:spt="75" type="#_x0000_t75" style="height:18pt;width:110pt;" o:ole="t" filled="f" stroked="f" coordsize="21600,21600">
                  <v:path/>
                  <v:fill on="f" focussize="0,0"/>
                  <v:stroke on="f"/>
                  <v:imagedata r:id="rId31" embosscolor="#FFFFFF" o:title=""/>
                  <o:lock v:ext="edit" aspectratio="t"/>
                  <w10:wrap type="none"/>
                  <w10:anchorlock/>
                </v:shape>
                <o:OLEObject Type="Embed" ProgID="Equation.KSEE3" ShapeID="_x0000_i1035" DrawAspect="Content" ObjectID="_1468075735" r:id="rId30">
                  <o:LockedField>false</o:LockedField>
                </o:OLEObject>
              </w:objec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式中：r—预测点距声源的距离，m；</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r</w:t>
            </w:r>
            <w:r>
              <w:rPr>
                <w:rFonts w:hint="default" w:ascii="Times New Roman" w:hAnsi="Times New Roman" w:cs="Times New Roman"/>
                <w:sz w:val="24"/>
                <w:szCs w:val="22"/>
                <w:vertAlign w:val="subscript"/>
                <w:lang w:val="en-US" w:eastAsia="zh-CN"/>
              </w:rPr>
              <w:t>0</w:t>
            </w:r>
            <w:r>
              <w:rPr>
                <w:rFonts w:hint="default" w:ascii="Times New Roman" w:hAnsi="Times New Roman" w:cs="Times New Roman"/>
                <w:sz w:val="24"/>
                <w:szCs w:val="22"/>
                <w:lang w:val="en-US" w:eastAsia="zh-CN"/>
              </w:rPr>
              <w:t>—参考点距声源的距离，m；</w:t>
            </w:r>
          </w:p>
          <w:p>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eastAsia"/>
                <w:sz w:val="24"/>
                <w:szCs w:val="22"/>
                <w:lang w:val="en-US" w:eastAsia="zh-CN"/>
              </w:rPr>
            </w:pPr>
            <w:r>
              <w:rPr>
                <w:rFonts w:hint="default" w:ascii="Times New Roman" w:hAnsi="Times New Roman" w:cs="Times New Roman"/>
                <w:sz w:val="24"/>
                <w:szCs w:val="22"/>
                <w:lang w:val="en-US" w:eastAsia="zh-CN"/>
              </w:rPr>
              <w:t>α—每1000m空气吸收系数。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sz w:val="24"/>
                <w:szCs w:val="22"/>
                <w:lang w:val="en-US" w:eastAsia="zh-CN"/>
              </w:rPr>
            </w:pPr>
            <w:r>
              <w:rPr>
                <w:rFonts w:hint="eastAsia"/>
                <w:sz w:val="24"/>
                <w:szCs w:val="22"/>
                <w:lang w:val="en-US" w:eastAsia="zh-CN"/>
              </w:rPr>
              <w:t>③附加衰减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szCs w:val="22"/>
                <w:lang w:val="en-US" w:eastAsia="zh-CN"/>
              </w:rPr>
            </w:pPr>
            <w:r>
              <w:rPr>
                <w:rFonts w:hint="eastAsia"/>
                <w:sz w:val="24"/>
                <w:szCs w:val="22"/>
                <w:lang w:val="en-US" w:eastAsia="zh-CN"/>
              </w:rPr>
              <w:t>附加衰减包括声波传播过程中由于云、雾、温度梯度、风及地面效应引起的声能量衰减，本次评价中忽略不计。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sz w:val="24"/>
                <w:szCs w:val="22"/>
                <w:lang w:val="en-US" w:eastAsia="zh-CN"/>
              </w:rPr>
            </w:pPr>
            <w:r>
              <w:rPr>
                <w:rFonts w:hint="eastAsia"/>
                <w:sz w:val="24"/>
                <w:szCs w:val="22"/>
                <w:lang w:val="en-US" w:eastAsia="zh-CN"/>
              </w:rPr>
              <w:t>（3）预测及评价结果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本项目运营期的噪声主要来源于暂存场作业机械设备和运输车辆，新建项目以机械设备和运输车辆的贡献值作为预测值进行判定；场界噪声预测结果见</w:t>
            </w:r>
            <w:r>
              <w:rPr>
                <w:rFonts w:hint="eastAsia"/>
                <w:color w:val="auto"/>
                <w:sz w:val="24"/>
                <w:highlight w:val="none"/>
              </w:rPr>
              <w:t>表4-</w:t>
            </w:r>
            <w:r>
              <w:rPr>
                <w:rFonts w:hint="eastAsia"/>
                <w:color w:val="auto"/>
                <w:sz w:val="24"/>
                <w:highlight w:val="none"/>
                <w:lang w:val="en-US" w:eastAsia="zh-CN"/>
              </w:rPr>
              <w:t>7</w:t>
            </w:r>
            <w:r>
              <w:rPr>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4"/>
                <w:szCs w:val="24"/>
                <w:highlight w:val="none"/>
                <w:lang w:val="en-US" w:eastAsia="zh-CN"/>
              </w:rPr>
            </w:pPr>
            <w:r>
              <w:rPr>
                <w:b/>
                <w:color w:val="auto"/>
                <w:sz w:val="21"/>
                <w:szCs w:val="21"/>
                <w:highlight w:val="none"/>
              </w:rPr>
              <w:t>表</w:t>
            </w:r>
            <w:r>
              <w:rPr>
                <w:rFonts w:hint="eastAsia"/>
                <w:b/>
                <w:color w:val="auto"/>
                <w:sz w:val="21"/>
                <w:szCs w:val="21"/>
                <w:highlight w:val="none"/>
              </w:rPr>
              <w:t>4-</w:t>
            </w:r>
            <w:r>
              <w:rPr>
                <w:rFonts w:hint="eastAsia"/>
                <w:b/>
                <w:color w:val="auto"/>
                <w:sz w:val="21"/>
                <w:szCs w:val="21"/>
                <w:highlight w:val="none"/>
                <w:lang w:val="en-US" w:eastAsia="zh-CN"/>
              </w:rPr>
              <w:t>7 场</w:t>
            </w:r>
            <w:r>
              <w:rPr>
                <w:b/>
                <w:color w:val="auto"/>
                <w:sz w:val="21"/>
                <w:szCs w:val="21"/>
                <w:highlight w:val="none"/>
              </w:rPr>
              <w:t>界噪声预测值   dB（A）</w:t>
            </w:r>
          </w:p>
          <w:tbl>
            <w:tblPr>
              <w:tblStyle w:val="20"/>
              <w:tblW w:w="79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8"/>
              <w:gridCol w:w="2649"/>
              <w:gridCol w:w="26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48" w:type="dxa"/>
                  <w:vMerge w:val="restart"/>
                  <w:tcBorders>
                    <w:top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预测点</w:t>
                  </w:r>
                </w:p>
              </w:tc>
              <w:tc>
                <w:tcPr>
                  <w:tcW w:w="2649"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距离场界距离（m）</w:t>
                  </w:r>
                </w:p>
              </w:tc>
              <w:tc>
                <w:tcPr>
                  <w:tcW w:w="2649" w:type="dxa"/>
                  <w:tcBorders>
                    <w:top w:val="single" w:color="auto" w:sz="12"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48" w:type="dxa"/>
                  <w:vMerge w:val="continue"/>
                  <w:tcBorders>
                    <w:top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p>
              </w:tc>
              <w:tc>
                <w:tcPr>
                  <w:tcW w:w="2649" w:type="dxa"/>
                  <w:vMerge w:val="continue"/>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p>
              </w:tc>
              <w:tc>
                <w:tcPr>
                  <w:tcW w:w="2649" w:type="dxa"/>
                  <w:tcBorders>
                    <w:top w:val="single" w:color="auto" w:sz="4"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贡献值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48" w:type="dxa"/>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东场界</w:t>
                  </w:r>
                </w:p>
              </w:tc>
              <w:tc>
                <w:tcPr>
                  <w:tcW w:w="2649"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105.1</w:t>
                  </w:r>
                </w:p>
              </w:tc>
              <w:tc>
                <w:tcPr>
                  <w:tcW w:w="2649"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48"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南场界</w:t>
                  </w:r>
                </w:p>
              </w:tc>
              <w:tc>
                <w:tcPr>
                  <w:tcW w:w="264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95.4</w:t>
                  </w:r>
                </w:p>
              </w:tc>
              <w:tc>
                <w:tcPr>
                  <w:tcW w:w="2649"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48"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西场界</w:t>
                  </w:r>
                </w:p>
              </w:tc>
              <w:tc>
                <w:tcPr>
                  <w:tcW w:w="264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w:t>
                  </w:r>
                  <w:r>
                    <w:rPr>
                      <w:rFonts w:hint="eastAsia" w:ascii="Times New Roman" w:hAnsi="Times New Roman" w:eastAsia="宋体" w:cs="Times New Roman"/>
                      <w:color w:val="auto"/>
                      <w:kern w:val="0"/>
                      <w:sz w:val="21"/>
                      <w:szCs w:val="21"/>
                      <w:highlight w:val="none"/>
                      <w:vertAlign w:val="baseline"/>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4.6</w:t>
                  </w:r>
                </w:p>
              </w:tc>
              <w:tc>
                <w:tcPr>
                  <w:tcW w:w="2649"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48" w:type="dxa"/>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北场界</w:t>
                  </w:r>
                </w:p>
              </w:tc>
              <w:tc>
                <w:tcPr>
                  <w:tcW w:w="2649"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135.7</w:t>
                  </w:r>
                </w:p>
              </w:tc>
              <w:tc>
                <w:tcPr>
                  <w:tcW w:w="2649"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54.3</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根据表4-7可知：本项目投入使用后，经预测各点位噪声值昼间噪声排放均符合《工业企业厂界环境噪声排放标准》（GB12348-2008）</w:t>
            </w:r>
            <w:r>
              <w:rPr>
                <w:rFonts w:hint="eastAsia"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类区标准要求，另外由于夜间不进行</w:t>
            </w:r>
            <w:r>
              <w:rPr>
                <w:rFonts w:hint="eastAsia" w:ascii="Times New Roman" w:hAnsi="Times New Roman" w:eastAsia="宋体" w:cs="Times New Roman"/>
                <w:color w:val="auto"/>
                <w:kern w:val="0"/>
                <w:sz w:val="24"/>
                <w:szCs w:val="24"/>
                <w:highlight w:val="none"/>
                <w:lang w:val="en-US" w:eastAsia="zh-CN"/>
              </w:rPr>
              <w:t>堆料</w:t>
            </w:r>
            <w:r>
              <w:rPr>
                <w:rFonts w:hint="default" w:ascii="Times New Roman" w:hAnsi="Times New Roman" w:eastAsia="宋体" w:cs="Times New Roman"/>
                <w:color w:val="auto"/>
                <w:kern w:val="0"/>
                <w:sz w:val="24"/>
                <w:szCs w:val="24"/>
                <w:highlight w:val="none"/>
                <w:lang w:val="en-US" w:eastAsia="zh-CN"/>
              </w:rPr>
              <w:t>作业，夜间噪声值也满足标准要求。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本项目声环境影响评价范围200m内没有声环境保护目标，机械设备噪声对场址周围声环境影响微弱，本项目运营期设备噪声主要对场区工作人员影响较大，因此，要求加强对工作人员的个人防护，</w:t>
            </w:r>
            <w:r>
              <w:rPr>
                <w:rFonts w:hint="eastAsia" w:ascii="Times New Roman" w:hAnsi="Times New Roman" w:eastAsia="宋体" w:cs="Times New Roman"/>
                <w:color w:val="auto"/>
                <w:kern w:val="0"/>
                <w:sz w:val="24"/>
                <w:szCs w:val="24"/>
                <w:highlight w:val="none"/>
                <w:lang w:val="en-US" w:eastAsia="zh-CN"/>
              </w:rPr>
              <w:t>佩带</w:t>
            </w:r>
            <w:r>
              <w:rPr>
                <w:rFonts w:hint="default" w:ascii="Times New Roman" w:hAnsi="Times New Roman" w:eastAsia="宋体" w:cs="Times New Roman"/>
                <w:color w:val="auto"/>
                <w:kern w:val="0"/>
                <w:sz w:val="24"/>
                <w:szCs w:val="24"/>
                <w:highlight w:val="none"/>
                <w:lang w:val="en-US" w:eastAsia="zh-CN"/>
              </w:rPr>
              <w:t>耳塞、耳罩，以减轻噪声影响</w:t>
            </w:r>
            <w:r>
              <w:rPr>
                <w:rFonts w:hint="eastAsia" w:ascii="宋体" w:hAnsi="宋体" w:eastAsia="宋体" w:cs="宋体"/>
                <w:color w:val="auto"/>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3.2 噪声防治措施可行性分析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default" w:ascii="Times New Roman" w:hAnsi="Times New Roman" w:cs="Times New Roman"/>
                <w:bCs/>
                <w:spacing w:val="0"/>
                <w:sz w:val="24"/>
                <w:szCs w:val="24"/>
                <w:lang w:val="en-US" w:eastAsia="zh-CN"/>
              </w:rPr>
              <w:t>本项目</w:t>
            </w:r>
            <w:r>
              <w:rPr>
                <w:rFonts w:hint="eastAsia" w:ascii="Times New Roman" w:hAnsi="Times New Roman" w:cs="Times New Roman"/>
                <w:bCs/>
                <w:spacing w:val="0"/>
                <w:sz w:val="24"/>
                <w:szCs w:val="24"/>
                <w:lang w:val="en-US" w:eastAsia="zh-CN"/>
              </w:rPr>
              <w:t>建筑垃圾暂存场</w:t>
            </w:r>
            <w:r>
              <w:rPr>
                <w:rFonts w:hint="default" w:ascii="Times New Roman" w:hAnsi="Times New Roman" w:cs="Times New Roman"/>
                <w:bCs/>
                <w:spacing w:val="0"/>
                <w:sz w:val="24"/>
                <w:szCs w:val="24"/>
                <w:lang w:val="en-US" w:eastAsia="zh-CN"/>
              </w:rPr>
              <w:t>的主要噪声源为</w:t>
            </w:r>
            <w:r>
              <w:rPr>
                <w:rFonts w:hint="eastAsia" w:ascii="Times New Roman" w:hAnsi="Times New Roman" w:cs="Times New Roman"/>
                <w:bCs/>
                <w:spacing w:val="0"/>
                <w:sz w:val="24"/>
                <w:szCs w:val="24"/>
                <w:lang w:val="en-US" w:eastAsia="zh-CN"/>
              </w:rPr>
              <w:t>运输车辆噪声及</w:t>
            </w:r>
            <w:r>
              <w:rPr>
                <w:rFonts w:hint="default" w:ascii="Times New Roman" w:hAnsi="Times New Roman" w:cs="Times New Roman"/>
                <w:bCs/>
                <w:spacing w:val="0"/>
                <w:sz w:val="24"/>
                <w:szCs w:val="24"/>
                <w:lang w:val="en-US" w:eastAsia="zh-CN"/>
              </w:rPr>
              <w:t>推土机、压实机等</w:t>
            </w:r>
            <w:r>
              <w:rPr>
                <w:rFonts w:hint="eastAsia" w:ascii="Times New Roman" w:hAnsi="Times New Roman" w:cs="Times New Roman"/>
                <w:bCs/>
                <w:spacing w:val="0"/>
                <w:sz w:val="24"/>
                <w:szCs w:val="24"/>
                <w:lang w:val="en-US" w:eastAsia="zh-CN"/>
              </w:rPr>
              <w:t>堆料区</w:t>
            </w:r>
            <w:r>
              <w:rPr>
                <w:rFonts w:hint="default" w:ascii="Times New Roman" w:hAnsi="Times New Roman" w:cs="Times New Roman"/>
                <w:bCs/>
                <w:spacing w:val="0"/>
                <w:sz w:val="24"/>
                <w:szCs w:val="24"/>
                <w:lang w:val="en-US" w:eastAsia="zh-CN"/>
              </w:rPr>
              <w:t>作业机械流动噪声。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default" w:ascii="Times New Roman" w:hAnsi="Times New Roman" w:cs="Times New Roman"/>
                <w:bCs/>
                <w:spacing w:val="0"/>
                <w:sz w:val="24"/>
                <w:szCs w:val="24"/>
                <w:lang w:val="en-US" w:eastAsia="zh-CN"/>
              </w:rPr>
              <w:t>通过采用先进的低噪声机械，并通过加强管理、及时维护保养，使作业机械保持良好的工况等从源头控制。且同时采用如下措施：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①</w:t>
            </w:r>
            <w:r>
              <w:rPr>
                <w:rFonts w:hint="default" w:ascii="Times New Roman" w:hAnsi="Times New Roman" w:cs="Times New Roman"/>
                <w:bCs/>
                <w:spacing w:val="0"/>
                <w:sz w:val="24"/>
                <w:szCs w:val="24"/>
                <w:lang w:val="en-US" w:eastAsia="zh-CN"/>
              </w:rPr>
              <w:t>坚持源头把关的原则，对各种</w:t>
            </w:r>
            <w:r>
              <w:rPr>
                <w:rFonts w:hint="eastAsia" w:cs="Times New Roman"/>
                <w:bCs/>
                <w:spacing w:val="0"/>
                <w:sz w:val="24"/>
                <w:szCs w:val="24"/>
                <w:lang w:val="en-US" w:eastAsia="zh-CN"/>
              </w:rPr>
              <w:t>堆存</w:t>
            </w:r>
            <w:r>
              <w:rPr>
                <w:rFonts w:hint="default" w:ascii="Times New Roman" w:hAnsi="Times New Roman" w:cs="Times New Roman"/>
                <w:bCs/>
                <w:spacing w:val="0"/>
                <w:sz w:val="24"/>
                <w:szCs w:val="24"/>
                <w:lang w:val="en-US" w:eastAsia="zh-CN"/>
              </w:rPr>
              <w:t>机械设备购置时，除满足工艺要求外，还必须考虑其具有良好的声学特征</w:t>
            </w:r>
            <w:r>
              <w:rPr>
                <w:rFonts w:hint="eastAsia" w:ascii="Times New Roman" w:hAnsi="Times New Roman" w:cs="Times New Roman"/>
                <w:bCs/>
                <w:spacing w:val="0"/>
                <w:sz w:val="24"/>
                <w:szCs w:val="24"/>
                <w:lang w:val="en-US" w:eastAsia="zh-CN"/>
              </w:rPr>
              <w:t>（</w:t>
            </w:r>
            <w:r>
              <w:rPr>
                <w:rFonts w:hint="default" w:ascii="Times New Roman" w:hAnsi="Times New Roman" w:cs="Times New Roman"/>
                <w:bCs/>
                <w:spacing w:val="0"/>
                <w:sz w:val="24"/>
                <w:szCs w:val="24"/>
                <w:lang w:val="en-US" w:eastAsia="zh-CN"/>
              </w:rPr>
              <w:t>高效低噪</w:t>
            </w:r>
            <w:r>
              <w:rPr>
                <w:rFonts w:hint="eastAsia" w:ascii="Times New Roman" w:hAnsi="Times New Roman" w:cs="Times New Roman"/>
                <w:bCs/>
                <w:spacing w:val="0"/>
                <w:sz w:val="24"/>
                <w:szCs w:val="24"/>
                <w:lang w:val="en-US" w:eastAsia="zh-CN"/>
              </w:rPr>
              <w:t>）</w:t>
            </w:r>
            <w:r>
              <w:rPr>
                <w:rFonts w:hint="default" w:ascii="Times New Roman" w:hAnsi="Times New Roman" w:cs="Times New Roman"/>
                <w:bCs/>
                <w:spacing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②</w:t>
            </w:r>
            <w:r>
              <w:rPr>
                <w:rFonts w:hint="default" w:ascii="Times New Roman" w:hAnsi="Times New Roman" w:cs="Times New Roman"/>
                <w:bCs/>
                <w:spacing w:val="0"/>
                <w:sz w:val="24"/>
                <w:szCs w:val="24"/>
                <w:lang w:val="en-US" w:eastAsia="zh-CN"/>
              </w:rPr>
              <w:t>建筑垃圾运输路面主要为水泥或混凝土路面。本项目禁止夜间及午休时间进行运输，在厂区内部运输过程中禁止鸣笛，车辆需减速慢行，车辆运输过程中采用篷布遮盖。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③</w:t>
            </w:r>
            <w:r>
              <w:rPr>
                <w:rFonts w:hint="default" w:ascii="Times New Roman" w:hAnsi="Times New Roman" w:cs="Times New Roman"/>
                <w:bCs/>
                <w:spacing w:val="0"/>
                <w:sz w:val="24"/>
                <w:szCs w:val="24"/>
                <w:lang w:val="en-US" w:eastAsia="zh-CN"/>
              </w:rPr>
              <w:t>对无法采取措施的作业场所，工作时操作人员</w:t>
            </w:r>
            <w:r>
              <w:rPr>
                <w:rFonts w:hint="eastAsia" w:ascii="Times New Roman" w:hAnsi="Times New Roman" w:cs="Times New Roman"/>
                <w:bCs/>
                <w:spacing w:val="0"/>
                <w:sz w:val="24"/>
                <w:szCs w:val="24"/>
                <w:lang w:val="en-US" w:eastAsia="zh-CN"/>
              </w:rPr>
              <w:t>佩戴</w:t>
            </w:r>
            <w:r>
              <w:rPr>
                <w:rFonts w:hint="default" w:ascii="Times New Roman" w:hAnsi="Times New Roman" w:cs="Times New Roman"/>
                <w:bCs/>
                <w:spacing w:val="0"/>
                <w:sz w:val="24"/>
                <w:szCs w:val="24"/>
                <w:lang w:val="en-US" w:eastAsia="zh-CN"/>
              </w:rPr>
              <w:t>耳塞、耳罩和头盔等个人防护用品。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④</w:t>
            </w:r>
            <w:r>
              <w:rPr>
                <w:rFonts w:hint="default" w:ascii="Times New Roman" w:hAnsi="Times New Roman" w:cs="Times New Roman"/>
                <w:bCs/>
                <w:spacing w:val="0"/>
                <w:sz w:val="24"/>
                <w:szCs w:val="24"/>
                <w:lang w:val="en-US" w:eastAsia="zh-CN"/>
              </w:rPr>
              <w:t>加强设备的日常维护保养，防止出现因机器不正常运转造成噪声值异常升高的问题；对进出车辆加强管理，限制车速，禁鸣喇叭；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⑤</w:t>
            </w:r>
            <w:r>
              <w:rPr>
                <w:rFonts w:hint="default" w:ascii="Times New Roman" w:hAnsi="Times New Roman" w:cs="Times New Roman"/>
                <w:bCs/>
                <w:spacing w:val="0"/>
                <w:sz w:val="24"/>
                <w:szCs w:val="24"/>
                <w:lang w:val="en-US" w:eastAsia="zh-CN"/>
              </w:rPr>
              <w:t>针对场区运输车辆所产生的交通噪声，采取限制超载、定期保养车辆、场区紧按喇叭等措施。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本项目车辆运输噪声相对外环境较开阔，周边声环境不敏感，不会给环境带来不利影响。机械设备噪声经距离衰减后，不会对堆料区及其附近区域声环境造成明显影响。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综上分析可知，项目运营期噪声不会给声环境带来不良影响，其防治措施具有经济技术可行性。</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3.3 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sz w:val="24"/>
                <w:szCs w:val="24"/>
                <w:lang w:val="en-US" w:eastAsia="zh-CN"/>
              </w:rPr>
              <w:t>根据《排污单位自行监测技术指南 总则》（HJ819-2017），本项目</w:t>
            </w:r>
            <w:r>
              <w:rPr>
                <w:rFonts w:hint="eastAsia"/>
                <w:sz w:val="24"/>
                <w:szCs w:val="24"/>
              </w:rPr>
              <w:t>运营期</w:t>
            </w:r>
            <w:r>
              <w:rPr>
                <w:rFonts w:hint="eastAsia"/>
                <w:sz w:val="24"/>
                <w:szCs w:val="24"/>
                <w:lang w:val="en-US" w:eastAsia="zh-CN"/>
              </w:rPr>
              <w:t>噪声</w:t>
            </w:r>
            <w:r>
              <w:rPr>
                <w:rFonts w:hint="eastAsia"/>
                <w:sz w:val="24"/>
                <w:szCs w:val="24"/>
              </w:rPr>
              <w:t>监测计划见下表。</w:t>
            </w:r>
          </w:p>
          <w:p>
            <w:pPr>
              <w:keepNext w:val="0"/>
              <w:keepLines w:val="0"/>
              <w:pageBreakBefore w:val="0"/>
              <w:widowControl w:val="0"/>
              <w:kinsoku/>
              <w:wordWrap/>
              <w:overflowPunct/>
              <w:topLinePunct w:val="0"/>
              <w:autoSpaceDE w:val="0"/>
              <w:autoSpaceDN w:val="0"/>
              <w:bidi w:val="0"/>
              <w:spacing w:line="360" w:lineRule="auto"/>
              <w:ind w:firstLine="480" w:firstLineChars="200"/>
              <w:jc w:val="left"/>
              <w:textAlignment w:val="baseline"/>
              <w:rPr>
                <w:rFonts w:hint="eastAsia"/>
                <w:sz w:val="24"/>
                <w:szCs w:val="32"/>
              </w:rPr>
            </w:pPr>
            <w:r>
              <w:rPr>
                <w:rFonts w:hint="eastAsia"/>
                <w:sz w:val="24"/>
                <w:szCs w:val="32"/>
              </w:rPr>
              <w:t>噪声运营期噪声监测计划见下表。</w:t>
            </w:r>
          </w:p>
          <w:p>
            <w:pPr>
              <w:adjustRightInd w:val="0"/>
              <w:snapToGrid w:val="0"/>
              <w:jc w:val="center"/>
              <w:rPr>
                <w:b/>
                <w:bCs/>
              </w:rPr>
            </w:pPr>
            <w:r>
              <w:rPr>
                <w:b/>
                <w:bCs/>
              </w:rPr>
              <w:t>表</w:t>
            </w:r>
            <w:r>
              <w:rPr>
                <w:rFonts w:hint="eastAsia"/>
                <w:b/>
                <w:bCs/>
                <w:lang w:val="en-US" w:eastAsia="zh-CN"/>
              </w:rPr>
              <w:t xml:space="preserve">4-8    </w:t>
            </w:r>
            <w:r>
              <w:rPr>
                <w:b/>
                <w:bCs/>
              </w:rPr>
              <w:t>项目营运期监测计划一览表</w:t>
            </w:r>
          </w:p>
          <w:tbl>
            <w:tblPr>
              <w:tblStyle w:val="2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2492"/>
              <w:gridCol w:w="2009"/>
              <w:gridCol w:w="2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346" w:type="dxa"/>
                  <w:vAlign w:val="center"/>
                </w:tcPr>
                <w:p>
                  <w:pPr>
                    <w:adjustRightInd w:val="0"/>
                    <w:snapToGrid w:val="0"/>
                    <w:jc w:val="center"/>
                    <w:rPr>
                      <w:sz w:val="21"/>
                      <w:szCs w:val="21"/>
                    </w:rPr>
                  </w:pPr>
                  <w:r>
                    <w:rPr>
                      <w:sz w:val="21"/>
                      <w:szCs w:val="21"/>
                    </w:rPr>
                    <w:t>类别</w:t>
                  </w:r>
                </w:p>
              </w:tc>
              <w:tc>
                <w:tcPr>
                  <w:tcW w:w="2492" w:type="dxa"/>
                  <w:vAlign w:val="center"/>
                </w:tcPr>
                <w:p>
                  <w:pPr>
                    <w:adjustRightInd w:val="0"/>
                    <w:snapToGrid w:val="0"/>
                    <w:jc w:val="center"/>
                    <w:rPr>
                      <w:sz w:val="21"/>
                      <w:szCs w:val="21"/>
                    </w:rPr>
                  </w:pPr>
                  <w:r>
                    <w:rPr>
                      <w:sz w:val="21"/>
                      <w:szCs w:val="21"/>
                    </w:rPr>
                    <w:t>监测点位</w:t>
                  </w:r>
                </w:p>
              </w:tc>
              <w:tc>
                <w:tcPr>
                  <w:tcW w:w="2009" w:type="dxa"/>
                  <w:vAlign w:val="center"/>
                </w:tcPr>
                <w:p>
                  <w:pPr>
                    <w:adjustRightInd w:val="0"/>
                    <w:snapToGrid w:val="0"/>
                    <w:jc w:val="center"/>
                    <w:rPr>
                      <w:sz w:val="21"/>
                      <w:szCs w:val="21"/>
                    </w:rPr>
                  </w:pPr>
                  <w:r>
                    <w:rPr>
                      <w:sz w:val="21"/>
                      <w:szCs w:val="21"/>
                    </w:rPr>
                    <w:t>监测因子</w:t>
                  </w:r>
                </w:p>
              </w:tc>
              <w:tc>
                <w:tcPr>
                  <w:tcW w:w="2097" w:type="dxa"/>
                  <w:vAlign w:val="center"/>
                </w:tcPr>
                <w:p>
                  <w:pPr>
                    <w:adjustRightInd w:val="0"/>
                    <w:snapToGrid w:val="0"/>
                    <w:jc w:val="center"/>
                    <w:rPr>
                      <w:sz w:val="21"/>
                      <w:szCs w:val="21"/>
                    </w:rPr>
                  </w:pPr>
                  <w:r>
                    <w:rPr>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6" w:type="dxa"/>
                  <w:vAlign w:val="center"/>
                </w:tcPr>
                <w:p>
                  <w:pPr>
                    <w:widowControl/>
                    <w:adjustRightInd w:val="0"/>
                    <w:snapToGrid w:val="0"/>
                    <w:jc w:val="center"/>
                    <w:rPr>
                      <w:sz w:val="21"/>
                      <w:szCs w:val="21"/>
                    </w:rPr>
                  </w:pPr>
                  <w:r>
                    <w:rPr>
                      <w:sz w:val="21"/>
                      <w:szCs w:val="21"/>
                    </w:rPr>
                    <w:t>噪声</w:t>
                  </w:r>
                </w:p>
              </w:tc>
              <w:tc>
                <w:tcPr>
                  <w:tcW w:w="2492" w:type="dxa"/>
                  <w:vAlign w:val="center"/>
                </w:tcPr>
                <w:p>
                  <w:pPr>
                    <w:widowControl/>
                    <w:adjustRightInd w:val="0"/>
                    <w:snapToGrid w:val="0"/>
                    <w:jc w:val="center"/>
                    <w:rPr>
                      <w:rFonts w:hint="default" w:eastAsia="宋体"/>
                      <w:sz w:val="21"/>
                      <w:szCs w:val="21"/>
                      <w:lang w:val="en-US" w:eastAsia="zh-CN"/>
                    </w:rPr>
                  </w:pPr>
                  <w:r>
                    <w:rPr>
                      <w:rFonts w:hint="eastAsia"/>
                      <w:sz w:val="21"/>
                      <w:szCs w:val="21"/>
                      <w:lang w:val="en-US" w:eastAsia="zh-CN"/>
                    </w:rPr>
                    <w:t>厂界四周</w:t>
                  </w:r>
                </w:p>
              </w:tc>
              <w:tc>
                <w:tcPr>
                  <w:tcW w:w="2009" w:type="dxa"/>
                  <w:vAlign w:val="center"/>
                </w:tcPr>
                <w:p>
                  <w:pPr>
                    <w:widowControl/>
                    <w:adjustRightInd w:val="0"/>
                    <w:snapToGrid w:val="0"/>
                    <w:jc w:val="center"/>
                    <w:rPr>
                      <w:sz w:val="21"/>
                      <w:szCs w:val="21"/>
                    </w:rPr>
                  </w:pPr>
                  <w:r>
                    <w:rPr>
                      <w:sz w:val="21"/>
                      <w:szCs w:val="21"/>
                    </w:rPr>
                    <w:t>连续等效A声级</w:t>
                  </w:r>
                </w:p>
              </w:tc>
              <w:tc>
                <w:tcPr>
                  <w:tcW w:w="2097" w:type="dxa"/>
                  <w:vAlign w:val="center"/>
                </w:tcPr>
                <w:p>
                  <w:pPr>
                    <w:widowControl/>
                    <w:adjustRightInd w:val="0"/>
                    <w:snapToGrid w:val="0"/>
                    <w:jc w:val="center"/>
                    <w:rPr>
                      <w:rFonts w:hint="default" w:eastAsia="宋体"/>
                      <w:sz w:val="21"/>
                      <w:szCs w:val="21"/>
                      <w:lang w:val="en-US" w:eastAsia="zh-CN"/>
                    </w:rPr>
                  </w:pPr>
                  <w:r>
                    <w:rPr>
                      <w:rFonts w:hint="eastAsia"/>
                      <w:sz w:val="21"/>
                      <w:szCs w:val="21"/>
                      <w:lang w:val="en-US" w:eastAsia="zh-CN"/>
                    </w:rPr>
                    <w:t>每年一次</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4 固体废物环境影响和保护措施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本项目产生的固体废物主要为职工人员产生的生活垃圾、化粪池及雨水渗水</w:t>
            </w:r>
            <w:r>
              <w:rPr>
                <w:rFonts w:hint="eastAsia" w:cs="Times New Roman"/>
                <w:bCs/>
                <w:spacing w:val="0"/>
                <w:sz w:val="24"/>
                <w:szCs w:val="24"/>
                <w:lang w:val="en-US" w:eastAsia="zh-CN"/>
              </w:rPr>
              <w:t>沉淀池</w:t>
            </w:r>
            <w:r>
              <w:rPr>
                <w:rFonts w:hint="eastAsia" w:ascii="Times New Roman" w:hAnsi="Times New Roman" w:cs="Times New Roman"/>
                <w:bCs/>
                <w:spacing w:val="0"/>
                <w:sz w:val="24"/>
                <w:szCs w:val="24"/>
                <w:lang w:val="en-US" w:eastAsia="zh-CN"/>
              </w:rPr>
              <w:t>产生的污泥。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szCs w:val="24"/>
                <w:lang w:val="en-US" w:eastAsia="zh-CN"/>
              </w:rPr>
            </w:pPr>
            <w:r>
              <w:rPr>
                <w:rFonts w:hint="eastAsia" w:ascii="Times New Roman" w:hAnsi="Times New Roman" w:cs="Times New Roman"/>
                <w:bCs/>
                <w:spacing w:val="0"/>
                <w:sz w:val="24"/>
                <w:szCs w:val="24"/>
                <w:lang w:val="en-US" w:eastAsia="zh-CN"/>
              </w:rPr>
              <w:t>（1）生活垃圾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color w:val="auto"/>
                <w:spacing w:val="0"/>
                <w:sz w:val="24"/>
                <w:szCs w:val="24"/>
                <w:lang w:val="en-US" w:eastAsia="zh-CN"/>
              </w:rPr>
            </w:pPr>
            <w:r>
              <w:rPr>
                <w:rFonts w:hint="eastAsia" w:ascii="Times New Roman" w:hAnsi="Times New Roman" w:cs="Times New Roman"/>
                <w:bCs/>
                <w:color w:val="auto"/>
                <w:spacing w:val="0"/>
                <w:sz w:val="24"/>
                <w:szCs w:val="24"/>
                <w:lang w:val="en-US" w:eastAsia="zh-CN"/>
              </w:rPr>
              <w:t>本项目垃圾中转站年运营天数250天，垃圾中转站劳动定员10人，生活垃圾按0.5kg/人·天计，则项目生活垃圾产生量1.25t/a。项目产生的生活垃圾经收集后</w:t>
            </w:r>
            <w:r>
              <w:rPr>
                <w:rFonts w:hint="eastAsia" w:cs="Times New Roman"/>
                <w:bCs/>
                <w:color w:val="auto"/>
                <w:spacing w:val="0"/>
                <w:sz w:val="24"/>
                <w:szCs w:val="24"/>
                <w:lang w:val="en-US" w:eastAsia="zh-CN"/>
              </w:rPr>
              <w:t>委托环卫部门定期清运</w:t>
            </w:r>
            <w:r>
              <w:rPr>
                <w:rFonts w:hint="eastAsia" w:ascii="Times New Roman" w:hAnsi="Times New Roman" w:cs="Times New Roman"/>
                <w:bCs/>
                <w:color w:val="auto"/>
                <w:spacing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（2）污泥</w:t>
            </w:r>
          </w:p>
          <w:p>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504" w:firstLineChars="200"/>
              <w:textAlignment w:val="auto"/>
              <w:rPr>
                <w:rFonts w:hint="eastAsia" w:ascii="Times New Roman" w:hAnsi="Times New Roman" w:eastAsia="宋体" w:cs="Times New Roman"/>
                <w:b w:val="0"/>
                <w:bCs w:val="0"/>
                <w:color w:val="auto"/>
                <w:spacing w:val="6"/>
                <w:kern w:val="2"/>
                <w:sz w:val="24"/>
                <w:szCs w:val="24"/>
                <w:highlight w:val="none"/>
                <w:vertAlign w:val="baseline"/>
                <w:lang w:val="en-US" w:eastAsia="zh-CN" w:bidi="ar-SA"/>
              </w:rPr>
            </w:pPr>
            <w:bookmarkStart w:id="10" w:name="_Toc23863"/>
            <w:bookmarkStart w:id="11" w:name="_Toc8618"/>
            <w:bookmarkStart w:id="12" w:name="_Toc30690"/>
            <w:r>
              <w:rPr>
                <w:rFonts w:hint="eastAsia" w:ascii="Times New Roman" w:hAnsi="Times New Roman" w:eastAsia="宋体" w:cs="Times New Roman"/>
                <w:b w:val="0"/>
                <w:bCs w:val="0"/>
                <w:color w:val="auto"/>
                <w:spacing w:val="6"/>
                <w:kern w:val="2"/>
                <w:sz w:val="24"/>
                <w:szCs w:val="24"/>
                <w:highlight w:val="none"/>
                <w:vertAlign w:val="baseline"/>
                <w:lang w:val="en-US" w:eastAsia="zh-CN" w:bidi="ar-SA"/>
              </w:rPr>
              <w:t>本项目化粪池及雨水渗水</w:t>
            </w:r>
            <w:r>
              <w:rPr>
                <w:rFonts w:hint="eastAsia" w:eastAsia="宋体" w:cs="Times New Roman"/>
                <w:b w:val="0"/>
                <w:bCs w:val="0"/>
                <w:color w:val="auto"/>
                <w:spacing w:val="6"/>
                <w:kern w:val="2"/>
                <w:sz w:val="24"/>
                <w:szCs w:val="24"/>
                <w:highlight w:val="none"/>
                <w:vertAlign w:val="baseline"/>
                <w:lang w:val="en-US" w:eastAsia="zh-CN" w:bidi="ar-SA"/>
              </w:rPr>
              <w:t>沉淀</w:t>
            </w:r>
            <w:r>
              <w:rPr>
                <w:rFonts w:hint="eastAsia" w:ascii="Times New Roman" w:hAnsi="Times New Roman" w:eastAsia="宋体" w:cs="Times New Roman"/>
                <w:b w:val="0"/>
                <w:bCs w:val="0"/>
                <w:color w:val="auto"/>
                <w:spacing w:val="6"/>
                <w:kern w:val="2"/>
                <w:sz w:val="24"/>
                <w:szCs w:val="24"/>
                <w:highlight w:val="none"/>
                <w:vertAlign w:val="baseline"/>
                <w:lang w:val="en-US" w:eastAsia="zh-CN" w:bidi="ar-SA"/>
              </w:rPr>
              <w:t>池长时间使用会产生一定的污泥，根据《排污许可证申请与核发技术规范-水处理（试行）》（HJ978-2018）中污泥量计算公式：</w:t>
            </w:r>
            <w:bookmarkEnd w:id="10"/>
            <w:bookmarkEnd w:id="11"/>
            <w:bookmarkEnd w:id="12"/>
          </w:p>
          <w:p>
            <w:pPr>
              <w:spacing w:line="360" w:lineRule="auto"/>
              <w:jc w:val="center"/>
              <w:rPr>
                <w:rFonts w:hint="default"/>
                <w:lang w:val="en-US" w:eastAsia="zh-CN"/>
              </w:rPr>
            </w:pPr>
            <w:r>
              <w:rPr>
                <w:rFonts w:hint="default"/>
                <w:position w:val="-14"/>
                <w:lang w:val="en-US" w:eastAsia="zh-CN"/>
              </w:rPr>
              <w:object>
                <v:shape id="_x0000_i1036" o:spt="75" type="#_x0000_t75" style="height:23.6pt;width:155.65pt;" o:ole="t" filled="f" stroked="f" coordsize="21600,21600">
                  <v:path/>
                  <v:fill on="f" focussize="0,0"/>
                  <v:stroke on="f"/>
                  <v:imagedata r:id="rId33" embosscolor="#FFFFFF" o:title=""/>
                  <o:lock v:ext="edit" aspectratio="t"/>
                  <w10:wrap type="none"/>
                  <w10:anchorlock/>
                </v:shape>
                <o:OLEObject Type="Embed" ProgID="Equation.KSEE3" ShapeID="_x0000_i1036" DrawAspect="Content" ObjectID="_1468075736" r:id="rId3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highlight w:val="none"/>
                <w:vertAlign w:val="baseline"/>
                <w:lang w:val="en-US" w:eastAsia="zh-CN" w:bidi="ar-SA"/>
              </w:rPr>
            </w:pPr>
            <w:r>
              <w:rPr>
                <w:rFonts w:hint="default" w:ascii="Times New Roman" w:hAnsi="Times New Roman" w:cs="Times New Roman"/>
                <w:color w:val="auto"/>
                <w:spacing w:val="0"/>
                <w:sz w:val="24"/>
                <w:szCs w:val="24"/>
                <w:lang w:val="en-US" w:eastAsia="zh-CN"/>
              </w:rPr>
              <w:t>式中：</w:t>
            </w:r>
            <w:r>
              <w:rPr>
                <w:rFonts w:hint="eastAsia" w:ascii="Times New Roman" w:hAnsi="Times New Roman" w:eastAsia="宋体" w:cs="Times New Roman"/>
                <w:color w:val="auto"/>
                <w:spacing w:val="0"/>
                <w:kern w:val="2"/>
                <w:sz w:val="24"/>
                <w:szCs w:val="24"/>
                <w:highlight w:val="none"/>
                <w:lang w:val="en-US" w:eastAsia="zh-CN" w:bidi="ar-SA"/>
              </w:rPr>
              <w:t>E</w:t>
            </w:r>
            <w:r>
              <w:rPr>
                <w:rFonts w:hint="eastAsia" w:ascii="Times New Roman" w:hAnsi="Times New Roman" w:eastAsia="宋体" w:cs="Times New Roman"/>
                <w:color w:val="auto"/>
                <w:spacing w:val="0"/>
                <w:kern w:val="2"/>
                <w:sz w:val="24"/>
                <w:szCs w:val="24"/>
                <w:highlight w:val="none"/>
                <w:vertAlign w:val="subscript"/>
                <w:lang w:val="en-US" w:eastAsia="zh-CN" w:bidi="ar-SA"/>
              </w:rPr>
              <w:t>产生量</w:t>
            </w:r>
            <w:r>
              <w:rPr>
                <w:rFonts w:hint="default" w:ascii="Times New Roman" w:hAnsi="Times New Roman" w:eastAsia="宋体" w:cs="Times New Roman"/>
                <w:color w:val="auto"/>
                <w:spacing w:val="0"/>
                <w:kern w:val="2"/>
                <w:sz w:val="24"/>
                <w:szCs w:val="24"/>
                <w:highlight w:val="none"/>
                <w:lang w:val="en-US" w:eastAsia="zh-CN" w:bidi="ar-SA"/>
              </w:rPr>
              <w:t>—</w:t>
            </w:r>
            <w:r>
              <w:rPr>
                <w:rFonts w:hint="eastAsia" w:ascii="Times New Roman" w:hAnsi="Times New Roman" w:eastAsia="宋体" w:cs="Times New Roman"/>
                <w:color w:val="auto"/>
                <w:spacing w:val="0"/>
                <w:kern w:val="2"/>
                <w:sz w:val="24"/>
                <w:szCs w:val="24"/>
                <w:highlight w:val="none"/>
                <w:lang w:val="en-US" w:eastAsia="zh-CN" w:bidi="ar-SA"/>
              </w:rPr>
              <w:t>污水处理过程中产生的污泥量</w:t>
            </w:r>
            <w:r>
              <w:rPr>
                <w:rFonts w:hint="default" w:ascii="Times New Roman" w:hAnsi="Times New Roman" w:eastAsia="宋体" w:cs="Times New Roman"/>
                <w:color w:val="auto"/>
                <w:spacing w:val="0"/>
                <w:kern w:val="2"/>
                <w:sz w:val="24"/>
                <w:szCs w:val="24"/>
                <w:highlight w:val="none"/>
                <w:lang w:val="en-US" w:eastAsia="zh-CN" w:bidi="ar-SA"/>
              </w:rPr>
              <w:t>，</w:t>
            </w:r>
            <w:r>
              <w:rPr>
                <w:rFonts w:hint="eastAsia" w:ascii="Times New Roman" w:hAnsi="Times New Roman" w:eastAsia="宋体" w:cs="Times New Roman"/>
                <w:color w:val="auto"/>
                <w:spacing w:val="0"/>
                <w:kern w:val="2"/>
                <w:sz w:val="24"/>
                <w:szCs w:val="24"/>
                <w:highlight w:val="none"/>
                <w:lang w:val="en-US" w:eastAsia="zh-CN" w:bidi="ar-SA"/>
              </w:rPr>
              <w:t>以干泥计，t</w:t>
            </w:r>
            <w:r>
              <w:rPr>
                <w:rFonts w:hint="default" w:ascii="Times New Roman" w:hAnsi="Times New Roman" w:eastAsia="宋体" w:cs="Times New Roman"/>
                <w:color w:val="auto"/>
                <w:spacing w:val="0"/>
                <w:kern w:val="2"/>
                <w:sz w:val="24"/>
                <w:szCs w:val="24"/>
                <w:highlight w:val="none"/>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pacing w:val="0"/>
                <w:sz w:val="24"/>
                <w:szCs w:val="24"/>
                <w:lang w:val="en-US" w:eastAsia="zh-CN"/>
              </w:rPr>
              <w:t>Q</w:t>
            </w:r>
            <w:r>
              <w:rPr>
                <w:rFonts w:hint="default" w:ascii="Times New Roman" w:hAnsi="Times New Roman" w:eastAsia="宋体" w:cs="Times New Roman"/>
                <w:color w:val="auto"/>
                <w:spacing w:val="0"/>
                <w:kern w:val="2"/>
                <w:sz w:val="24"/>
                <w:szCs w:val="24"/>
                <w:highlight w:val="none"/>
                <w:lang w:val="en-US" w:eastAsia="zh-CN" w:bidi="ar-SA"/>
              </w:rPr>
              <w:t>—</w:t>
            </w:r>
            <w:r>
              <w:rPr>
                <w:rFonts w:hint="eastAsia" w:ascii="Times New Roman" w:hAnsi="Times New Roman" w:eastAsia="宋体" w:cs="Times New Roman"/>
                <w:color w:val="auto"/>
                <w:spacing w:val="0"/>
                <w:kern w:val="2"/>
                <w:sz w:val="24"/>
                <w:szCs w:val="24"/>
                <w:highlight w:val="none"/>
                <w:lang w:val="en-US" w:eastAsia="zh-CN" w:bidi="ar-SA"/>
              </w:rPr>
              <w:t>核算时段内排污单位废水排放量，m</w:t>
            </w:r>
            <w:r>
              <w:rPr>
                <w:rFonts w:hint="eastAsia" w:ascii="Times New Roman" w:hAnsi="Times New Roman" w:eastAsia="宋体" w:cs="Times New Roman"/>
                <w:color w:val="auto"/>
                <w:spacing w:val="0"/>
                <w:kern w:val="2"/>
                <w:sz w:val="24"/>
                <w:szCs w:val="24"/>
                <w:highlight w:val="none"/>
                <w:vertAlign w:val="superscript"/>
                <w:lang w:val="en-US" w:eastAsia="zh-CN" w:bidi="ar-SA"/>
              </w:rPr>
              <w:t>3</w:t>
            </w:r>
            <w:r>
              <w:rPr>
                <w:rFonts w:hint="eastAsia" w:ascii="Times New Roman" w:hAnsi="Times New Roman" w:eastAsia="宋体" w:cs="Times New Roman"/>
                <w:color w:val="auto"/>
                <w:spacing w:val="0"/>
                <w:kern w:val="2"/>
                <w:sz w:val="24"/>
                <w:szCs w:val="24"/>
                <w:highlight w:val="none"/>
                <w:lang w:val="en-US" w:eastAsia="zh-CN" w:bidi="ar-SA"/>
              </w:rPr>
              <w:t>，具有有效出水口实测值按实测值计，无有效出水口实测值按进水口实测值计，无有效进水口实测值按协议进水水量计；</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spacing w:val="0"/>
                <w:sz w:val="24"/>
                <w:szCs w:val="24"/>
                <w:lang w:val="en-US" w:eastAsia="zh-CN"/>
              </w:rPr>
            </w:pPr>
            <w:r>
              <w:rPr>
                <w:rFonts w:hint="eastAsia" w:ascii="Times New Roman" w:hAnsi="Times New Roman" w:cs="Times New Roman"/>
                <w:color w:val="auto"/>
                <w:spacing w:val="0"/>
                <w:sz w:val="24"/>
                <w:szCs w:val="24"/>
                <w:lang w:val="en-US" w:eastAsia="zh-CN"/>
              </w:rPr>
              <w:t>W</w:t>
            </w:r>
            <w:r>
              <w:rPr>
                <w:rFonts w:hint="eastAsia" w:ascii="Times New Roman" w:hAnsi="Times New Roman" w:cs="Times New Roman"/>
                <w:color w:val="auto"/>
                <w:spacing w:val="0"/>
                <w:sz w:val="24"/>
                <w:szCs w:val="24"/>
                <w:vertAlign w:val="subscript"/>
                <w:lang w:val="en-US" w:eastAsia="zh-CN"/>
              </w:rPr>
              <w:t>深</w:t>
            </w:r>
            <w:r>
              <w:rPr>
                <w:rFonts w:hint="default" w:ascii="Times New Roman" w:hAnsi="Times New Roman" w:eastAsia="宋体" w:cs="Times New Roman"/>
                <w:color w:val="auto"/>
                <w:spacing w:val="0"/>
                <w:kern w:val="2"/>
                <w:sz w:val="24"/>
                <w:szCs w:val="24"/>
                <w:highlight w:val="none"/>
                <w:lang w:val="en-US" w:eastAsia="zh-CN" w:bidi="ar-SA"/>
              </w:rPr>
              <w:t>—</w:t>
            </w:r>
            <w:r>
              <w:rPr>
                <w:rFonts w:hint="eastAsia" w:ascii="Times New Roman" w:hAnsi="Times New Roman" w:eastAsia="宋体" w:cs="Times New Roman"/>
                <w:color w:val="auto"/>
                <w:spacing w:val="0"/>
                <w:kern w:val="2"/>
                <w:sz w:val="24"/>
                <w:szCs w:val="24"/>
                <w:highlight w:val="none"/>
                <w:lang w:val="en-US" w:eastAsia="zh-CN" w:bidi="ar-SA"/>
              </w:rPr>
              <w:t>有深度处理工艺（添加化学药剂时按2计，无深度处理工艺时按1计，量纲一。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spacing w:val="0"/>
                <w:sz w:val="24"/>
                <w:szCs w:val="24"/>
                <w:lang w:val="en-US" w:eastAsia="zh-CN"/>
              </w:rPr>
              <w:t>年降暴雨天数取3天。通过计算，污泥产生量为0.06t/a，本项目污泥属一般固废，定期清掏后运至七台河市污泥处置厂处理。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综上，本项目产生的各类固体废物均能得到妥善处置，对周围环境影响较小。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本项目固体废物产排情况见下表。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1"/>
                <w:szCs w:val="21"/>
                <w:lang w:val="en-US" w:eastAsia="zh-CN"/>
              </w:rPr>
              <w:t>表4-9   本项目固体废物产排污情况及处理措施一览表</w:t>
            </w:r>
          </w:p>
          <w:tbl>
            <w:tblPr>
              <w:tblStyle w:val="20"/>
              <w:tblW w:w="79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124"/>
              <w:gridCol w:w="676"/>
              <w:gridCol w:w="949"/>
              <w:gridCol w:w="862"/>
              <w:gridCol w:w="1353"/>
              <w:gridCol w:w="23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pacing w:val="0"/>
                      <w:sz w:val="21"/>
                      <w:szCs w:val="21"/>
                      <w:vertAlign w:val="baseline"/>
                      <w:lang w:val="en-US" w:eastAsia="zh-CN"/>
                    </w:rPr>
                  </w:pPr>
                  <w:r>
                    <w:rPr>
                      <w:rFonts w:hint="eastAsia" w:ascii="Times New Roman" w:hAnsi="Times New Roman" w:cs="Times New Roman"/>
                      <w:b/>
                      <w:bCs w:val="0"/>
                      <w:spacing w:val="0"/>
                      <w:sz w:val="21"/>
                      <w:szCs w:val="21"/>
                      <w:vertAlign w:val="baseline"/>
                      <w:lang w:val="en-US" w:eastAsia="zh-CN"/>
                    </w:rPr>
                    <w:t>固废名称</w:t>
                  </w:r>
                </w:p>
              </w:tc>
              <w:tc>
                <w:tcPr>
                  <w:tcW w:w="1124"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pacing w:val="0"/>
                      <w:sz w:val="21"/>
                      <w:szCs w:val="21"/>
                      <w:vertAlign w:val="baseline"/>
                      <w:lang w:val="en-US" w:eastAsia="zh-CN"/>
                    </w:rPr>
                  </w:pPr>
                  <w:r>
                    <w:rPr>
                      <w:rFonts w:hint="eastAsia" w:ascii="Times New Roman" w:hAnsi="Times New Roman" w:cs="Times New Roman"/>
                      <w:b/>
                      <w:bCs w:val="0"/>
                      <w:spacing w:val="0"/>
                      <w:sz w:val="21"/>
                      <w:szCs w:val="21"/>
                      <w:vertAlign w:val="baseline"/>
                      <w:lang w:val="en-US" w:eastAsia="zh-CN"/>
                    </w:rPr>
                    <w:t>固废属性</w:t>
                  </w:r>
                </w:p>
              </w:tc>
              <w:tc>
                <w:tcPr>
                  <w:tcW w:w="676"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pacing w:val="0"/>
                      <w:sz w:val="21"/>
                      <w:szCs w:val="21"/>
                      <w:vertAlign w:val="baseline"/>
                      <w:lang w:val="en-US" w:eastAsia="zh-CN"/>
                    </w:rPr>
                  </w:pPr>
                  <w:r>
                    <w:rPr>
                      <w:rFonts w:hint="eastAsia" w:ascii="Times New Roman" w:hAnsi="Times New Roman" w:cs="Times New Roman"/>
                      <w:b/>
                      <w:bCs w:val="0"/>
                      <w:spacing w:val="0"/>
                      <w:sz w:val="21"/>
                      <w:szCs w:val="21"/>
                      <w:vertAlign w:val="baseline"/>
                      <w:lang w:val="en-US" w:eastAsia="zh-CN"/>
                    </w:rPr>
                    <w:t>物理性状</w:t>
                  </w:r>
                </w:p>
              </w:tc>
              <w:tc>
                <w:tcPr>
                  <w:tcW w:w="949"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pacing w:val="0"/>
                      <w:sz w:val="21"/>
                      <w:szCs w:val="21"/>
                      <w:vertAlign w:val="baseline"/>
                      <w:lang w:val="en-US" w:eastAsia="zh-CN"/>
                    </w:rPr>
                  </w:pPr>
                  <w:r>
                    <w:rPr>
                      <w:rFonts w:hint="eastAsia" w:ascii="Times New Roman" w:hAnsi="Times New Roman" w:cs="Times New Roman"/>
                      <w:b/>
                      <w:bCs w:val="0"/>
                      <w:spacing w:val="0"/>
                      <w:sz w:val="21"/>
                      <w:szCs w:val="21"/>
                      <w:vertAlign w:val="baseline"/>
                      <w:lang w:val="en-US" w:eastAsia="zh-CN"/>
                    </w:rPr>
                    <w:t>环境危险特性</w:t>
                  </w:r>
                </w:p>
              </w:tc>
              <w:tc>
                <w:tcPr>
                  <w:tcW w:w="862"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pacing w:val="0"/>
                      <w:sz w:val="21"/>
                      <w:szCs w:val="21"/>
                      <w:vertAlign w:val="baseline"/>
                      <w:lang w:val="en-US" w:eastAsia="zh-CN"/>
                    </w:rPr>
                  </w:pPr>
                  <w:r>
                    <w:rPr>
                      <w:rFonts w:hint="eastAsia" w:ascii="Times New Roman" w:hAnsi="Times New Roman" w:cs="Times New Roman"/>
                      <w:b/>
                      <w:bCs w:val="0"/>
                      <w:spacing w:val="0"/>
                      <w:sz w:val="21"/>
                      <w:szCs w:val="21"/>
                      <w:vertAlign w:val="baseline"/>
                      <w:lang w:val="en-US" w:eastAsia="zh-CN"/>
                    </w:rPr>
                    <w:t>产生量（t/a）</w:t>
                  </w:r>
                </w:p>
              </w:tc>
              <w:tc>
                <w:tcPr>
                  <w:tcW w:w="1353"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pacing w:val="0"/>
                      <w:sz w:val="21"/>
                      <w:szCs w:val="21"/>
                      <w:vertAlign w:val="baseline"/>
                      <w:lang w:val="en-US" w:eastAsia="zh-CN"/>
                    </w:rPr>
                  </w:pPr>
                  <w:r>
                    <w:rPr>
                      <w:rFonts w:hint="eastAsia" w:ascii="Times New Roman" w:hAnsi="Times New Roman" w:cs="Times New Roman"/>
                      <w:b/>
                      <w:bCs w:val="0"/>
                      <w:spacing w:val="0"/>
                      <w:sz w:val="21"/>
                      <w:szCs w:val="21"/>
                      <w:vertAlign w:val="baseline"/>
                      <w:lang w:val="en-US" w:eastAsia="zh-CN"/>
                    </w:rPr>
                    <w:t>储存方式</w:t>
                  </w:r>
                </w:p>
              </w:tc>
              <w:tc>
                <w:tcPr>
                  <w:tcW w:w="2326"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pacing w:val="0"/>
                      <w:sz w:val="21"/>
                      <w:szCs w:val="21"/>
                      <w:vertAlign w:val="baseline"/>
                      <w:lang w:val="en-US" w:eastAsia="zh-CN"/>
                    </w:rPr>
                  </w:pPr>
                  <w:r>
                    <w:rPr>
                      <w:rFonts w:hint="eastAsia" w:ascii="Times New Roman" w:hAnsi="Times New Roman" w:cs="Times New Roman"/>
                      <w:b/>
                      <w:bCs w:val="0"/>
                      <w:spacing w:val="0"/>
                      <w:sz w:val="21"/>
                      <w:szCs w:val="21"/>
                      <w:vertAlign w:val="baseline"/>
                      <w:lang w:val="en-US" w:eastAsia="zh-CN"/>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eastAsia" w:ascii="Times New Roman" w:hAnsi="Times New Roman" w:cs="Times New Roman"/>
                      <w:bCs/>
                      <w:spacing w:val="0"/>
                      <w:sz w:val="21"/>
                      <w:szCs w:val="21"/>
                      <w:vertAlign w:val="baseline"/>
                      <w:lang w:val="en-US" w:eastAsia="zh-CN"/>
                    </w:rPr>
                    <w:t>生活垃圾</w:t>
                  </w:r>
                </w:p>
              </w:tc>
              <w:tc>
                <w:tcPr>
                  <w:tcW w:w="1124"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eastAsia" w:ascii="Times New Roman" w:hAnsi="Times New Roman" w:cs="Times New Roman"/>
                      <w:bCs/>
                      <w:spacing w:val="0"/>
                      <w:sz w:val="21"/>
                      <w:szCs w:val="21"/>
                      <w:vertAlign w:val="baseline"/>
                      <w:lang w:val="en-US" w:eastAsia="zh-CN"/>
                    </w:rPr>
                    <w:t>生活垃圾</w:t>
                  </w:r>
                </w:p>
              </w:tc>
              <w:tc>
                <w:tcPr>
                  <w:tcW w:w="676"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eastAsia" w:ascii="Times New Roman" w:hAnsi="Times New Roman" w:cs="Times New Roman"/>
                      <w:bCs/>
                      <w:spacing w:val="0"/>
                      <w:sz w:val="21"/>
                      <w:szCs w:val="21"/>
                      <w:vertAlign w:val="baseline"/>
                      <w:lang w:val="en-US" w:eastAsia="zh-CN"/>
                    </w:rPr>
                    <w:t>固态</w:t>
                  </w:r>
                </w:p>
              </w:tc>
              <w:tc>
                <w:tcPr>
                  <w:tcW w:w="949"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eastAsia" w:ascii="Times New Roman" w:hAnsi="Times New Roman" w:cs="Times New Roman"/>
                      <w:bCs/>
                      <w:spacing w:val="0"/>
                      <w:sz w:val="21"/>
                      <w:szCs w:val="21"/>
                      <w:vertAlign w:val="baseline"/>
                      <w:lang w:val="en-US" w:eastAsia="zh-CN"/>
                    </w:rPr>
                    <w:t>/</w:t>
                  </w:r>
                </w:p>
              </w:tc>
              <w:tc>
                <w:tcPr>
                  <w:tcW w:w="862"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eastAsia" w:ascii="Times New Roman" w:hAnsi="Times New Roman" w:cs="Times New Roman"/>
                      <w:bCs/>
                      <w:spacing w:val="0"/>
                      <w:sz w:val="21"/>
                      <w:szCs w:val="21"/>
                      <w:vertAlign w:val="baseline"/>
                      <w:lang w:val="en-US" w:eastAsia="zh-CN"/>
                    </w:rPr>
                    <w:t>1.25</w:t>
                  </w:r>
                </w:p>
              </w:tc>
              <w:tc>
                <w:tcPr>
                  <w:tcW w:w="1353"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spacing w:val="0"/>
                      <w:sz w:val="21"/>
                      <w:szCs w:val="21"/>
                      <w:vertAlign w:val="baseline"/>
                      <w:lang w:val="en-US" w:eastAsia="zh-CN"/>
                    </w:rPr>
                  </w:pPr>
                  <w:r>
                    <w:rPr>
                      <w:rFonts w:hint="eastAsia" w:ascii="Times New Roman" w:hAnsi="Times New Roman" w:cs="Times New Roman"/>
                      <w:bCs/>
                      <w:spacing w:val="0"/>
                      <w:sz w:val="21"/>
                      <w:szCs w:val="21"/>
                      <w:vertAlign w:val="baseline"/>
                      <w:lang w:val="en-US" w:eastAsia="zh-CN"/>
                    </w:rPr>
                    <w:t>分类收集、暂存在垃圾桶内</w:t>
                  </w:r>
                </w:p>
              </w:tc>
              <w:tc>
                <w:tcPr>
                  <w:tcW w:w="2326"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eastAsia" w:cs="Times New Roman"/>
                      <w:bCs/>
                      <w:spacing w:val="0"/>
                      <w:sz w:val="21"/>
                      <w:szCs w:val="21"/>
                      <w:vertAlign w:val="baseline"/>
                      <w:lang w:val="en-US" w:eastAsia="zh-CN"/>
                    </w:rPr>
                    <w:t>收集后委托环卫清运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eastAsia" w:ascii="Times New Roman" w:hAnsi="Times New Roman" w:cs="Times New Roman"/>
                      <w:bCs/>
                      <w:spacing w:val="0"/>
                      <w:sz w:val="21"/>
                      <w:szCs w:val="21"/>
                      <w:vertAlign w:val="baseline"/>
                      <w:lang w:val="en-US" w:eastAsia="zh-CN"/>
                    </w:rPr>
                    <w:t>污泥</w:t>
                  </w:r>
                </w:p>
              </w:tc>
              <w:tc>
                <w:tcPr>
                  <w:tcW w:w="1124"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eastAsia" w:ascii="Times New Roman" w:hAnsi="Times New Roman" w:cs="Times New Roman"/>
                      <w:bCs/>
                      <w:spacing w:val="0"/>
                      <w:sz w:val="21"/>
                      <w:szCs w:val="21"/>
                      <w:vertAlign w:val="baseline"/>
                      <w:lang w:val="en-US" w:eastAsia="zh-CN"/>
                    </w:rPr>
                    <w:t>一般工业固体废物</w:t>
                  </w:r>
                </w:p>
              </w:tc>
              <w:tc>
                <w:tcPr>
                  <w:tcW w:w="676"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eastAsia" w:ascii="Times New Roman" w:hAnsi="Times New Roman" w:cs="Times New Roman"/>
                      <w:bCs/>
                      <w:spacing w:val="0"/>
                      <w:sz w:val="21"/>
                      <w:szCs w:val="21"/>
                      <w:vertAlign w:val="baseline"/>
                      <w:lang w:val="en-US" w:eastAsia="zh-CN"/>
                    </w:rPr>
                    <w:t>半固态</w:t>
                  </w:r>
                </w:p>
              </w:tc>
              <w:tc>
                <w:tcPr>
                  <w:tcW w:w="949"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eastAsia" w:ascii="Times New Roman" w:hAnsi="Times New Roman" w:cs="Times New Roman"/>
                      <w:bCs/>
                      <w:spacing w:val="0"/>
                      <w:sz w:val="21"/>
                      <w:szCs w:val="21"/>
                      <w:vertAlign w:val="baseline"/>
                      <w:lang w:val="en-US" w:eastAsia="zh-CN"/>
                    </w:rPr>
                    <w:t>/</w:t>
                  </w:r>
                </w:p>
              </w:tc>
              <w:tc>
                <w:tcPr>
                  <w:tcW w:w="862"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default" w:ascii="Times New Roman" w:hAnsi="Times New Roman" w:cs="Times New Roman"/>
                      <w:bCs/>
                      <w:spacing w:val="0"/>
                      <w:sz w:val="21"/>
                      <w:szCs w:val="21"/>
                      <w:vertAlign w:val="baseline"/>
                      <w:lang w:val="en-US" w:eastAsia="zh-CN"/>
                    </w:rPr>
                    <w:t>0.</w:t>
                  </w:r>
                  <w:r>
                    <w:rPr>
                      <w:rFonts w:hint="eastAsia" w:cs="Times New Roman"/>
                      <w:bCs/>
                      <w:spacing w:val="0"/>
                      <w:sz w:val="21"/>
                      <w:szCs w:val="21"/>
                      <w:vertAlign w:val="baseline"/>
                      <w:lang w:val="en-US" w:eastAsia="zh-CN"/>
                    </w:rPr>
                    <w:t>06</w:t>
                  </w:r>
                </w:p>
              </w:tc>
              <w:tc>
                <w:tcPr>
                  <w:tcW w:w="1353"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eastAsia" w:ascii="Times New Roman" w:hAnsi="Times New Roman" w:cs="Times New Roman"/>
                      <w:bCs/>
                      <w:spacing w:val="0"/>
                      <w:sz w:val="21"/>
                      <w:szCs w:val="21"/>
                      <w:vertAlign w:val="baseline"/>
                      <w:lang w:val="en-US" w:eastAsia="zh-CN"/>
                    </w:rPr>
                    <w:t>/</w:t>
                  </w:r>
                </w:p>
              </w:tc>
              <w:tc>
                <w:tcPr>
                  <w:tcW w:w="2326"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pacing w:val="0"/>
                      <w:sz w:val="21"/>
                      <w:szCs w:val="21"/>
                      <w:vertAlign w:val="baseline"/>
                      <w:lang w:val="en-US" w:eastAsia="zh-CN"/>
                    </w:rPr>
                  </w:pPr>
                  <w:r>
                    <w:rPr>
                      <w:rFonts w:hint="default" w:ascii="Times New Roman" w:hAnsi="Times New Roman" w:cs="Times New Roman"/>
                      <w:bCs/>
                      <w:spacing w:val="0"/>
                      <w:sz w:val="21"/>
                      <w:szCs w:val="21"/>
                      <w:vertAlign w:val="baseline"/>
                      <w:lang w:val="en-US" w:eastAsia="zh-CN"/>
                    </w:rPr>
                    <w:t>定期清掏后运至</w:t>
                  </w:r>
                  <w:r>
                    <w:rPr>
                      <w:rFonts w:hint="eastAsia" w:cs="Times New Roman"/>
                      <w:bCs/>
                      <w:spacing w:val="0"/>
                      <w:sz w:val="21"/>
                      <w:szCs w:val="21"/>
                      <w:vertAlign w:val="baseline"/>
                      <w:lang w:val="en-US" w:eastAsia="zh-CN"/>
                    </w:rPr>
                    <w:t>七台河市污泥处置厂</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5 地下水、土壤影响和保护措施</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5.1 地下水影响分析和保护措施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（1）影响分析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可能对地下水造成污染的是暂存场建筑垃圾经降水淋溶后，可溶性元素随着雨水迁移进入土壤，并进一步迁移至含水层。雨水渗水产生和入渗量主要取决于暂存场所在区域的气象条件。从七台河市气象资料可知，项目区域雨量多集中在7~9月份，</w:t>
            </w:r>
            <w:r>
              <w:rPr>
                <w:rFonts w:hint="eastAsia" w:ascii="Times New Roman" w:hAnsi="Times New Roman" w:eastAsia="宋体" w:cs="Times New Roman"/>
                <w:color w:val="auto"/>
                <w:sz w:val="24"/>
                <w:szCs w:val="22"/>
                <w:lang w:eastAsia="zh-CN"/>
              </w:rPr>
              <w:t>多年平均降雨量为</w:t>
            </w:r>
            <w:r>
              <w:rPr>
                <w:rFonts w:hint="eastAsia" w:ascii="Times New Roman" w:hAnsi="Times New Roman" w:eastAsia="宋体" w:cs="Times New Roman"/>
                <w:color w:val="auto"/>
                <w:sz w:val="24"/>
                <w:szCs w:val="22"/>
                <w:lang w:val="en-US" w:eastAsia="zh-CN"/>
              </w:rPr>
              <w:t>492.6</w:t>
            </w:r>
            <w:r>
              <w:rPr>
                <w:rFonts w:hint="eastAsia" w:ascii="Times New Roman" w:hAnsi="Times New Roman" w:eastAsia="宋体" w:cs="Times New Roman"/>
                <w:color w:val="auto"/>
                <w:sz w:val="24"/>
                <w:szCs w:val="22"/>
                <w:lang w:eastAsia="zh-CN"/>
              </w:rPr>
              <w:t>mm，</w:t>
            </w:r>
            <w:r>
              <w:rPr>
                <w:rFonts w:hint="eastAsia" w:ascii="Times New Roman" w:hAnsi="Times New Roman" w:cs="Times New Roman"/>
                <w:bCs/>
                <w:spacing w:val="0"/>
                <w:sz w:val="24"/>
                <w:szCs w:val="24"/>
                <w:lang w:val="en-US" w:eastAsia="zh-CN"/>
              </w:rPr>
              <w:t>七台河市年蒸发量为1200mm，蒸发量约是降水量的2.5倍，不会出现长达16h的浸泡，即建筑垃圾不会被充分浸泡，不会形成持续的雨水渗水下渗污染影响。此外，本项目在暂存场内设置雨水渗水导排盲沟，导排上游来水，建筑垃圾也不会被充分浸泡，不会形成持续的雨水渗水下渗污染影响。雨水渗水通过该盲沟后流入流至建筑垃圾雨水渗水</w:t>
            </w:r>
            <w:r>
              <w:rPr>
                <w:rFonts w:hint="eastAsia" w:cs="Times New Roman"/>
                <w:bCs/>
                <w:spacing w:val="0"/>
                <w:sz w:val="24"/>
                <w:szCs w:val="24"/>
                <w:lang w:val="en-US" w:eastAsia="zh-CN"/>
              </w:rPr>
              <w:t>沉淀</w:t>
            </w:r>
            <w:r>
              <w:rPr>
                <w:rFonts w:hint="eastAsia" w:ascii="Times New Roman" w:hAnsi="Times New Roman" w:cs="Times New Roman"/>
                <w:bCs/>
                <w:spacing w:val="0"/>
                <w:sz w:val="24"/>
                <w:szCs w:val="24"/>
                <w:lang w:val="en-US" w:eastAsia="zh-CN"/>
              </w:rPr>
              <w:t>池中，容积</w:t>
            </w:r>
            <w:r>
              <w:rPr>
                <w:rFonts w:hint="eastAsia" w:cs="Times New Roman"/>
                <w:bCs/>
                <w:spacing w:val="0"/>
                <w:sz w:val="24"/>
                <w:szCs w:val="24"/>
                <w:lang w:val="en-US" w:eastAsia="zh-CN"/>
              </w:rPr>
              <w:t>15</w:t>
            </w:r>
            <w:r>
              <w:rPr>
                <w:rFonts w:hint="eastAsia" w:ascii="Times New Roman" w:hAnsi="Times New Roman" w:cs="Times New Roman"/>
                <w:bCs/>
                <w:spacing w:val="0"/>
                <w:sz w:val="24"/>
                <w:szCs w:val="24"/>
                <w:lang w:val="en-US" w:eastAsia="zh-CN"/>
              </w:rPr>
              <w:t>m</w:t>
            </w:r>
            <w:r>
              <w:rPr>
                <w:rFonts w:hint="eastAsia" w:ascii="Times New Roman" w:hAnsi="Times New Roman" w:cs="Times New Roman"/>
                <w:bCs/>
                <w:spacing w:val="0"/>
                <w:sz w:val="24"/>
                <w:szCs w:val="24"/>
                <w:vertAlign w:val="superscript"/>
                <w:lang w:val="en-US" w:eastAsia="zh-CN"/>
              </w:rPr>
              <w:t>3</w:t>
            </w:r>
            <w:r>
              <w:rPr>
                <w:rFonts w:hint="eastAsia" w:ascii="Times New Roman" w:hAnsi="Times New Roman" w:cs="Times New Roman"/>
                <w:bCs/>
                <w:spacing w:val="0"/>
                <w:sz w:val="24"/>
                <w:szCs w:val="24"/>
                <w:lang w:val="en-US" w:eastAsia="zh-CN"/>
              </w:rPr>
              <w:t>，</w:t>
            </w:r>
            <w:r>
              <w:rPr>
                <w:rFonts w:hint="eastAsia" w:cs="Times New Roman"/>
                <w:bCs/>
                <w:spacing w:val="0"/>
                <w:sz w:val="24"/>
                <w:szCs w:val="24"/>
                <w:lang w:val="en-US" w:eastAsia="zh-CN"/>
              </w:rPr>
              <w:t>经沉淀后排入</w:t>
            </w:r>
            <w:r>
              <w:rPr>
                <w:rFonts w:hint="eastAsia" w:ascii="Times New Roman" w:hAnsi="Times New Roman" w:cs="Times New Roman"/>
                <w:bCs/>
                <w:spacing w:val="0"/>
                <w:sz w:val="24"/>
                <w:szCs w:val="24"/>
                <w:lang w:val="en-US" w:eastAsia="zh-CN"/>
              </w:rPr>
              <w:t>容积</w:t>
            </w:r>
            <w:r>
              <w:rPr>
                <w:rFonts w:hint="eastAsia" w:cs="Times New Roman"/>
                <w:bCs/>
                <w:spacing w:val="0"/>
                <w:sz w:val="24"/>
                <w:szCs w:val="24"/>
                <w:lang w:val="en-US" w:eastAsia="zh-CN"/>
              </w:rPr>
              <w:t>15</w:t>
            </w:r>
            <w:r>
              <w:rPr>
                <w:rFonts w:hint="eastAsia" w:ascii="Times New Roman" w:hAnsi="Times New Roman" w:cs="Times New Roman"/>
                <w:bCs/>
                <w:spacing w:val="0"/>
                <w:sz w:val="24"/>
                <w:szCs w:val="24"/>
                <w:lang w:val="en-US" w:eastAsia="zh-CN"/>
              </w:rPr>
              <w:t>m</w:t>
            </w:r>
            <w:r>
              <w:rPr>
                <w:rFonts w:hint="eastAsia" w:ascii="Times New Roman" w:hAnsi="Times New Roman" w:cs="Times New Roman"/>
                <w:bCs/>
                <w:spacing w:val="0"/>
                <w:sz w:val="24"/>
                <w:szCs w:val="24"/>
                <w:vertAlign w:val="superscript"/>
                <w:lang w:val="en-US" w:eastAsia="zh-CN"/>
              </w:rPr>
              <w:t>3</w:t>
            </w:r>
            <w:r>
              <w:rPr>
                <w:rFonts w:hint="eastAsia" w:cs="Times New Roman"/>
                <w:bCs/>
                <w:spacing w:val="0"/>
                <w:sz w:val="24"/>
                <w:szCs w:val="24"/>
                <w:vertAlign w:val="baseline"/>
                <w:lang w:val="en-US" w:eastAsia="zh-CN"/>
              </w:rPr>
              <w:t>的雨水渗水</w:t>
            </w:r>
            <w:r>
              <w:rPr>
                <w:rFonts w:hint="eastAsia" w:cs="Times New Roman"/>
                <w:bCs/>
                <w:spacing w:val="0"/>
                <w:sz w:val="24"/>
                <w:szCs w:val="24"/>
                <w:lang w:val="en-US" w:eastAsia="zh-CN"/>
              </w:rPr>
              <w:t>暂存池，与化粪池污水一起</w:t>
            </w:r>
            <w:r>
              <w:rPr>
                <w:rFonts w:hint="eastAsia" w:ascii="Times New Roman" w:hAnsi="Times New Roman" w:cs="Times New Roman"/>
                <w:bCs/>
                <w:sz w:val="24"/>
                <w:szCs w:val="24"/>
                <w:highlight w:val="none"/>
                <w:vertAlign w:val="baseline"/>
                <w:lang w:val="en-US" w:eastAsia="zh-CN"/>
              </w:rPr>
              <w:t>由吸污车拉运至</w:t>
            </w:r>
            <w:r>
              <w:rPr>
                <w:rFonts w:hint="eastAsia" w:cs="Times New Roman"/>
                <w:bCs/>
                <w:sz w:val="24"/>
                <w:szCs w:val="24"/>
                <w:highlight w:val="none"/>
                <w:vertAlign w:val="baseline"/>
                <w:lang w:val="en-US" w:eastAsia="zh-CN"/>
              </w:rPr>
              <w:t>七台河市第二</w:t>
            </w:r>
            <w:r>
              <w:rPr>
                <w:rFonts w:hint="eastAsia" w:ascii="Times New Roman" w:hAnsi="Times New Roman" w:cs="Times New Roman"/>
                <w:bCs/>
                <w:sz w:val="24"/>
                <w:szCs w:val="24"/>
                <w:highlight w:val="none"/>
                <w:vertAlign w:val="baseline"/>
                <w:lang w:val="en-US" w:eastAsia="zh-CN"/>
              </w:rPr>
              <w:t>污水处理厂处理</w:t>
            </w:r>
            <w:r>
              <w:rPr>
                <w:rFonts w:hint="eastAsia" w:ascii="Times New Roman" w:hAnsi="Times New Roman" w:cs="Times New Roman"/>
                <w:bCs/>
                <w:spacing w:val="0"/>
                <w:sz w:val="24"/>
                <w:szCs w:val="24"/>
                <w:lang w:val="en-US" w:eastAsia="zh-CN"/>
              </w:rPr>
              <w:t>，不外排。此外雨水渗水</w:t>
            </w:r>
            <w:r>
              <w:rPr>
                <w:rFonts w:hint="eastAsia" w:cs="Times New Roman"/>
                <w:bCs/>
                <w:spacing w:val="0"/>
                <w:sz w:val="24"/>
                <w:szCs w:val="24"/>
                <w:lang w:val="en-US" w:eastAsia="zh-CN"/>
              </w:rPr>
              <w:t>沉淀</w:t>
            </w:r>
            <w:r>
              <w:rPr>
                <w:rFonts w:hint="eastAsia" w:ascii="Times New Roman" w:hAnsi="Times New Roman" w:cs="Times New Roman"/>
                <w:bCs/>
                <w:spacing w:val="0"/>
                <w:sz w:val="24"/>
                <w:szCs w:val="24"/>
                <w:lang w:val="en-US" w:eastAsia="zh-CN"/>
              </w:rPr>
              <w:t>池</w:t>
            </w:r>
            <w:r>
              <w:rPr>
                <w:rFonts w:hint="eastAsia" w:cs="Times New Roman"/>
                <w:bCs/>
                <w:spacing w:val="0"/>
                <w:sz w:val="24"/>
                <w:szCs w:val="24"/>
                <w:lang w:val="en-US" w:eastAsia="zh-CN"/>
              </w:rPr>
              <w:t>、暂存池</w:t>
            </w:r>
            <w:r>
              <w:rPr>
                <w:rFonts w:hint="eastAsia" w:ascii="Times New Roman" w:hAnsi="Times New Roman" w:cs="Times New Roman"/>
                <w:bCs/>
                <w:spacing w:val="0"/>
                <w:sz w:val="24"/>
                <w:szCs w:val="24"/>
                <w:lang w:val="en-US" w:eastAsia="zh-CN"/>
              </w:rPr>
              <w:t>及堆料区均进行防渗处置。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综上所述，项目的建设对区域地下水环境影响较小。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（2）保护措施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项目环评根据《环境影响评价技术导则 地下水环境》（HJ 610-2016）防渗分区原则，将本项目分划为重点防渗区和简单防渗区，划分区域如下：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项目建筑垃圾暂存场设置防渗系统。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期工程垃圾堆料区采用水平防渗与侧壁防渗相结合的方式，防渗衬层材料设计采用1.5mm厚高密度聚乙烯（HDPE）复合土工膜，其物理力学性能指标应符合《聚乙烯（PE）土工膜防渗工程技术规范》（SL／T231－98）中有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本工程防渗结构做法为：对原地基整平、压实（压实系数≥0.93）其上铺土工滤网（200g/m</w:t>
            </w:r>
            <w:r>
              <w:rPr>
                <w:rFonts w:hint="eastAsia" w:ascii="Times New Roman" w:hAnsi="Times New Roman" w:cs="Times New Roman"/>
                <w:bCs/>
                <w:spacing w:val="0"/>
                <w:sz w:val="24"/>
                <w:szCs w:val="24"/>
                <w:vertAlign w:val="superscript"/>
                <w:lang w:val="en-US" w:eastAsia="zh-CN"/>
              </w:rPr>
              <w:t>2</w:t>
            </w:r>
            <w:r>
              <w:rPr>
                <w:rFonts w:hint="eastAsia" w:ascii="Times New Roman" w:hAnsi="Times New Roman" w:cs="Times New Roman"/>
                <w:bCs/>
                <w:spacing w:val="0"/>
                <w:sz w:val="24"/>
                <w:szCs w:val="24"/>
                <w:lang w:val="en-US" w:eastAsia="zh-CN"/>
              </w:rPr>
              <w:t>非织造土工布）再铺设30cm厚粒径20-60mm卵石或碎石，</w:t>
            </w:r>
            <w:r>
              <w:rPr>
                <w:rFonts w:hint="eastAsia" w:ascii="Times New Roman" w:hAnsi="Times New Roman" w:cs="Times New Roman"/>
                <w:bCs/>
                <w:color w:val="auto"/>
                <w:sz w:val="24"/>
                <w:szCs w:val="24"/>
                <w:highlight w:val="none"/>
                <w:vertAlign w:val="baseline"/>
                <w:lang w:val="en-US" w:eastAsia="zh-CN"/>
              </w:rPr>
              <w:t>石料上铺设200g/m</w:t>
            </w:r>
            <w:r>
              <w:rPr>
                <w:rFonts w:hint="eastAsia" w:ascii="Times New Roman" w:hAnsi="Times New Roman" w:cs="Times New Roman"/>
                <w:bCs/>
                <w:color w:val="auto"/>
                <w:sz w:val="24"/>
                <w:szCs w:val="24"/>
                <w:highlight w:val="none"/>
                <w:vertAlign w:val="superscript"/>
                <w:lang w:val="en-US" w:eastAsia="zh-CN"/>
              </w:rPr>
              <w:t>2</w:t>
            </w:r>
            <w:r>
              <w:rPr>
                <w:rFonts w:hint="eastAsia" w:ascii="Times New Roman" w:hAnsi="Times New Roman" w:cs="Times New Roman"/>
                <w:bCs/>
                <w:color w:val="auto"/>
                <w:sz w:val="24"/>
                <w:szCs w:val="24"/>
                <w:highlight w:val="none"/>
                <w:vertAlign w:val="baseline"/>
                <w:lang w:val="en-US" w:eastAsia="zh-CN"/>
              </w:rPr>
              <w:t>非织造土工布</w:t>
            </w:r>
            <w:r>
              <w:rPr>
                <w:rFonts w:hint="eastAsia" w:ascii="Times New Roman" w:hAnsi="Times New Roman" w:cs="Times New Roman"/>
                <w:bCs/>
                <w:spacing w:val="0"/>
                <w:sz w:val="24"/>
                <w:szCs w:val="24"/>
                <w:lang w:val="en-US" w:eastAsia="zh-CN"/>
              </w:rPr>
              <w:t>；铺GCL膨润土防水毯（4800g/m</w:t>
            </w:r>
            <w:r>
              <w:rPr>
                <w:rFonts w:hint="eastAsia" w:ascii="Times New Roman" w:hAnsi="Times New Roman" w:cs="Times New Roman"/>
                <w:bCs/>
                <w:spacing w:val="0"/>
                <w:sz w:val="24"/>
                <w:szCs w:val="24"/>
                <w:vertAlign w:val="superscript"/>
                <w:lang w:val="en-US" w:eastAsia="zh-CN"/>
              </w:rPr>
              <w:t>2</w:t>
            </w:r>
            <w:r>
              <w:rPr>
                <w:rFonts w:hint="eastAsia" w:ascii="Times New Roman" w:hAnsi="Times New Roman" w:cs="Times New Roman"/>
                <w:bCs/>
                <w:spacing w:val="0"/>
                <w:sz w:val="24"/>
                <w:szCs w:val="24"/>
                <w:lang w:val="en-US" w:eastAsia="zh-CN"/>
              </w:rPr>
              <w:t>）作为膜下保护层，再铺1.5mmHDPE膜防渗层；防渗衬层上覆盖800g/m</w:t>
            </w:r>
            <w:r>
              <w:rPr>
                <w:rFonts w:hint="eastAsia" w:ascii="Times New Roman" w:hAnsi="Times New Roman" w:cs="Times New Roman"/>
                <w:bCs/>
                <w:spacing w:val="0"/>
                <w:sz w:val="24"/>
                <w:szCs w:val="24"/>
                <w:vertAlign w:val="superscript"/>
                <w:lang w:val="en-US" w:eastAsia="zh-CN"/>
              </w:rPr>
              <w:t>2</w:t>
            </w:r>
            <w:r>
              <w:rPr>
                <w:rFonts w:hint="eastAsia" w:ascii="Times New Roman" w:hAnsi="Times New Roman" w:cs="Times New Roman"/>
                <w:bCs/>
                <w:spacing w:val="0"/>
                <w:sz w:val="24"/>
                <w:szCs w:val="24"/>
                <w:lang w:val="en-US" w:eastAsia="zh-CN"/>
              </w:rPr>
              <w:t>土工布（非织造土工布）；再铺30cm厚粒径20-60mm卵石或碎石作为导流层；最后在导流层上铺50cm厚袋装土。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库区边坡：对原地基整平、压实（压实系数≥0.9），其上铺GCL膨润土防水毯4800g/m</w:t>
            </w:r>
            <w:r>
              <w:rPr>
                <w:rFonts w:hint="eastAsia" w:ascii="Times New Roman" w:hAnsi="Times New Roman" w:cs="Times New Roman"/>
                <w:bCs/>
                <w:spacing w:val="0"/>
                <w:sz w:val="24"/>
                <w:szCs w:val="24"/>
                <w:vertAlign w:val="superscript"/>
                <w:lang w:val="en-US" w:eastAsia="zh-CN"/>
              </w:rPr>
              <w:t>2</w:t>
            </w:r>
            <w:r>
              <w:rPr>
                <w:rFonts w:hint="eastAsia" w:ascii="Times New Roman" w:hAnsi="Times New Roman" w:cs="Times New Roman"/>
                <w:bCs/>
                <w:spacing w:val="0"/>
                <w:sz w:val="24"/>
                <w:szCs w:val="24"/>
                <w:lang w:val="en-US" w:eastAsia="zh-CN"/>
              </w:rPr>
              <w:t>作为膜下保护层；再铺1.5mmHDPE膜防渗层；防渗衬层上覆盖800g/m</w:t>
            </w:r>
            <w:r>
              <w:rPr>
                <w:rFonts w:hint="eastAsia" w:ascii="Times New Roman" w:hAnsi="Times New Roman" w:cs="Times New Roman"/>
                <w:bCs/>
                <w:spacing w:val="0"/>
                <w:sz w:val="24"/>
                <w:szCs w:val="24"/>
                <w:vertAlign w:val="superscript"/>
                <w:lang w:val="en-US" w:eastAsia="zh-CN"/>
              </w:rPr>
              <w:t>2</w:t>
            </w:r>
            <w:r>
              <w:rPr>
                <w:rFonts w:hint="eastAsia" w:ascii="Times New Roman" w:hAnsi="Times New Roman" w:cs="Times New Roman"/>
                <w:bCs/>
                <w:spacing w:val="0"/>
                <w:sz w:val="24"/>
                <w:szCs w:val="24"/>
                <w:lang w:val="en-US" w:eastAsia="zh-CN"/>
              </w:rPr>
              <w:t>土工布（非织造土工布）；最后在铺50cm厚袋装土。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综上所述，在采取上述防渗处理措施后，本项目不会降低区域地下水环境质量。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（3）暂存场环境监测系统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根据《环境影响评价技术导则 地下水环境》（HJ610-2016）</w:t>
            </w:r>
            <w:r>
              <w:rPr>
                <w:rFonts w:ascii="宋体" w:hAnsi="宋体" w:eastAsia="宋体" w:cs="宋体"/>
                <w:sz w:val="24"/>
                <w:szCs w:val="24"/>
              </w:rPr>
              <w:t>）、《地下水环 境监测技术规范》（HJ/T 164-2004）</w:t>
            </w:r>
            <w:r>
              <w:rPr>
                <w:rFonts w:hint="eastAsia" w:ascii="Times New Roman" w:hAnsi="Times New Roman" w:cs="Times New Roman"/>
                <w:bCs/>
                <w:spacing w:val="0"/>
                <w:sz w:val="24"/>
                <w:szCs w:val="24"/>
                <w:lang w:val="en-US" w:eastAsia="zh-CN"/>
              </w:rPr>
              <w:t>及《建筑垃圾处理技术标准》（CJJT134-2019）要求，项目应设置地下水本底监测井、污染扩散监测井、污染监测井。本项目监测井设置如下：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①本底井，一眼，设在</w:t>
            </w:r>
            <w:r>
              <w:rPr>
                <w:rFonts w:hint="eastAsia" w:ascii="宋体" w:hAnsi="宋体" w:eastAsia="宋体" w:cs="宋体"/>
                <w:sz w:val="24"/>
                <w:szCs w:val="24"/>
                <w:lang w:val="en-US" w:eastAsia="zh-CN"/>
              </w:rPr>
              <w:t>暂存</w:t>
            </w:r>
            <w:r>
              <w:rPr>
                <w:rFonts w:ascii="宋体" w:hAnsi="宋体" w:eastAsia="宋体" w:cs="宋体"/>
                <w:sz w:val="24"/>
                <w:szCs w:val="24"/>
              </w:rPr>
              <w:t>场地下水流向上游</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南侧</w:t>
            </w:r>
            <w:r>
              <w:rPr>
                <w:rFonts w:hint="eastAsia" w:ascii="宋体" w:hAnsi="宋体" w:eastAsia="宋体" w:cs="宋体"/>
                <w:sz w:val="24"/>
                <w:szCs w:val="24"/>
                <w:lang w:eastAsia="zh-CN"/>
              </w:rPr>
              <w:t>）</w:t>
            </w:r>
            <w:r>
              <w:rPr>
                <w:rFonts w:ascii="宋体" w:hAnsi="宋体" w:eastAsia="宋体" w:cs="宋体"/>
                <w:sz w:val="24"/>
                <w:szCs w:val="24"/>
              </w:rPr>
              <w:t>30</w:t>
            </w:r>
            <w:r>
              <w:rPr>
                <w:rFonts w:hint="eastAsia" w:ascii="宋体" w:hAnsi="宋体" w:eastAsia="宋体" w:cs="宋体"/>
                <w:sz w:val="24"/>
                <w:szCs w:val="24"/>
                <w:lang w:val="en-US" w:eastAsia="zh-CN"/>
              </w:rPr>
              <w:t>m</w:t>
            </w:r>
            <w:r>
              <w:rPr>
                <w:rFonts w:ascii="宋体" w:hAnsi="宋体" w:eastAsia="宋体" w:cs="宋体"/>
                <w:sz w:val="24"/>
                <w:szCs w:val="24"/>
              </w:rPr>
              <w:t>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②排水井，一眼，设在</w:t>
            </w:r>
            <w:r>
              <w:rPr>
                <w:rFonts w:hint="eastAsia" w:ascii="宋体" w:hAnsi="宋体" w:eastAsia="宋体" w:cs="宋体"/>
                <w:sz w:val="24"/>
                <w:szCs w:val="24"/>
                <w:lang w:val="en-US" w:eastAsia="zh-CN"/>
              </w:rPr>
              <w:t>暂存</w:t>
            </w:r>
            <w:r>
              <w:rPr>
                <w:rFonts w:ascii="宋体" w:hAnsi="宋体" w:eastAsia="宋体" w:cs="宋体"/>
                <w:sz w:val="24"/>
                <w:szCs w:val="24"/>
              </w:rPr>
              <w:t>场地下水主管出口处；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③污染扩散井，两眼，分别设在垂直</w:t>
            </w:r>
            <w:r>
              <w:rPr>
                <w:rFonts w:hint="eastAsia" w:ascii="宋体" w:hAnsi="宋体" w:eastAsia="宋体" w:cs="宋体"/>
                <w:sz w:val="24"/>
                <w:szCs w:val="24"/>
                <w:lang w:val="en-US" w:eastAsia="zh-CN"/>
              </w:rPr>
              <w:t>暂存</w:t>
            </w:r>
            <w:r>
              <w:rPr>
                <w:rFonts w:ascii="宋体" w:hAnsi="宋体" w:eastAsia="宋体" w:cs="宋体"/>
                <w:sz w:val="24"/>
                <w:szCs w:val="24"/>
              </w:rPr>
              <w:t>场地下水走向的两侧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东西两侧</w:t>
            </w:r>
            <w:r>
              <w:rPr>
                <w:rFonts w:hint="eastAsia" w:ascii="宋体" w:hAnsi="宋体" w:eastAsia="宋体" w:cs="宋体"/>
                <w:sz w:val="24"/>
                <w:szCs w:val="24"/>
                <w:lang w:eastAsia="zh-CN"/>
              </w:rPr>
              <w:t>）</w:t>
            </w:r>
            <w:r>
              <w:rPr>
                <w:rFonts w:ascii="宋体" w:hAnsi="宋体" w:eastAsia="宋体" w:cs="宋体"/>
                <w:sz w:val="24"/>
                <w:szCs w:val="24"/>
              </w:rPr>
              <w:t>各30</w:t>
            </w:r>
            <w:r>
              <w:rPr>
                <w:rFonts w:hint="eastAsia" w:ascii="宋体" w:hAnsi="宋体" w:eastAsia="宋体" w:cs="宋体"/>
                <w:sz w:val="24"/>
                <w:szCs w:val="24"/>
                <w:lang w:val="en-US" w:eastAsia="zh-CN"/>
              </w:rPr>
              <w:t>m</w:t>
            </w:r>
            <w:r>
              <w:rPr>
                <w:rFonts w:ascii="宋体" w:hAnsi="宋体" w:eastAsia="宋体" w:cs="宋体"/>
                <w:sz w:val="24"/>
                <w:szCs w:val="24"/>
              </w:rPr>
              <w:t>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eastAsia="zh-CN"/>
              </w:rPr>
            </w:pPr>
            <w:r>
              <w:rPr>
                <w:rFonts w:ascii="宋体" w:hAnsi="宋体" w:eastAsia="宋体" w:cs="宋体"/>
                <w:sz w:val="24"/>
                <w:szCs w:val="24"/>
              </w:rPr>
              <w:t>④污染监视井，两眼，分别设在填埋场地下水流向下游</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北侧</w:t>
            </w:r>
            <w:r>
              <w:rPr>
                <w:rFonts w:hint="eastAsia" w:ascii="宋体" w:hAnsi="宋体" w:eastAsia="宋体" w:cs="宋体"/>
                <w:sz w:val="24"/>
                <w:szCs w:val="24"/>
                <w:lang w:eastAsia="zh-CN"/>
              </w:rPr>
              <w:t>）</w:t>
            </w:r>
            <w:r>
              <w:rPr>
                <w:rFonts w:ascii="宋体" w:hAnsi="宋体" w:eastAsia="宋体" w:cs="宋体"/>
                <w:sz w:val="24"/>
                <w:szCs w:val="24"/>
              </w:rPr>
              <w:t>30、50m</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 5 \* GB3 \* MERGEFORMAT </w:instrText>
            </w:r>
            <w:r>
              <w:rPr>
                <w:rFonts w:hint="eastAsia" w:ascii="宋体" w:hAnsi="宋体" w:eastAsia="宋体" w:cs="宋体"/>
                <w:sz w:val="24"/>
                <w:szCs w:val="24"/>
                <w:lang w:val="en-US" w:eastAsia="zh-CN"/>
              </w:rPr>
              <w:fldChar w:fldCharType="separate"/>
            </w:r>
            <w:r>
              <w:t>⑤</w:t>
            </w:r>
            <w:r>
              <w:rPr>
                <w:rFonts w:hint="eastAsia" w:ascii="宋体" w:hAnsi="宋体" w:eastAsia="宋体" w:cs="宋体"/>
                <w:sz w:val="24"/>
                <w:szCs w:val="24"/>
                <w:lang w:val="en-US" w:eastAsia="zh-CN"/>
              </w:rPr>
              <w:fldChar w:fldCharType="end"/>
            </w:r>
            <w:r>
              <w:rPr>
                <w:rFonts w:hint="eastAsia" w:ascii="Times New Roman" w:hAnsi="Times New Roman" w:cs="Times New Roman"/>
                <w:bCs/>
                <w:spacing w:val="0"/>
                <w:sz w:val="24"/>
                <w:szCs w:val="24"/>
                <w:lang w:val="en-US" w:eastAsia="zh-CN"/>
              </w:rPr>
              <w:t>监测井深入地下水位不小于8米。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采样方法为用特制的采样瓶提取水样，严禁用水泵抽取水样，每个样品采集200ml，特殊项目的采样量和固定方法按其所监测项目的分析方法要求进行。</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jc w:val="both"/>
              <w:textAlignment w:val="auto"/>
              <w:rPr>
                <w:rFonts w:ascii="Times New Roman" w:hAnsi="Times New Roman" w:eastAsia="宋体"/>
                <w:spacing w:val="-6"/>
                <w:sz w:val="24"/>
              </w:rPr>
            </w:pPr>
            <w:r>
              <w:rPr>
                <w:rFonts w:hint="eastAsia"/>
                <w:spacing w:val="-2"/>
                <w:sz w:val="24"/>
                <w:lang w:val="en-US" w:eastAsia="zh-CN"/>
              </w:rPr>
              <w:t>监测频率：</w:t>
            </w:r>
            <w:r>
              <w:rPr>
                <w:rFonts w:ascii="Times New Roman" w:hAnsi="Times New Roman" w:eastAsia="宋体"/>
                <w:spacing w:val="-2"/>
                <w:sz w:val="24"/>
              </w:rPr>
              <w:t>对排水井的水质监测频</w:t>
            </w:r>
            <w:r>
              <w:rPr>
                <w:rFonts w:ascii="Times New Roman" w:hAnsi="Times New Roman" w:eastAsia="宋体"/>
                <w:spacing w:val="16"/>
                <w:sz w:val="24"/>
              </w:rPr>
              <w:t>率应不少于</w:t>
            </w:r>
            <w:r>
              <w:rPr>
                <w:rFonts w:ascii="Times New Roman" w:hAnsi="Times New Roman" w:eastAsia="宋体"/>
                <w:spacing w:val="-2"/>
                <w:sz w:val="24"/>
              </w:rPr>
              <w:t>每周一次，对</w:t>
            </w:r>
            <w:r>
              <w:rPr>
                <w:rFonts w:ascii="Times New Roman" w:hAnsi="Times New Roman" w:eastAsia="宋体"/>
                <w:spacing w:val="16"/>
                <w:sz w:val="24"/>
              </w:rPr>
              <w:t>污染扩散井和污染监视井的水质监测频率应不</w:t>
            </w:r>
            <w:r>
              <w:rPr>
                <w:rFonts w:ascii="Times New Roman" w:hAnsi="Times New Roman" w:eastAsia="宋体"/>
                <w:spacing w:val="4"/>
                <w:sz w:val="24"/>
              </w:rPr>
              <w:t>少于每</w:t>
            </w:r>
            <w:r>
              <w:rPr>
                <w:rFonts w:ascii="Times New Roman" w:hAnsi="Times New Roman" w:eastAsia="宋体" w:cs="Times New Roman"/>
                <w:spacing w:val="4"/>
                <w:sz w:val="24"/>
              </w:rPr>
              <w:t>2</w:t>
            </w:r>
            <w:r>
              <w:rPr>
                <w:rFonts w:ascii="Times New Roman" w:hAnsi="Times New Roman" w:eastAsia="宋体"/>
                <w:spacing w:val="4"/>
                <w:sz w:val="24"/>
              </w:rPr>
              <w:t>周</w:t>
            </w:r>
            <w:r>
              <w:rPr>
                <w:rFonts w:ascii="Times New Roman" w:hAnsi="Times New Roman" w:eastAsia="宋体"/>
                <w:spacing w:val="-2"/>
                <w:sz w:val="24"/>
              </w:rPr>
              <w:t>一次，对本底</w:t>
            </w:r>
            <w:r>
              <w:rPr>
                <w:rFonts w:ascii="Times New Roman" w:hAnsi="Times New Roman" w:eastAsia="宋体"/>
                <w:spacing w:val="16"/>
                <w:sz w:val="24"/>
              </w:rPr>
              <w:t>井的水质监测频率应不</w:t>
            </w:r>
            <w:r>
              <w:rPr>
                <w:rFonts w:ascii="Times New Roman" w:hAnsi="Times New Roman" w:eastAsia="宋体"/>
                <w:spacing w:val="-2"/>
                <w:sz w:val="24"/>
              </w:rPr>
              <w:t>少于每个月</w:t>
            </w:r>
            <w:r>
              <w:rPr>
                <w:rFonts w:ascii="Times New Roman" w:hAnsi="Times New Roman" w:eastAsia="宋体" w:cs="Times New Roman"/>
                <w:spacing w:val="-2"/>
                <w:sz w:val="24"/>
              </w:rPr>
              <w:t>1</w:t>
            </w:r>
            <w:r>
              <w:rPr>
                <w:rFonts w:ascii="Times New Roman" w:hAnsi="Times New Roman" w:eastAsia="宋体"/>
                <w:spacing w:val="-6"/>
                <w:sz w:val="24"/>
              </w:rPr>
              <w:t>次。</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5.2 土壤环境影响和保护措施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建筑垃圾堆料区产生的雨水渗水经</w:t>
            </w:r>
            <w:r>
              <w:rPr>
                <w:rFonts w:hint="eastAsia" w:cs="Times New Roman"/>
                <w:bCs/>
                <w:spacing w:val="0"/>
                <w:sz w:val="24"/>
                <w:szCs w:val="24"/>
                <w:lang w:val="en-US" w:eastAsia="zh-CN"/>
              </w:rPr>
              <w:t>沉淀</w:t>
            </w:r>
            <w:r>
              <w:rPr>
                <w:rFonts w:hint="eastAsia" w:ascii="Times New Roman" w:hAnsi="Times New Roman" w:cs="Times New Roman"/>
                <w:bCs/>
                <w:spacing w:val="0"/>
                <w:sz w:val="24"/>
                <w:szCs w:val="24"/>
                <w:lang w:val="en-US" w:eastAsia="zh-CN"/>
              </w:rPr>
              <w:t>池</w:t>
            </w:r>
            <w:r>
              <w:rPr>
                <w:rFonts w:hint="eastAsia" w:cs="Times New Roman"/>
                <w:bCs/>
                <w:spacing w:val="0"/>
                <w:sz w:val="24"/>
                <w:szCs w:val="24"/>
                <w:lang w:val="en-US" w:eastAsia="zh-CN"/>
              </w:rPr>
              <w:t>沉淀后，排入雨水渗水暂存场</w:t>
            </w:r>
            <w:r>
              <w:rPr>
                <w:rFonts w:hint="eastAsia" w:ascii="Times New Roman" w:hAnsi="Times New Roman" w:cs="Times New Roman"/>
                <w:bCs/>
                <w:spacing w:val="0"/>
                <w:sz w:val="24"/>
                <w:szCs w:val="24"/>
                <w:lang w:val="en-US" w:eastAsia="zh-CN"/>
              </w:rPr>
              <w:t>，</w:t>
            </w:r>
            <w:r>
              <w:rPr>
                <w:rFonts w:hint="eastAsia" w:cs="Times New Roman"/>
                <w:bCs/>
                <w:spacing w:val="0"/>
                <w:sz w:val="24"/>
                <w:szCs w:val="24"/>
                <w:lang w:val="en-US" w:eastAsia="zh-CN"/>
              </w:rPr>
              <w:t>与化粪池污水一起</w:t>
            </w:r>
            <w:r>
              <w:rPr>
                <w:rFonts w:hint="eastAsia" w:ascii="Times New Roman" w:hAnsi="Times New Roman" w:cs="Times New Roman"/>
                <w:bCs/>
                <w:sz w:val="24"/>
                <w:szCs w:val="24"/>
                <w:highlight w:val="none"/>
                <w:vertAlign w:val="baseline"/>
                <w:lang w:val="en-US" w:eastAsia="zh-CN"/>
              </w:rPr>
              <w:t>由吸污车拉运至</w:t>
            </w:r>
            <w:r>
              <w:rPr>
                <w:rFonts w:hint="eastAsia" w:cs="Times New Roman"/>
                <w:bCs/>
                <w:sz w:val="24"/>
                <w:szCs w:val="24"/>
                <w:highlight w:val="none"/>
                <w:vertAlign w:val="baseline"/>
                <w:lang w:val="en-US" w:eastAsia="zh-CN"/>
              </w:rPr>
              <w:t>七台河市第二</w:t>
            </w:r>
            <w:r>
              <w:rPr>
                <w:rFonts w:hint="eastAsia" w:ascii="Times New Roman" w:hAnsi="Times New Roman" w:cs="Times New Roman"/>
                <w:bCs/>
                <w:sz w:val="24"/>
                <w:szCs w:val="24"/>
                <w:highlight w:val="none"/>
                <w:vertAlign w:val="baseline"/>
                <w:lang w:val="en-US" w:eastAsia="zh-CN"/>
              </w:rPr>
              <w:t>污水处理厂处理</w:t>
            </w:r>
            <w:r>
              <w:rPr>
                <w:rFonts w:hint="eastAsia" w:ascii="Times New Roman" w:hAnsi="Times New Roman" w:cs="Times New Roman"/>
                <w:bCs/>
                <w:spacing w:val="0"/>
                <w:sz w:val="24"/>
                <w:szCs w:val="24"/>
                <w:lang w:val="en-US" w:eastAsia="zh-CN"/>
              </w:rPr>
              <w:t>。可能对地下水造成污染的是暂存场建筑垃圾经降水淋溶后，可溶性元素随着雨水迁移进入土壤，并进一步迁移至含水层。雨水渗水产生和入渗量主要取决于暂存场所在区域的气象条件。从七台河市气象资料可知，项目区域雨量多集中在7~9月份，</w:t>
            </w:r>
            <w:r>
              <w:rPr>
                <w:rFonts w:hint="eastAsia" w:ascii="Times New Roman" w:hAnsi="Times New Roman" w:eastAsia="宋体" w:cs="Times New Roman"/>
                <w:color w:val="auto"/>
                <w:sz w:val="24"/>
                <w:szCs w:val="22"/>
                <w:lang w:eastAsia="zh-CN"/>
              </w:rPr>
              <w:t>多年平均降雨量为</w:t>
            </w:r>
            <w:r>
              <w:rPr>
                <w:rFonts w:hint="eastAsia" w:ascii="Times New Roman" w:hAnsi="Times New Roman" w:eastAsia="宋体" w:cs="Times New Roman"/>
                <w:color w:val="auto"/>
                <w:sz w:val="24"/>
                <w:szCs w:val="22"/>
                <w:lang w:val="en-US" w:eastAsia="zh-CN"/>
              </w:rPr>
              <w:t>492.6</w:t>
            </w:r>
            <w:r>
              <w:rPr>
                <w:rFonts w:hint="eastAsia" w:ascii="Times New Roman" w:hAnsi="Times New Roman" w:eastAsia="宋体" w:cs="Times New Roman"/>
                <w:color w:val="auto"/>
                <w:sz w:val="24"/>
                <w:szCs w:val="22"/>
                <w:lang w:eastAsia="zh-CN"/>
              </w:rPr>
              <w:t>mm</w:t>
            </w:r>
            <w:r>
              <w:rPr>
                <w:rFonts w:hint="eastAsia" w:ascii="Times New Roman" w:hAnsi="Times New Roman" w:cs="Times New Roman"/>
                <w:bCs/>
                <w:spacing w:val="0"/>
                <w:sz w:val="24"/>
                <w:szCs w:val="24"/>
                <w:lang w:val="en-US" w:eastAsia="zh-CN"/>
              </w:rPr>
              <w:t>。七台河市年蒸发量为1200mm，蒸发量约是降水量的2.5倍，即建筑垃圾不会被充分浸泡，不会形成持续的雨水渗水下渗污染影响。此外，本项目在暂存场内设置雨水渗水导排盲沟，导排上游来水，建筑垃圾也不会被充分浸泡，不会形成持续的雨水渗水下渗污染影响。雨水渗水通过该盲沟后流入流至建筑垃圾雨水渗水调节池中，容积665m</w:t>
            </w:r>
            <w:r>
              <w:rPr>
                <w:rFonts w:hint="eastAsia" w:ascii="Times New Roman" w:hAnsi="Times New Roman" w:cs="Times New Roman"/>
                <w:bCs/>
                <w:spacing w:val="0"/>
                <w:sz w:val="24"/>
                <w:szCs w:val="24"/>
                <w:vertAlign w:val="superscript"/>
                <w:lang w:val="en-US" w:eastAsia="zh-CN"/>
              </w:rPr>
              <w:t>3</w:t>
            </w:r>
            <w:r>
              <w:rPr>
                <w:rFonts w:hint="eastAsia" w:ascii="Times New Roman" w:hAnsi="Times New Roman" w:cs="Times New Roman"/>
                <w:bCs/>
                <w:spacing w:val="0"/>
                <w:sz w:val="24"/>
                <w:szCs w:val="24"/>
                <w:lang w:val="en-US" w:eastAsia="zh-CN"/>
              </w:rPr>
              <w:t>，收集的雨水渗水由吸污车拉运至</w:t>
            </w:r>
            <w:r>
              <w:rPr>
                <w:rFonts w:hint="eastAsia" w:cs="Times New Roman"/>
                <w:bCs/>
                <w:spacing w:val="0"/>
                <w:sz w:val="24"/>
                <w:szCs w:val="24"/>
                <w:lang w:val="en-US" w:eastAsia="zh-CN"/>
              </w:rPr>
              <w:t>七台河市污泥处置厂</w:t>
            </w:r>
            <w:r>
              <w:rPr>
                <w:rFonts w:hint="eastAsia" w:ascii="Times New Roman" w:hAnsi="Times New Roman" w:cs="Times New Roman"/>
                <w:bCs/>
                <w:spacing w:val="0"/>
                <w:sz w:val="24"/>
                <w:szCs w:val="24"/>
                <w:lang w:val="en-US" w:eastAsia="zh-CN"/>
              </w:rPr>
              <w:t>处理，不外排。此外雨水渗水</w:t>
            </w:r>
            <w:r>
              <w:rPr>
                <w:rFonts w:hint="eastAsia" w:cs="Times New Roman"/>
                <w:bCs/>
                <w:spacing w:val="0"/>
                <w:sz w:val="24"/>
                <w:szCs w:val="24"/>
                <w:lang w:val="en-US" w:eastAsia="zh-CN"/>
              </w:rPr>
              <w:t>沉淀</w:t>
            </w:r>
            <w:r>
              <w:rPr>
                <w:rFonts w:hint="eastAsia" w:ascii="Times New Roman" w:hAnsi="Times New Roman" w:cs="Times New Roman"/>
                <w:bCs/>
                <w:spacing w:val="0"/>
                <w:sz w:val="24"/>
                <w:szCs w:val="24"/>
                <w:lang w:val="en-US" w:eastAsia="zh-CN"/>
              </w:rPr>
              <w:t>池</w:t>
            </w:r>
            <w:r>
              <w:rPr>
                <w:rFonts w:hint="eastAsia" w:cs="Times New Roman"/>
                <w:bCs/>
                <w:spacing w:val="0"/>
                <w:sz w:val="24"/>
                <w:szCs w:val="24"/>
                <w:lang w:val="en-US" w:eastAsia="zh-CN"/>
              </w:rPr>
              <w:t>、雨水渗水暂存池</w:t>
            </w:r>
            <w:r>
              <w:rPr>
                <w:rFonts w:hint="eastAsia" w:ascii="Times New Roman" w:hAnsi="Times New Roman" w:cs="Times New Roman"/>
                <w:bCs/>
                <w:spacing w:val="0"/>
                <w:sz w:val="24"/>
                <w:szCs w:val="24"/>
                <w:lang w:val="en-US" w:eastAsia="zh-CN"/>
              </w:rPr>
              <w:t>及堆料区均进行重点防渗处置。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项目回填处置建筑垃圾一般情况下不会对土壤环境产生影响，只有在极端天气条件产生暴雨汇流时复垦平台会有短暂积水，但经排水沟级防渗等一系列措施处理后，项目的建设对区域土壤环境影响较小。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5.3 地下水、土壤监测计划</w:t>
            </w:r>
          </w:p>
          <w:p>
            <w:pPr>
              <w:pStyle w:val="16"/>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eastAsia="宋体"/>
                <w:sz w:val="24"/>
                <w:szCs w:val="24"/>
                <w:lang w:eastAsia="zh-CN"/>
              </w:rPr>
            </w:pPr>
            <w:r>
              <w:rPr>
                <w:rFonts w:hint="eastAsia"/>
                <w:sz w:val="24"/>
                <w:szCs w:val="24"/>
                <w:lang w:val="en-US" w:eastAsia="zh-CN"/>
              </w:rPr>
              <w:t>根据《排污单位自行监测技术指南 总则》（HJ819-2017）、《建筑垃圾处理技术标准》（CJJ/T34-2019）的相关规定以及本工程污染物排放情况，制定本工程施工及运行期监测计划。</w:t>
            </w:r>
            <w:r>
              <w:rPr>
                <w:rFonts w:hint="eastAsia"/>
                <w:sz w:val="24"/>
                <w:szCs w:val="24"/>
              </w:rPr>
              <w:t>运营期地下水、土壤监测计划见下表。</w:t>
            </w:r>
          </w:p>
          <w:p>
            <w:pPr>
              <w:adjustRightInd w:val="0"/>
              <w:snapToGrid w:val="0"/>
              <w:jc w:val="center"/>
            </w:pPr>
            <w:r>
              <w:rPr>
                <w:b/>
                <w:bCs/>
              </w:rPr>
              <w:t>表</w:t>
            </w:r>
            <w:r>
              <w:rPr>
                <w:rFonts w:hint="eastAsia"/>
                <w:b/>
                <w:bCs/>
                <w:lang w:val="en-US" w:eastAsia="zh-CN"/>
              </w:rPr>
              <w:t xml:space="preserve">4-10    </w:t>
            </w:r>
            <w:r>
              <w:rPr>
                <w:rFonts w:hint="eastAsia"/>
                <w:b/>
                <w:bCs/>
              </w:rPr>
              <w:t>地下水、土壤</w:t>
            </w:r>
            <w:r>
              <w:rPr>
                <w:b/>
                <w:bCs/>
              </w:rPr>
              <w:t>监测</w:t>
            </w:r>
            <w:r>
              <w:rPr>
                <w:rFonts w:hint="eastAsia"/>
                <w:b/>
                <w:bCs/>
              </w:rPr>
              <w:t>计划</w:t>
            </w:r>
            <w:r>
              <w:rPr>
                <w:b/>
                <w:bCs/>
              </w:rPr>
              <w:t>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47"/>
              <w:gridCol w:w="860"/>
              <w:gridCol w:w="2916"/>
              <w:gridCol w:w="912"/>
              <w:gridCol w:w="2043"/>
              <w:gridCol w:w="9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4023" w:type="dxa"/>
                  <w:gridSpan w:val="3"/>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bCs/>
                      <w:sz w:val="21"/>
                      <w:szCs w:val="21"/>
                    </w:rPr>
                  </w:pPr>
                  <w:r>
                    <w:rPr>
                      <w:b/>
                      <w:bCs/>
                      <w:sz w:val="21"/>
                      <w:szCs w:val="21"/>
                    </w:rPr>
                    <w:t>监测项目</w:t>
                  </w:r>
                </w:p>
              </w:tc>
              <w:tc>
                <w:tcPr>
                  <w:tcW w:w="912"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bCs/>
                      <w:sz w:val="21"/>
                      <w:szCs w:val="21"/>
                    </w:rPr>
                  </w:pPr>
                  <w:r>
                    <w:rPr>
                      <w:b/>
                      <w:bCs/>
                      <w:sz w:val="21"/>
                      <w:szCs w:val="21"/>
                    </w:rPr>
                    <w:t>规范要求</w:t>
                  </w:r>
                </w:p>
              </w:tc>
              <w:tc>
                <w:tcPr>
                  <w:tcW w:w="2043"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bCs/>
                      <w:sz w:val="21"/>
                      <w:szCs w:val="21"/>
                    </w:rPr>
                  </w:pPr>
                  <w:r>
                    <w:rPr>
                      <w:rFonts w:hint="eastAsia"/>
                      <w:b/>
                      <w:bCs/>
                      <w:sz w:val="21"/>
                      <w:szCs w:val="21"/>
                    </w:rPr>
                    <w:t>监测地点</w:t>
                  </w:r>
                </w:p>
              </w:tc>
              <w:tc>
                <w:tcPr>
                  <w:tcW w:w="965"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bCs/>
                      <w:sz w:val="21"/>
                      <w:szCs w:val="21"/>
                    </w:rPr>
                  </w:pPr>
                  <w:r>
                    <w:rPr>
                      <w:b/>
                      <w:bCs/>
                      <w:sz w:val="21"/>
                      <w:szCs w:val="21"/>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247" w:type="dxa"/>
                  <w:vMerge w:val="restar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1</w:t>
                  </w:r>
                </w:p>
              </w:tc>
              <w:tc>
                <w:tcPr>
                  <w:tcW w:w="860" w:type="dxa"/>
                  <w:vMerge w:val="restar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地下水</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监测</w:t>
                  </w:r>
                </w:p>
              </w:tc>
              <w:tc>
                <w:tcPr>
                  <w:tcW w:w="2916" w:type="dxa"/>
                  <w:vMerge w:val="restar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pH、耗氧量（COD</w:t>
                  </w:r>
                  <w:r>
                    <w:rPr>
                      <w:sz w:val="21"/>
                      <w:szCs w:val="21"/>
                      <w:vertAlign w:val="subscript"/>
                    </w:rPr>
                    <w:t>Mn</w:t>
                  </w:r>
                  <w:r>
                    <w:rPr>
                      <w:sz w:val="21"/>
                      <w:szCs w:val="21"/>
                    </w:rPr>
                    <w:t>法，以O</w:t>
                  </w:r>
                  <w:r>
                    <w:rPr>
                      <w:sz w:val="21"/>
                      <w:szCs w:val="21"/>
                      <w:vertAlign w:val="subscript"/>
                    </w:rPr>
                    <w:t>2</w:t>
                  </w:r>
                  <w:r>
                    <w:rPr>
                      <w:sz w:val="21"/>
                      <w:szCs w:val="21"/>
                    </w:rPr>
                    <w:t>计）、总硬度、溶解性总固体、硝酸盐、亚硝酸盐、氨氮挥发性酚、氰化物、砷、汞、六价铬、铅、氟、镉、铁、锰铜、锌、总大肠菌群、菌落总数、K</w:t>
                  </w:r>
                  <w:r>
                    <w:rPr>
                      <w:sz w:val="21"/>
                      <w:szCs w:val="21"/>
                      <w:vertAlign w:val="superscript"/>
                    </w:rPr>
                    <w:t>+</w:t>
                  </w:r>
                  <w:r>
                    <w:rPr>
                      <w:rFonts w:hint="eastAsia"/>
                      <w:sz w:val="21"/>
                      <w:szCs w:val="21"/>
                    </w:rPr>
                    <w:t>、</w:t>
                  </w:r>
                  <w:r>
                    <w:rPr>
                      <w:sz w:val="21"/>
                      <w:szCs w:val="21"/>
                    </w:rPr>
                    <w:t>Na</w:t>
                  </w:r>
                  <w:r>
                    <w:rPr>
                      <w:sz w:val="21"/>
                      <w:szCs w:val="21"/>
                      <w:vertAlign w:val="superscript"/>
                    </w:rPr>
                    <w:t>+</w:t>
                  </w:r>
                  <w:r>
                    <w:rPr>
                      <w:rFonts w:hint="eastAsia"/>
                      <w:sz w:val="21"/>
                      <w:szCs w:val="21"/>
                    </w:rPr>
                    <w:t>、</w:t>
                  </w:r>
                  <w:r>
                    <w:rPr>
                      <w:sz w:val="21"/>
                      <w:szCs w:val="21"/>
                    </w:rPr>
                    <w:t>Ca</w:t>
                  </w:r>
                  <w:r>
                    <w:rPr>
                      <w:sz w:val="21"/>
                      <w:szCs w:val="21"/>
                      <w:vertAlign w:val="superscript"/>
                    </w:rPr>
                    <w:t>2+</w:t>
                  </w:r>
                  <w:r>
                    <w:rPr>
                      <w:sz w:val="21"/>
                      <w:szCs w:val="21"/>
                    </w:rPr>
                    <w:t>、Mg</w:t>
                  </w:r>
                  <w:r>
                    <w:rPr>
                      <w:sz w:val="21"/>
                      <w:szCs w:val="21"/>
                      <w:vertAlign w:val="superscript"/>
                    </w:rPr>
                    <w:t>2+</w:t>
                  </w:r>
                  <w:r>
                    <w:rPr>
                      <w:sz w:val="21"/>
                      <w:szCs w:val="21"/>
                    </w:rPr>
                    <w:t>、SO</w:t>
                  </w:r>
                  <w:r>
                    <w:rPr>
                      <w:sz w:val="21"/>
                      <w:szCs w:val="21"/>
                      <w:vertAlign w:val="subscript"/>
                    </w:rPr>
                    <w:t>4</w:t>
                  </w:r>
                  <w:r>
                    <w:rPr>
                      <w:sz w:val="21"/>
                      <w:szCs w:val="21"/>
                      <w:vertAlign w:val="superscript"/>
                    </w:rPr>
                    <w:t>2</w:t>
                  </w:r>
                  <w:r>
                    <w:rPr>
                      <w:rFonts w:hint="eastAsia"/>
                      <w:sz w:val="21"/>
                      <w:szCs w:val="21"/>
                      <w:vertAlign w:val="superscript"/>
                    </w:rPr>
                    <w:t>-</w:t>
                  </w:r>
                  <w:r>
                    <w:rPr>
                      <w:rFonts w:hint="eastAsia"/>
                      <w:sz w:val="21"/>
                      <w:szCs w:val="21"/>
                    </w:rPr>
                    <w:t>、</w:t>
                  </w:r>
                  <w:r>
                    <w:rPr>
                      <w:sz w:val="21"/>
                      <w:szCs w:val="21"/>
                    </w:rPr>
                    <w:t>Cl</w:t>
                  </w:r>
                  <w:r>
                    <w:rPr>
                      <w:sz w:val="21"/>
                      <w:szCs w:val="21"/>
                      <w:vertAlign w:val="superscript"/>
                    </w:rPr>
                    <w:t>-</w:t>
                  </w:r>
                  <w:r>
                    <w:rPr>
                      <w:sz w:val="21"/>
                      <w:szCs w:val="21"/>
                    </w:rPr>
                    <w:t>、CO</w:t>
                  </w:r>
                  <w:r>
                    <w:rPr>
                      <w:rFonts w:hint="eastAsia"/>
                      <w:sz w:val="21"/>
                      <w:szCs w:val="21"/>
                      <w:vertAlign w:val="subscript"/>
                    </w:rPr>
                    <w:t>3</w:t>
                  </w:r>
                  <w:r>
                    <w:rPr>
                      <w:sz w:val="21"/>
                      <w:szCs w:val="21"/>
                      <w:vertAlign w:val="superscript"/>
                    </w:rPr>
                    <w:t>2-</w:t>
                  </w:r>
                  <w:r>
                    <w:rPr>
                      <w:sz w:val="21"/>
                      <w:szCs w:val="21"/>
                    </w:rPr>
                    <w:t>、HCO</w:t>
                  </w:r>
                  <w:r>
                    <w:rPr>
                      <w:rFonts w:hint="eastAsia"/>
                      <w:sz w:val="21"/>
                      <w:szCs w:val="21"/>
                      <w:vertAlign w:val="subscript"/>
                    </w:rPr>
                    <w:t>3</w:t>
                  </w:r>
                  <w:r>
                    <w:rPr>
                      <w:sz w:val="21"/>
                      <w:szCs w:val="21"/>
                      <w:vertAlign w:val="superscript"/>
                    </w:rPr>
                    <w:t>-</w:t>
                  </w:r>
                  <w:r>
                    <w:rPr>
                      <w:sz w:val="21"/>
                      <w:szCs w:val="21"/>
                    </w:rPr>
                    <w:t>。</w:t>
                  </w:r>
                </w:p>
              </w:tc>
              <w:tc>
                <w:tcPr>
                  <w:tcW w:w="912" w:type="dxa"/>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sz w:val="21"/>
                      <w:szCs w:val="21"/>
                    </w:rPr>
                    <w:t>投入使用前</w:t>
                  </w:r>
                </w:p>
              </w:tc>
              <w:tc>
                <w:tcPr>
                  <w:tcW w:w="2043" w:type="dxa"/>
                  <w:vMerge w:val="restar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rFonts w:ascii="Times New Roman" w:hAnsi="Times New Roman" w:eastAsia="宋体" w:cs="宋体"/>
                      <w:sz w:val="21"/>
                      <w:szCs w:val="24"/>
                    </w:rPr>
                    <w:t>①本底井，一眼，设在</w:t>
                  </w:r>
                  <w:r>
                    <w:rPr>
                      <w:rFonts w:hint="eastAsia" w:ascii="Times New Roman" w:hAnsi="Times New Roman" w:eastAsia="宋体" w:cs="宋体"/>
                      <w:sz w:val="21"/>
                      <w:szCs w:val="24"/>
                      <w:lang w:val="en-US" w:eastAsia="zh-CN"/>
                    </w:rPr>
                    <w:t>暂存</w:t>
                  </w:r>
                  <w:r>
                    <w:rPr>
                      <w:rFonts w:ascii="Times New Roman" w:hAnsi="Times New Roman" w:eastAsia="宋体" w:cs="宋体"/>
                      <w:sz w:val="21"/>
                      <w:szCs w:val="24"/>
                    </w:rPr>
                    <w:t>场地下水流向上游 30-50m 处</w:t>
                  </w:r>
                  <w:r>
                    <w:rPr>
                      <w:rFonts w:hint="eastAsia" w:ascii="Times New Roman" w:hAnsi="Times New Roman" w:cs="宋体"/>
                      <w:sz w:val="21"/>
                      <w:szCs w:val="24"/>
                      <w:lang w:eastAsia="zh-CN"/>
                    </w:rPr>
                    <w:t>；</w:t>
                  </w:r>
                  <w:r>
                    <w:rPr>
                      <w:rFonts w:ascii="Times New Roman" w:hAnsi="Times New Roman" w:eastAsia="宋体" w:cs="宋体"/>
                      <w:sz w:val="21"/>
                      <w:szCs w:val="24"/>
                    </w:rPr>
                    <w:t>②排水井，一眼，设在填埋场地下水主管出口处；③污染扩散井，两眼，分别设在垂直填埋场地下水走向的两侧各 30-50m 处；④污染监视井，两眼，分别设在填埋场地下水流向下游 30、50m</w:t>
                  </w:r>
                  <w:r>
                    <w:rPr>
                      <w:rFonts w:hint="eastAsia" w:ascii="Times New Roman" w:hAnsi="Times New Roman" w:eastAsia="宋体" w:cs="宋体"/>
                      <w:sz w:val="21"/>
                      <w:szCs w:val="24"/>
                      <w:lang w:eastAsia="zh-CN"/>
                    </w:rPr>
                    <w:t>；</w:t>
                  </w:r>
                  <w:r>
                    <w:rPr>
                      <w:rFonts w:hint="eastAsia" w:ascii="Times New Roman" w:hAnsi="Times New Roman" w:eastAsia="宋体" w:cs="宋体"/>
                      <w:sz w:val="21"/>
                      <w:szCs w:val="24"/>
                      <w:lang w:val="en-US" w:eastAsia="zh-CN"/>
                    </w:rPr>
                    <w:fldChar w:fldCharType="begin"/>
                  </w:r>
                  <w:r>
                    <w:rPr>
                      <w:rFonts w:hint="eastAsia" w:ascii="Times New Roman" w:hAnsi="Times New Roman" w:eastAsia="宋体" w:cs="宋体"/>
                      <w:sz w:val="21"/>
                      <w:szCs w:val="24"/>
                      <w:lang w:val="en-US" w:eastAsia="zh-CN"/>
                    </w:rPr>
                    <w:instrText xml:space="preserve"> = 5 \* GB3 \* MERGEFORMAT </w:instrText>
                  </w:r>
                  <w:r>
                    <w:rPr>
                      <w:rFonts w:hint="eastAsia" w:ascii="Times New Roman" w:hAnsi="Times New Roman" w:eastAsia="宋体" w:cs="宋体"/>
                      <w:sz w:val="21"/>
                      <w:szCs w:val="24"/>
                      <w:lang w:val="en-US" w:eastAsia="zh-CN"/>
                    </w:rPr>
                    <w:fldChar w:fldCharType="separate"/>
                  </w:r>
                  <w:r>
                    <w:rPr>
                      <w:rFonts w:ascii="Times New Roman" w:hAnsi="Times New Roman"/>
                      <w:sz w:val="21"/>
                    </w:rPr>
                    <w:t>⑤</w:t>
                  </w:r>
                  <w:r>
                    <w:rPr>
                      <w:rFonts w:hint="eastAsia" w:ascii="Times New Roman" w:hAnsi="Times New Roman" w:eastAsia="宋体" w:cs="宋体"/>
                      <w:sz w:val="21"/>
                      <w:szCs w:val="24"/>
                      <w:lang w:val="en-US" w:eastAsia="zh-CN"/>
                    </w:rPr>
                    <w:fldChar w:fldCharType="end"/>
                  </w:r>
                  <w:r>
                    <w:rPr>
                      <w:rFonts w:hint="eastAsia" w:ascii="Times New Roman" w:hAnsi="Times New Roman" w:cs="Times New Roman"/>
                      <w:bCs/>
                      <w:spacing w:val="0"/>
                      <w:sz w:val="21"/>
                      <w:szCs w:val="24"/>
                      <w:lang w:val="en-US" w:eastAsia="zh-CN"/>
                    </w:rPr>
                    <w:t>监测井深入地下水位不小于8米。</w:t>
                  </w:r>
                </w:p>
              </w:tc>
              <w:tc>
                <w:tcPr>
                  <w:tcW w:w="965" w:type="dxa"/>
                  <w:vMerge w:val="restar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ascii="Times New Roman" w:hAnsi="Times New Roman" w:eastAsia="宋体"/>
                      <w:spacing w:val="-2"/>
                      <w:sz w:val="21"/>
                    </w:rPr>
                    <w:t>对排水井的水质监测频</w:t>
                  </w:r>
                  <w:r>
                    <w:rPr>
                      <w:rFonts w:ascii="Times New Roman" w:hAnsi="Times New Roman" w:eastAsia="宋体"/>
                      <w:spacing w:val="16"/>
                      <w:sz w:val="21"/>
                    </w:rPr>
                    <w:t>率应不少于</w:t>
                  </w:r>
                  <w:r>
                    <w:rPr>
                      <w:rFonts w:ascii="Times New Roman" w:hAnsi="Times New Roman" w:eastAsia="宋体"/>
                      <w:spacing w:val="-2"/>
                      <w:sz w:val="21"/>
                    </w:rPr>
                    <w:t>每周一次，对</w:t>
                  </w:r>
                  <w:r>
                    <w:rPr>
                      <w:rFonts w:ascii="Times New Roman" w:hAnsi="Times New Roman" w:eastAsia="宋体"/>
                      <w:spacing w:val="16"/>
                      <w:sz w:val="21"/>
                    </w:rPr>
                    <w:t>污染扩散井和污染监视井的水质监测频率应不</w:t>
                  </w:r>
                  <w:r>
                    <w:rPr>
                      <w:rFonts w:ascii="Times New Roman" w:hAnsi="Times New Roman" w:eastAsia="宋体"/>
                      <w:spacing w:val="4"/>
                      <w:sz w:val="21"/>
                    </w:rPr>
                    <w:t>少于每</w:t>
                  </w:r>
                  <w:r>
                    <w:rPr>
                      <w:rFonts w:ascii="Times New Roman" w:hAnsi="Times New Roman" w:eastAsia="宋体" w:cs="Times New Roman"/>
                      <w:spacing w:val="4"/>
                      <w:sz w:val="21"/>
                    </w:rPr>
                    <w:t>2</w:t>
                  </w:r>
                  <w:r>
                    <w:rPr>
                      <w:rFonts w:ascii="Times New Roman" w:hAnsi="Times New Roman" w:eastAsia="宋体"/>
                      <w:spacing w:val="4"/>
                      <w:sz w:val="21"/>
                    </w:rPr>
                    <w:t>周</w:t>
                  </w:r>
                  <w:r>
                    <w:rPr>
                      <w:rFonts w:ascii="Times New Roman" w:hAnsi="Times New Roman" w:eastAsia="宋体"/>
                      <w:spacing w:val="-2"/>
                      <w:sz w:val="21"/>
                    </w:rPr>
                    <w:t>一次，对本底</w:t>
                  </w:r>
                  <w:r>
                    <w:rPr>
                      <w:rFonts w:ascii="Times New Roman" w:hAnsi="Times New Roman" w:eastAsia="宋体"/>
                      <w:spacing w:val="16"/>
                      <w:sz w:val="21"/>
                    </w:rPr>
                    <w:t>井的水质监测频率应不</w:t>
                  </w:r>
                  <w:r>
                    <w:rPr>
                      <w:rFonts w:ascii="Times New Roman" w:hAnsi="Times New Roman" w:eastAsia="宋体"/>
                      <w:spacing w:val="-2"/>
                      <w:sz w:val="21"/>
                    </w:rPr>
                    <w:t>少于每个月</w:t>
                  </w:r>
                  <w:r>
                    <w:rPr>
                      <w:rFonts w:ascii="Times New Roman" w:hAnsi="Times New Roman" w:eastAsia="宋体" w:cs="Times New Roman"/>
                      <w:spacing w:val="-2"/>
                      <w:sz w:val="21"/>
                    </w:rPr>
                    <w:t>1</w:t>
                  </w:r>
                  <w:r>
                    <w:rPr>
                      <w:rFonts w:ascii="Times New Roman" w:hAnsi="Times New Roman" w:eastAsia="宋体"/>
                      <w:spacing w:val="-6"/>
                      <w:sz w:val="21"/>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69" w:hRule="atLeast"/>
                <w:jc w:val="center"/>
              </w:trPr>
              <w:tc>
                <w:tcPr>
                  <w:tcW w:w="2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p>
              </w:tc>
              <w:tc>
                <w:tcPr>
                  <w:tcW w:w="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p>
              </w:tc>
              <w:tc>
                <w:tcPr>
                  <w:tcW w:w="291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p>
              </w:tc>
              <w:tc>
                <w:tcPr>
                  <w:tcW w:w="9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运行</w:t>
                  </w:r>
                </w:p>
              </w:tc>
              <w:tc>
                <w:tcPr>
                  <w:tcW w:w="20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p>
              </w:tc>
              <w:tc>
                <w:tcPr>
                  <w:tcW w:w="9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6" w:hRule="atLeast"/>
                <w:jc w:val="center"/>
              </w:trPr>
              <w:tc>
                <w:tcPr>
                  <w:tcW w:w="2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p>
              </w:tc>
              <w:tc>
                <w:tcPr>
                  <w:tcW w:w="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p>
              </w:tc>
              <w:tc>
                <w:tcPr>
                  <w:tcW w:w="291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p>
              </w:tc>
              <w:tc>
                <w:tcPr>
                  <w:tcW w:w="9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封场</w:t>
                  </w:r>
                </w:p>
              </w:tc>
              <w:tc>
                <w:tcPr>
                  <w:tcW w:w="20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p>
              </w:tc>
              <w:tc>
                <w:tcPr>
                  <w:tcW w:w="9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84" w:hRule="atLeast"/>
                <w:jc w:val="center"/>
              </w:trPr>
              <w:tc>
                <w:tcPr>
                  <w:tcW w:w="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sz w:val="21"/>
                      <w:szCs w:val="21"/>
                    </w:rPr>
                  </w:pPr>
                  <w:r>
                    <w:rPr>
                      <w:rFonts w:hint="eastAsia"/>
                      <w:sz w:val="21"/>
                      <w:szCs w:val="21"/>
                    </w:rPr>
                    <w:t>2</w:t>
                  </w:r>
                </w:p>
              </w:tc>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sz w:val="21"/>
                      <w:szCs w:val="21"/>
                    </w:rPr>
                    <w:t>土壤监测</w:t>
                  </w:r>
                </w:p>
              </w:tc>
              <w:tc>
                <w:tcPr>
                  <w:tcW w:w="2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eastAsia="Calibri"/>
                      <w:sz w:val="21"/>
                      <w:szCs w:val="21"/>
                    </w:rPr>
                  </w:pPr>
                  <w:r>
                    <w:rPr>
                      <w:rFonts w:hint="eastAsia"/>
                      <w:sz w:val="21"/>
                      <w:szCs w:val="21"/>
                    </w:rPr>
                    <w:t>汞、铜、砷、铅、镉、铬、六价铬、镍、苯、氯苯、1,2-二氯苯、1,4-二氯苯、乙苯、苯乙烯、甲苯、间二甲苯+对二甲苯、邻二甲苯</w:t>
                  </w:r>
                </w:p>
              </w:tc>
              <w:tc>
                <w:tcPr>
                  <w:tcW w:w="9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FF0000"/>
                      <w:sz w:val="21"/>
                      <w:szCs w:val="21"/>
                    </w:rPr>
                  </w:pPr>
                  <w:r>
                    <w:rPr>
                      <w:sz w:val="21"/>
                      <w:szCs w:val="21"/>
                    </w:rPr>
                    <w:t>运行</w:t>
                  </w:r>
                </w:p>
              </w:tc>
              <w:tc>
                <w:tcPr>
                  <w:tcW w:w="20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eastAsia="Calibri"/>
                      <w:sz w:val="21"/>
                      <w:szCs w:val="21"/>
                    </w:rPr>
                  </w:pPr>
                  <w:r>
                    <w:rPr>
                      <w:rFonts w:hint="eastAsia"/>
                      <w:sz w:val="21"/>
                      <w:szCs w:val="21"/>
                      <w:lang w:eastAsia="zh-CN"/>
                    </w:rPr>
                    <w:t>项目区</w:t>
                  </w:r>
                  <w:r>
                    <w:rPr>
                      <w:rFonts w:hint="eastAsia"/>
                      <w:sz w:val="21"/>
                      <w:szCs w:val="21"/>
                    </w:rPr>
                    <w:t>下游30-50m范围内</w:t>
                  </w:r>
                </w:p>
              </w:tc>
              <w:tc>
                <w:tcPr>
                  <w:tcW w:w="9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每</w:t>
                  </w:r>
                  <w:r>
                    <w:rPr>
                      <w:rFonts w:hint="eastAsia"/>
                      <w:sz w:val="21"/>
                      <w:szCs w:val="21"/>
                      <w:lang w:val="en-US" w:eastAsia="zh-CN"/>
                    </w:rPr>
                    <w:t>5</w:t>
                  </w:r>
                  <w:r>
                    <w:rPr>
                      <w:sz w:val="21"/>
                      <w:szCs w:val="21"/>
                    </w:rPr>
                    <w:t>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sz w:val="21"/>
                      <w:szCs w:val="21"/>
                    </w:rPr>
                  </w:pPr>
                  <w:r>
                    <w:rPr>
                      <w:rFonts w:hint="eastAsia"/>
                      <w:sz w:val="21"/>
                      <w:szCs w:val="21"/>
                    </w:rPr>
                    <w:t>3</w:t>
                  </w:r>
                </w:p>
              </w:tc>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防渗层</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完整性</w:t>
                  </w:r>
                </w:p>
              </w:tc>
              <w:tc>
                <w:tcPr>
                  <w:tcW w:w="2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防渗层完整性监测</w:t>
                  </w:r>
                </w:p>
              </w:tc>
              <w:tc>
                <w:tcPr>
                  <w:tcW w:w="9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运行</w:t>
                  </w:r>
                </w:p>
              </w:tc>
              <w:tc>
                <w:tcPr>
                  <w:tcW w:w="20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szCs w:val="21"/>
                      <w:lang w:eastAsia="zh-CN"/>
                    </w:rPr>
                  </w:pPr>
                  <w:r>
                    <w:rPr>
                      <w:rFonts w:hint="eastAsia"/>
                      <w:sz w:val="21"/>
                      <w:szCs w:val="21"/>
                      <w:lang w:eastAsia="zh-CN"/>
                    </w:rPr>
                    <w:t>暂存场</w:t>
                  </w:r>
                </w:p>
              </w:tc>
              <w:tc>
                <w:tcPr>
                  <w:tcW w:w="9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每6个月进行一次</w:t>
                  </w:r>
                </w:p>
              </w:tc>
            </w:tr>
          </w:tbl>
          <w:p>
            <w:pPr>
              <w:spacing w:before="65" w:line="240" w:lineRule="auto"/>
              <w:ind w:left="2251"/>
              <w:rPr>
                <w:rFonts w:ascii="Times New Roman" w:hAnsi="Times New Roman" w:eastAsia="宋体" w:cs="黑体"/>
                <w:b/>
                <w:bCs/>
                <w:sz w:val="21"/>
                <w:szCs w:val="20"/>
              </w:rPr>
            </w:pPr>
            <w:r>
              <w:rPr>
                <w:rFonts w:ascii="Times New Roman" w:hAnsi="Times New Roman" w:eastAsia="宋体" w:cs="黑体"/>
                <w:b/>
                <w:bCs/>
                <w:spacing w:val="7"/>
                <w:sz w:val="21"/>
                <w:szCs w:val="20"/>
              </w:rPr>
              <w:t>表4</w:t>
            </w:r>
            <w:r>
              <w:rPr>
                <w:rFonts w:hint="eastAsia" w:ascii="Times New Roman" w:hAnsi="Times New Roman" w:eastAsia="宋体" w:cs="黑体"/>
                <w:b/>
                <w:bCs/>
                <w:spacing w:val="7"/>
                <w:sz w:val="21"/>
                <w:szCs w:val="20"/>
                <w:lang w:val="en-US" w:eastAsia="zh-CN"/>
              </w:rPr>
              <w:t>-11</w:t>
            </w:r>
            <w:r>
              <w:rPr>
                <w:rFonts w:ascii="Times New Roman" w:hAnsi="Times New Roman" w:eastAsia="宋体" w:cs="黑体"/>
                <w:b/>
                <w:bCs/>
                <w:spacing w:val="7"/>
                <w:sz w:val="21"/>
                <w:szCs w:val="20"/>
              </w:rPr>
              <w:t xml:space="preserve"> 地下水跟踪监测点位图</w:t>
            </w:r>
          </w:p>
          <w:p>
            <w:pPr>
              <w:spacing w:line="100" w:lineRule="exact"/>
            </w:pPr>
          </w:p>
          <w:tbl>
            <w:tblPr>
              <w:tblStyle w:val="50"/>
              <w:tblW w:w="7896" w:type="dxa"/>
              <w:jc w:val="center"/>
              <w:tblBorders>
                <w:top w:val="single" w:color="000000" w:sz="12" w:space="0"/>
                <w:left w:val="none" w:color="auto" w:sz="0" w:space="0"/>
                <w:bottom w:val="single" w:color="000000" w:sz="12" w:space="0"/>
                <w:right w:val="none" w:color="auto" w:sz="0" w:space="0"/>
                <w:insideH w:val="none" w:color="auto" w:sz="0" w:space="0"/>
                <w:insideV w:val="single" w:color="000000" w:sz="2" w:space="0"/>
              </w:tblBorders>
              <w:tblLayout w:type="fixed"/>
              <w:tblCellMar>
                <w:top w:w="0" w:type="dxa"/>
                <w:left w:w="0" w:type="dxa"/>
                <w:bottom w:w="0" w:type="dxa"/>
                <w:right w:w="0" w:type="dxa"/>
              </w:tblCellMar>
            </w:tblPr>
            <w:tblGrid>
              <w:gridCol w:w="521"/>
              <w:gridCol w:w="357"/>
              <w:gridCol w:w="625"/>
              <w:gridCol w:w="844"/>
              <w:gridCol w:w="1548"/>
              <w:gridCol w:w="547"/>
              <w:gridCol w:w="911"/>
              <w:gridCol w:w="844"/>
              <w:gridCol w:w="902"/>
              <w:gridCol w:w="797"/>
            </w:tblGrid>
            <w:tr>
              <w:tblPrEx>
                <w:tblBorders>
                  <w:top w:val="single" w:color="000000" w:sz="12" w:space="0"/>
                  <w:left w:val="none" w:color="auto" w:sz="0" w:space="0"/>
                  <w:bottom w:val="single" w:color="000000" w:sz="12" w:space="0"/>
                  <w:right w:val="none" w:color="auto" w:sz="0" w:space="0"/>
                  <w:insideH w:val="none" w:color="auto" w:sz="0" w:space="0"/>
                  <w:insideV w:val="single" w:color="000000" w:sz="2" w:space="0"/>
                </w:tblBorders>
                <w:tblCellMar>
                  <w:top w:w="0" w:type="dxa"/>
                  <w:left w:w="0" w:type="dxa"/>
                  <w:bottom w:w="0" w:type="dxa"/>
                  <w:right w:w="0" w:type="dxa"/>
                </w:tblCellMar>
              </w:tblPrEx>
              <w:trPr>
                <w:trHeight w:val="393" w:hRule="atLeast"/>
                <w:jc w:val="center"/>
              </w:trPr>
              <w:tc>
                <w:tcPr>
                  <w:tcW w:w="521" w:type="dxa"/>
                  <w:vMerge w:val="restart"/>
                  <w:tcBorders>
                    <w:bottom w:val="single" w:color="000000" w:sz="12"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z w:val="21"/>
                    </w:rPr>
                    <w:t>阶段</w:t>
                  </w:r>
                </w:p>
              </w:tc>
              <w:tc>
                <w:tcPr>
                  <w:tcW w:w="982" w:type="dxa"/>
                  <w:gridSpan w:val="2"/>
                  <w:vMerge w:val="restart"/>
                  <w:tcBorders>
                    <w:bottom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2"/>
                      <w:sz w:val="21"/>
                    </w:rPr>
                    <w:t>监测功能</w:t>
                  </w:r>
                </w:p>
              </w:tc>
              <w:tc>
                <w:tcPr>
                  <w:tcW w:w="844" w:type="dxa"/>
                  <w:vMerge w:val="restart"/>
                  <w:tcBorders>
                    <w:bottom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监测点</w:t>
                  </w:r>
                  <w:r>
                    <w:rPr>
                      <w:rFonts w:hint="default" w:ascii="Times New Roman" w:hAnsi="Times New Roman" w:eastAsia="宋体"/>
                      <w:sz w:val="21"/>
                    </w:rPr>
                    <w:t>位</w:t>
                  </w:r>
                </w:p>
              </w:tc>
              <w:tc>
                <w:tcPr>
                  <w:tcW w:w="1548" w:type="dxa"/>
                  <w:vMerge w:val="restart"/>
                  <w:tcBorders>
                    <w:bottom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pacing w:val="1"/>
                      <w:sz w:val="21"/>
                    </w:rPr>
                  </w:pPr>
                  <w:r>
                    <w:rPr>
                      <w:rFonts w:hint="default" w:ascii="Times New Roman" w:hAnsi="Times New Roman" w:eastAsia="宋体"/>
                      <w:spacing w:val="-2"/>
                      <w:sz w:val="21"/>
                    </w:rPr>
                    <w:t>监测点坐标</w:t>
                  </w:r>
                  <w:r>
                    <w:rPr>
                      <w:rFonts w:hint="default" w:ascii="Times New Roman" w:hAnsi="Times New Roman" w:eastAsia="宋体"/>
                      <w:spacing w:val="1"/>
                      <w:sz w:val="21"/>
                    </w:rPr>
                    <w:t xml:space="preserve"> </w:t>
                  </w:r>
                </w:p>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spacing w:val="1"/>
                      <w:sz w:val="21"/>
                      <w:lang w:val="en-US" w:eastAsia="zh-CN"/>
                    </w:rPr>
                  </w:pPr>
                  <w:r>
                    <w:rPr>
                      <w:rFonts w:hint="eastAsia" w:ascii="Times New Roman" w:hAnsi="Times New Roman"/>
                      <w:spacing w:val="1"/>
                      <w:sz w:val="21"/>
                      <w:lang w:val="en-US" w:eastAsia="zh-CN"/>
                    </w:rPr>
                    <w:t>经纬度</w:t>
                  </w:r>
                </w:p>
              </w:tc>
              <w:tc>
                <w:tcPr>
                  <w:tcW w:w="547" w:type="dxa"/>
                  <w:vMerge w:val="restart"/>
                  <w:tcBorders>
                    <w:bottom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情况</w:t>
                  </w:r>
                </w:p>
              </w:tc>
              <w:tc>
                <w:tcPr>
                  <w:tcW w:w="1755" w:type="dxa"/>
                  <w:gridSpan w:val="2"/>
                  <w:tcBorders>
                    <w:bottom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2"/>
                      <w:sz w:val="21"/>
                    </w:rPr>
                    <w:t>基本因子</w:t>
                  </w:r>
                </w:p>
              </w:tc>
              <w:tc>
                <w:tcPr>
                  <w:tcW w:w="1699" w:type="dxa"/>
                  <w:gridSpan w:val="2"/>
                  <w:tcBorders>
                    <w:bottom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2"/>
                      <w:sz w:val="21"/>
                    </w:rPr>
                    <w:t>特征因子</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2" w:space="0"/>
                </w:tblBorders>
                <w:tblCellMar>
                  <w:top w:w="0" w:type="dxa"/>
                  <w:left w:w="0" w:type="dxa"/>
                  <w:bottom w:w="0" w:type="dxa"/>
                  <w:right w:w="0" w:type="dxa"/>
                </w:tblCellMar>
              </w:tblPrEx>
              <w:trPr>
                <w:trHeight w:val="259" w:hRule="atLeast"/>
                <w:jc w:val="center"/>
              </w:trPr>
              <w:tc>
                <w:tcPr>
                  <w:tcW w:w="521" w:type="dxa"/>
                  <w:vMerge w:val="continue"/>
                  <w:tcBorders>
                    <w:top w:val="single" w:color="000000" w:sz="12" w:space="0"/>
                    <w:bottom w:val="single" w:color="000000" w:sz="12" w:space="0"/>
                    <w:tl2br w:val="nil"/>
                    <w:tr2bl w:val="nil"/>
                  </w:tcBorders>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982" w:type="dxa"/>
                  <w:gridSpan w:val="2"/>
                  <w:vMerge w:val="continue"/>
                  <w:tcBorders>
                    <w:top w:val="nil"/>
                    <w:bottom w:val="single" w:color="000000"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844" w:type="dxa"/>
                  <w:vMerge w:val="continue"/>
                  <w:tcBorders>
                    <w:top w:val="nil"/>
                    <w:bottom w:val="single" w:color="000000"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1548" w:type="dxa"/>
                  <w:vMerge w:val="continue"/>
                  <w:tcBorders>
                    <w:top w:val="nil"/>
                    <w:bottom w:val="single" w:color="000000"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547" w:type="dxa"/>
                  <w:vMerge w:val="continue"/>
                  <w:tcBorders>
                    <w:top w:val="nil"/>
                    <w:bottom w:val="single" w:color="000000"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911" w:type="dxa"/>
                  <w:tcBorders>
                    <w:top w:val="nil"/>
                    <w:bottom w:val="single" w:color="000000" w:sz="12"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eastAsia" w:ascii="Times New Roman" w:hAnsi="Times New Roman" w:eastAsia="宋体"/>
                      <w:sz w:val="21"/>
                      <w:lang w:val="en-US" w:eastAsia="zh-CN"/>
                    </w:rPr>
                  </w:pPr>
                  <w:r>
                    <w:rPr>
                      <w:rFonts w:hint="eastAsia" w:ascii="Times New Roman" w:hAnsi="Times New Roman"/>
                      <w:sz w:val="21"/>
                      <w:lang w:val="en-US" w:eastAsia="zh-CN"/>
                    </w:rPr>
                    <w:t>监测项目</w:t>
                  </w:r>
                </w:p>
              </w:tc>
              <w:tc>
                <w:tcPr>
                  <w:tcW w:w="844" w:type="dxa"/>
                  <w:tcBorders>
                    <w:top w:val="nil"/>
                    <w:bottom w:val="single" w:color="000000" w:sz="12"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eastAsia" w:ascii="Times New Roman" w:hAnsi="Times New Roman" w:eastAsia="宋体"/>
                      <w:sz w:val="21"/>
                      <w:lang w:eastAsia="zh-CN"/>
                    </w:rPr>
                  </w:pPr>
                  <w:r>
                    <w:rPr>
                      <w:rFonts w:hint="eastAsia" w:ascii="Times New Roman" w:hAnsi="Times New Roman"/>
                      <w:spacing w:val="-4"/>
                      <w:position w:val="7"/>
                      <w:sz w:val="21"/>
                      <w:lang w:val="en-US" w:eastAsia="zh-CN"/>
                    </w:rPr>
                    <w:t>监测频率</w:t>
                  </w:r>
                </w:p>
              </w:tc>
              <w:tc>
                <w:tcPr>
                  <w:tcW w:w="902" w:type="dxa"/>
                  <w:tcBorders>
                    <w:top w:val="nil"/>
                    <w:bottom w:val="single" w:color="000000" w:sz="12"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eastAsia" w:ascii="Times New Roman" w:hAnsi="Times New Roman" w:eastAsia="宋体"/>
                      <w:sz w:val="21"/>
                      <w:lang w:eastAsia="zh-CN"/>
                    </w:rPr>
                  </w:pPr>
                  <w:r>
                    <w:rPr>
                      <w:rFonts w:hint="eastAsia" w:ascii="Times New Roman" w:hAnsi="Times New Roman"/>
                      <w:spacing w:val="-4"/>
                      <w:position w:val="7"/>
                      <w:sz w:val="21"/>
                      <w:lang w:val="en-US" w:eastAsia="zh-CN"/>
                    </w:rPr>
                    <w:t>监测项目</w:t>
                  </w:r>
                </w:p>
              </w:tc>
              <w:tc>
                <w:tcPr>
                  <w:tcW w:w="797" w:type="dxa"/>
                  <w:tcBorders>
                    <w:top w:val="nil"/>
                    <w:bottom w:val="single" w:color="000000" w:sz="12"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eastAsia" w:ascii="Times New Roman" w:hAnsi="Times New Roman" w:eastAsia="宋体"/>
                      <w:sz w:val="21"/>
                      <w:lang w:eastAsia="zh-CN"/>
                    </w:rPr>
                  </w:pPr>
                  <w:r>
                    <w:rPr>
                      <w:rFonts w:hint="eastAsia" w:ascii="Times New Roman" w:hAnsi="Times New Roman"/>
                      <w:spacing w:val="-4"/>
                      <w:position w:val="7"/>
                      <w:sz w:val="21"/>
                      <w:lang w:val="en-US" w:eastAsia="zh-CN"/>
                    </w:rPr>
                    <w:t>监测频率</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2" w:space="0"/>
                </w:tblBorders>
                <w:tblCellMar>
                  <w:top w:w="0" w:type="dxa"/>
                  <w:left w:w="0" w:type="dxa"/>
                  <w:bottom w:w="0" w:type="dxa"/>
                  <w:right w:w="0" w:type="dxa"/>
                </w:tblCellMar>
              </w:tblPrEx>
              <w:trPr>
                <w:trHeight w:val="871" w:hRule="atLeast"/>
                <w:jc w:val="center"/>
              </w:trPr>
              <w:tc>
                <w:tcPr>
                  <w:tcW w:w="521" w:type="dxa"/>
                  <w:vMerge w:val="restart"/>
                  <w:tcBorders>
                    <w:top w:val="single" w:color="000000" w:sz="12" w:space="0"/>
                    <w:bottom w:val="single" w:color="000000" w:sz="12" w:space="0"/>
                    <w:tl2br w:val="nil"/>
                    <w:tr2bl w:val="nil"/>
                  </w:tcBorders>
                  <w:textDirection w:val="tbRlV"/>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z w:val="21"/>
                    </w:rPr>
                    <w:t>运</w:t>
                  </w:r>
                  <w:r>
                    <w:rPr>
                      <w:rFonts w:hint="default" w:ascii="Times New Roman" w:hAnsi="Times New Roman" w:eastAsia="宋体"/>
                      <w:spacing w:val="10"/>
                      <w:sz w:val="21"/>
                    </w:rPr>
                    <w:t xml:space="preserve"> </w:t>
                  </w:r>
                  <w:r>
                    <w:rPr>
                      <w:rFonts w:hint="default" w:ascii="Times New Roman" w:hAnsi="Times New Roman" w:eastAsia="宋体"/>
                      <w:sz w:val="21"/>
                    </w:rPr>
                    <w:t>营</w:t>
                  </w:r>
                  <w:r>
                    <w:rPr>
                      <w:rFonts w:hint="default" w:ascii="Times New Roman" w:hAnsi="Times New Roman" w:eastAsia="宋体"/>
                      <w:spacing w:val="11"/>
                      <w:sz w:val="21"/>
                    </w:rPr>
                    <w:t xml:space="preserve"> </w:t>
                  </w:r>
                  <w:r>
                    <w:rPr>
                      <w:rFonts w:hint="default" w:ascii="Times New Roman" w:hAnsi="Times New Roman" w:eastAsia="宋体"/>
                      <w:sz w:val="21"/>
                    </w:rPr>
                    <w:t>期</w:t>
                  </w:r>
                </w:p>
              </w:tc>
              <w:tc>
                <w:tcPr>
                  <w:tcW w:w="357" w:type="dxa"/>
                  <w:tcBorders>
                    <w:top w:val="single" w:color="000000" w:sz="12" w:space="0"/>
                    <w:bottom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default" w:ascii="Times New Roman" w:hAnsi="Times New Roman" w:eastAsia="宋体" w:cs="Times New Roman"/>
                      <w:spacing w:val="-1"/>
                      <w:position w:val="1"/>
                      <w:sz w:val="21"/>
                      <w:szCs w:val="18"/>
                    </w:rPr>
                    <w:t>#01</w:t>
                  </w:r>
                </w:p>
              </w:tc>
              <w:tc>
                <w:tcPr>
                  <w:tcW w:w="625" w:type="dxa"/>
                  <w:tcBorders>
                    <w:top w:val="single" w:color="000000" w:sz="12"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本底井</w:t>
                  </w:r>
                </w:p>
              </w:tc>
              <w:tc>
                <w:tcPr>
                  <w:tcW w:w="844" w:type="dxa"/>
                  <w:tcBorders>
                    <w:top w:val="single" w:color="000000" w:sz="12"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场地</w:t>
                  </w:r>
                  <w:r>
                    <w:rPr>
                      <w:rFonts w:hint="eastAsia" w:ascii="Times New Roman" w:hAnsi="Times New Roman"/>
                      <w:spacing w:val="-3"/>
                      <w:sz w:val="21"/>
                      <w:lang w:val="en-US" w:eastAsia="zh-CN"/>
                    </w:rPr>
                    <w:t>南</w:t>
                  </w:r>
                  <w:r>
                    <w:rPr>
                      <w:rFonts w:hint="default" w:ascii="Times New Roman" w:hAnsi="Times New Roman" w:eastAsia="宋体"/>
                      <w:sz w:val="21"/>
                    </w:rPr>
                    <w:t>侧</w:t>
                  </w:r>
                </w:p>
              </w:tc>
              <w:tc>
                <w:tcPr>
                  <w:tcW w:w="1548" w:type="dxa"/>
                  <w:tcBorders>
                    <w:top w:val="single" w:color="000000" w:sz="12" w:space="0"/>
                    <w:bottom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eastAsia" w:ascii="Times New Roman" w:hAnsi="Times New Roman" w:eastAsia="宋体" w:cs="Times New Roman"/>
                      <w:spacing w:val="-1"/>
                      <w:position w:val="10"/>
                      <w:sz w:val="21"/>
                      <w:szCs w:val="18"/>
                    </w:rPr>
                    <w:t>130.9096009672 45.7788310656</w:t>
                  </w:r>
                </w:p>
              </w:tc>
              <w:tc>
                <w:tcPr>
                  <w:tcW w:w="547" w:type="dxa"/>
                  <w:tcBorders>
                    <w:top w:val="single" w:color="000000" w:sz="12"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eastAsia" w:ascii="Times New Roman" w:hAnsi="Times New Roman" w:eastAsia="宋体"/>
                      <w:sz w:val="21"/>
                      <w:lang w:eastAsia="zh-CN"/>
                    </w:rPr>
                  </w:pPr>
                  <w:r>
                    <w:rPr>
                      <w:rFonts w:hint="eastAsia" w:ascii="Times New Roman" w:hAnsi="Times New Roman"/>
                      <w:spacing w:val="-14"/>
                      <w:sz w:val="21"/>
                      <w:lang w:val="en-US" w:eastAsia="zh-CN"/>
                    </w:rPr>
                    <w:t>新建</w:t>
                  </w:r>
                </w:p>
              </w:tc>
              <w:tc>
                <w:tcPr>
                  <w:tcW w:w="911" w:type="dxa"/>
                  <w:vMerge w:val="restart"/>
                  <w:tcBorders>
                    <w:top w:val="single" w:color="000000" w:sz="12" w:space="0"/>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cs="Times New Roman"/>
                      <w:spacing w:val="-19"/>
                      <w:sz w:val="21"/>
                    </w:rPr>
                    <w:t>pH</w:t>
                  </w:r>
                  <w:r>
                    <w:rPr>
                      <w:rFonts w:hint="default" w:ascii="Times New Roman" w:hAnsi="Times New Roman" w:eastAsia="宋体"/>
                      <w:spacing w:val="-19"/>
                      <w:sz w:val="21"/>
                    </w:rPr>
                    <w:t>、总硬度、</w:t>
                  </w:r>
                  <w:r>
                    <w:rPr>
                      <w:rFonts w:hint="default" w:ascii="Times New Roman" w:hAnsi="Times New Roman" w:eastAsia="宋体"/>
                      <w:spacing w:val="1"/>
                      <w:sz w:val="21"/>
                    </w:rPr>
                    <w:t xml:space="preserve"> </w:t>
                  </w:r>
                  <w:r>
                    <w:rPr>
                      <w:rFonts w:hint="default" w:ascii="Times New Roman" w:hAnsi="Times New Roman" w:eastAsia="宋体"/>
                      <w:spacing w:val="-2"/>
                      <w:sz w:val="21"/>
                    </w:rPr>
                    <w:t>溶解性总固</w:t>
                  </w:r>
                  <w:r>
                    <w:rPr>
                      <w:rFonts w:hint="default" w:ascii="Times New Roman" w:hAnsi="Times New Roman" w:eastAsia="宋体"/>
                      <w:spacing w:val="-17"/>
                      <w:sz w:val="21"/>
                    </w:rPr>
                    <w:t>体、氯化物、</w:t>
                  </w:r>
                  <w:r>
                    <w:rPr>
                      <w:rFonts w:hint="default" w:ascii="Times New Roman" w:hAnsi="Times New Roman" w:eastAsia="宋体"/>
                      <w:spacing w:val="-2"/>
                      <w:sz w:val="21"/>
                    </w:rPr>
                    <w:t>硝酸盐、亚硝酸盐、硫酸盐、挥发</w:t>
                  </w:r>
                  <w:r>
                    <w:rPr>
                      <w:rFonts w:hint="default" w:ascii="Times New Roman" w:hAnsi="Times New Roman" w:eastAsia="宋体"/>
                      <w:spacing w:val="1"/>
                      <w:sz w:val="21"/>
                    </w:rPr>
                    <w:t xml:space="preserve">  </w:t>
                  </w:r>
                  <w:r>
                    <w:rPr>
                      <w:rFonts w:hint="default" w:ascii="Times New Roman" w:hAnsi="Times New Roman" w:eastAsia="宋体"/>
                      <w:spacing w:val="-2"/>
                      <w:sz w:val="21"/>
                    </w:rPr>
                    <w:t>性酚类、氰</w:t>
                  </w:r>
                  <w:r>
                    <w:rPr>
                      <w:rFonts w:hint="default" w:ascii="Times New Roman" w:hAnsi="Times New Roman" w:eastAsia="宋体"/>
                      <w:spacing w:val="1"/>
                      <w:sz w:val="21"/>
                    </w:rPr>
                    <w:t xml:space="preserve">  </w:t>
                  </w:r>
                  <w:r>
                    <w:rPr>
                      <w:rFonts w:hint="default" w:ascii="Times New Roman" w:hAnsi="Times New Roman" w:eastAsia="宋体"/>
                      <w:spacing w:val="3"/>
                      <w:sz w:val="21"/>
                    </w:rPr>
                    <w:t xml:space="preserve">化物、砷、 </w:t>
                  </w:r>
                  <w:r>
                    <w:rPr>
                      <w:rFonts w:hint="default" w:ascii="Times New Roman" w:hAnsi="Times New Roman" w:eastAsia="宋体"/>
                      <w:spacing w:val="-17"/>
                      <w:sz w:val="21"/>
                    </w:rPr>
                    <w:t>汞、钙、铅、</w:t>
                  </w:r>
                  <w:r>
                    <w:rPr>
                      <w:rFonts w:hint="default" w:ascii="Times New Roman" w:hAnsi="Times New Roman" w:eastAsia="宋体"/>
                      <w:spacing w:val="3"/>
                      <w:sz w:val="21"/>
                    </w:rPr>
                    <w:t xml:space="preserve"> </w:t>
                  </w:r>
                  <w:r>
                    <w:rPr>
                      <w:rFonts w:hint="default" w:ascii="Times New Roman" w:hAnsi="Times New Roman" w:eastAsia="宋体"/>
                      <w:spacing w:val="-17"/>
                      <w:sz w:val="21"/>
                    </w:rPr>
                    <w:t>氟、铁、锰、</w:t>
                  </w:r>
                  <w:r>
                    <w:rPr>
                      <w:rFonts w:hint="default" w:ascii="Times New Roman" w:hAnsi="Times New Roman" w:eastAsia="宋体"/>
                      <w:spacing w:val="3"/>
                      <w:sz w:val="21"/>
                    </w:rPr>
                    <w:t xml:space="preserve"> </w:t>
                  </w:r>
                  <w:r>
                    <w:rPr>
                      <w:rFonts w:hint="default" w:ascii="Times New Roman" w:hAnsi="Times New Roman" w:eastAsia="宋体"/>
                      <w:sz w:val="21"/>
                    </w:rPr>
                    <w:t>粪大肠菌群</w:t>
                  </w:r>
                </w:p>
              </w:tc>
              <w:tc>
                <w:tcPr>
                  <w:tcW w:w="844" w:type="dxa"/>
                  <w:vMerge w:val="restart"/>
                  <w:tcBorders>
                    <w:top w:val="single" w:color="000000" w:sz="12" w:space="0"/>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2"/>
                      <w:sz w:val="21"/>
                    </w:rPr>
                    <w:t>对排水井的水质监测频</w:t>
                  </w:r>
                  <w:r>
                    <w:rPr>
                      <w:rFonts w:hint="default" w:ascii="Times New Roman" w:hAnsi="Times New Roman" w:eastAsia="宋体"/>
                      <w:spacing w:val="16"/>
                      <w:sz w:val="21"/>
                    </w:rPr>
                    <w:t>率应不少于</w:t>
                  </w:r>
                  <w:r>
                    <w:rPr>
                      <w:rFonts w:hint="default" w:ascii="Times New Roman" w:hAnsi="Times New Roman" w:eastAsia="宋体"/>
                      <w:spacing w:val="-2"/>
                      <w:sz w:val="21"/>
                    </w:rPr>
                    <w:t>每周一次，对</w:t>
                  </w:r>
                  <w:r>
                    <w:rPr>
                      <w:rFonts w:hint="default" w:ascii="Times New Roman" w:hAnsi="Times New Roman" w:eastAsia="宋体"/>
                      <w:spacing w:val="16"/>
                      <w:sz w:val="21"/>
                    </w:rPr>
                    <w:t>污染扩散井和污染监视井的水质监测频率应不</w:t>
                  </w:r>
                  <w:r>
                    <w:rPr>
                      <w:rFonts w:hint="default" w:ascii="Times New Roman" w:hAnsi="Times New Roman" w:eastAsia="宋体"/>
                      <w:spacing w:val="4"/>
                      <w:sz w:val="21"/>
                    </w:rPr>
                    <w:t>少于每</w:t>
                  </w:r>
                  <w:r>
                    <w:rPr>
                      <w:rFonts w:hint="default" w:ascii="Times New Roman" w:hAnsi="Times New Roman" w:eastAsia="宋体" w:cs="Times New Roman"/>
                      <w:spacing w:val="4"/>
                      <w:sz w:val="21"/>
                    </w:rPr>
                    <w:t>2</w:t>
                  </w:r>
                  <w:r>
                    <w:rPr>
                      <w:rFonts w:hint="default" w:ascii="Times New Roman" w:hAnsi="Times New Roman" w:eastAsia="宋体"/>
                      <w:spacing w:val="4"/>
                      <w:sz w:val="21"/>
                    </w:rPr>
                    <w:t>周</w:t>
                  </w:r>
                  <w:r>
                    <w:rPr>
                      <w:rFonts w:hint="default" w:ascii="Times New Roman" w:hAnsi="Times New Roman" w:eastAsia="宋体"/>
                      <w:spacing w:val="-2"/>
                      <w:sz w:val="21"/>
                    </w:rPr>
                    <w:t>一次，对本底</w:t>
                  </w:r>
                  <w:r>
                    <w:rPr>
                      <w:rFonts w:hint="default" w:ascii="Times New Roman" w:hAnsi="Times New Roman" w:eastAsia="宋体"/>
                      <w:spacing w:val="16"/>
                      <w:sz w:val="21"/>
                    </w:rPr>
                    <w:t>井的水质监测频率应不</w:t>
                  </w:r>
                  <w:r>
                    <w:rPr>
                      <w:rFonts w:hint="default" w:ascii="Times New Roman" w:hAnsi="Times New Roman" w:eastAsia="宋体"/>
                      <w:spacing w:val="-2"/>
                      <w:sz w:val="21"/>
                    </w:rPr>
                    <w:t>少于每个月</w:t>
                  </w:r>
                  <w:r>
                    <w:rPr>
                      <w:rFonts w:hint="default" w:ascii="Times New Roman" w:hAnsi="Times New Roman" w:eastAsia="宋体"/>
                      <w:spacing w:val="-21"/>
                      <w:sz w:val="21"/>
                    </w:rPr>
                    <w:t xml:space="preserve"> </w:t>
                  </w:r>
                  <w:r>
                    <w:rPr>
                      <w:rFonts w:hint="default" w:ascii="Times New Roman" w:hAnsi="Times New Roman" w:eastAsia="宋体" w:cs="Times New Roman"/>
                      <w:spacing w:val="-2"/>
                      <w:sz w:val="21"/>
                    </w:rPr>
                    <w:t>1</w:t>
                  </w:r>
                  <w:r>
                    <w:rPr>
                      <w:rFonts w:hint="default" w:ascii="Times New Roman" w:hAnsi="Times New Roman" w:eastAsia="宋体"/>
                      <w:spacing w:val="-6"/>
                      <w:sz w:val="21"/>
                    </w:rPr>
                    <w:t>次。</w:t>
                  </w:r>
                </w:p>
              </w:tc>
              <w:tc>
                <w:tcPr>
                  <w:tcW w:w="902" w:type="dxa"/>
                  <w:vMerge w:val="restart"/>
                  <w:tcBorders>
                    <w:top w:val="single" w:color="000000" w:sz="12" w:space="0"/>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cs="Times New Roman"/>
                      <w:spacing w:val="-1"/>
                      <w:sz w:val="21"/>
                    </w:rPr>
                    <w:t>COD</w:t>
                  </w:r>
                  <w:r>
                    <w:rPr>
                      <w:rFonts w:hint="default" w:ascii="Times New Roman" w:hAnsi="Times New Roman" w:eastAsia="宋体" w:cs="Times New Roman"/>
                      <w:spacing w:val="-1"/>
                      <w:position w:val="-1"/>
                      <w:sz w:val="21"/>
                      <w:szCs w:val="11"/>
                    </w:rPr>
                    <w:t>cr</w:t>
                  </w:r>
                  <w:r>
                    <w:rPr>
                      <w:rFonts w:hint="default" w:ascii="Times New Roman" w:hAnsi="Times New Roman" w:eastAsia="宋体"/>
                      <w:spacing w:val="-29"/>
                      <w:sz w:val="21"/>
                    </w:rPr>
                    <w:t>、</w:t>
                  </w:r>
                  <w:r>
                    <w:rPr>
                      <w:rFonts w:hint="default" w:ascii="Times New Roman" w:hAnsi="Times New Roman" w:eastAsia="宋体"/>
                      <w:spacing w:val="-3"/>
                      <w:sz w:val="21"/>
                    </w:rPr>
                    <w:t>氨氮、</w:t>
                  </w:r>
                  <w:r>
                    <w:rPr>
                      <w:rFonts w:hint="eastAsia" w:ascii="Times New Roman" w:hAnsi="Times New Roman"/>
                      <w:spacing w:val="-3"/>
                      <w:sz w:val="21"/>
                      <w:lang w:val="en-US" w:eastAsia="zh-CN"/>
                    </w:rPr>
                    <w:t>镉</w:t>
                  </w:r>
                  <w:r>
                    <w:rPr>
                      <w:rFonts w:hint="default" w:ascii="Times New Roman" w:hAnsi="Times New Roman" w:eastAsia="宋体"/>
                      <w:spacing w:val="-13"/>
                      <w:sz w:val="21"/>
                    </w:rPr>
                    <w:t>、</w:t>
                  </w:r>
                  <w:r>
                    <w:rPr>
                      <w:rFonts w:hint="eastAsia" w:ascii="Times New Roman" w:hAnsi="Times New Roman"/>
                      <w:spacing w:val="-13"/>
                      <w:sz w:val="21"/>
                      <w:lang w:val="en-US" w:eastAsia="zh-CN"/>
                    </w:rPr>
                    <w:t>六价铬、</w:t>
                  </w:r>
                  <w:r>
                    <w:rPr>
                      <w:rFonts w:hint="default" w:ascii="Times New Roman" w:hAnsi="Times New Roman" w:eastAsia="宋体"/>
                      <w:spacing w:val="-13"/>
                      <w:sz w:val="21"/>
                    </w:rPr>
                    <w:t>锌、</w:t>
                  </w:r>
                </w:p>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z w:val="21"/>
                    </w:rPr>
                    <w:t>铜</w:t>
                  </w:r>
                </w:p>
              </w:tc>
              <w:tc>
                <w:tcPr>
                  <w:tcW w:w="797" w:type="dxa"/>
                  <w:vMerge w:val="restart"/>
                  <w:tcBorders>
                    <w:top w:val="single" w:color="000000" w:sz="12" w:space="0"/>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12"/>
                      <w:sz w:val="21"/>
                    </w:rPr>
                    <w:t>每</w:t>
                  </w:r>
                  <w:r>
                    <w:rPr>
                      <w:rFonts w:hint="default" w:ascii="Times New Roman" w:hAnsi="Times New Roman" w:eastAsia="宋体" w:cs="Times New Roman"/>
                      <w:spacing w:val="-12"/>
                      <w:sz w:val="21"/>
                    </w:rPr>
                    <w:t>1</w:t>
                  </w:r>
                  <w:r>
                    <w:rPr>
                      <w:rFonts w:hint="default" w:ascii="Times New Roman" w:hAnsi="Times New Roman" w:eastAsia="宋体"/>
                      <w:spacing w:val="-12"/>
                      <w:sz w:val="21"/>
                    </w:rPr>
                    <w:t>个</w:t>
                  </w:r>
                  <w:r>
                    <w:rPr>
                      <w:rFonts w:hint="default" w:ascii="Times New Roman" w:hAnsi="Times New Roman" w:eastAsia="宋体"/>
                      <w:spacing w:val="-15"/>
                      <w:sz w:val="21"/>
                    </w:rPr>
                    <w:t>月</w:t>
                  </w:r>
                  <w:r>
                    <w:rPr>
                      <w:rFonts w:hint="default" w:ascii="Times New Roman" w:hAnsi="Times New Roman" w:eastAsia="宋体"/>
                      <w:spacing w:val="-26"/>
                      <w:sz w:val="21"/>
                    </w:rPr>
                    <w:t xml:space="preserve"> </w:t>
                  </w:r>
                  <w:r>
                    <w:rPr>
                      <w:rFonts w:hint="default" w:ascii="Times New Roman" w:hAnsi="Times New Roman" w:eastAsia="宋体" w:cs="Times New Roman"/>
                      <w:spacing w:val="-15"/>
                      <w:sz w:val="21"/>
                    </w:rPr>
                    <w:t>1</w:t>
                  </w:r>
                  <w:r>
                    <w:rPr>
                      <w:rFonts w:hint="default" w:ascii="Times New Roman" w:hAnsi="Times New Roman" w:eastAsia="宋体"/>
                      <w:spacing w:val="-15"/>
                      <w:sz w:val="21"/>
                    </w:rPr>
                    <w:t>次</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2" w:space="0"/>
                </w:tblBorders>
                <w:tblCellMar>
                  <w:top w:w="0" w:type="dxa"/>
                  <w:left w:w="0" w:type="dxa"/>
                  <w:bottom w:w="0" w:type="dxa"/>
                  <w:right w:w="0" w:type="dxa"/>
                </w:tblCellMar>
              </w:tblPrEx>
              <w:trPr>
                <w:trHeight w:val="871" w:hRule="atLeast"/>
                <w:jc w:val="center"/>
              </w:trPr>
              <w:tc>
                <w:tcPr>
                  <w:tcW w:w="521" w:type="dxa"/>
                  <w:vMerge w:val="continue"/>
                  <w:tcBorders>
                    <w:top w:val="single" w:color="000000" w:sz="12" w:space="0"/>
                    <w:bottom w:val="single" w:color="000000" w:sz="12" w:space="0"/>
                    <w:tl2br w:val="nil"/>
                    <w:tr2bl w:val="nil"/>
                  </w:tcBorders>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357" w:type="dxa"/>
                  <w:tcBorders>
                    <w:top w:val="single" w:color="000000" w:sz="8" w:space="0"/>
                    <w:bottom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default" w:ascii="Times New Roman" w:hAnsi="Times New Roman" w:eastAsia="宋体" w:cs="Times New Roman"/>
                      <w:spacing w:val="-1"/>
                      <w:position w:val="1"/>
                      <w:sz w:val="21"/>
                      <w:szCs w:val="18"/>
                    </w:rPr>
                    <w:t>#02</w:t>
                  </w:r>
                </w:p>
              </w:tc>
              <w:tc>
                <w:tcPr>
                  <w:tcW w:w="625"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排水井</w:t>
                  </w:r>
                </w:p>
              </w:tc>
              <w:tc>
                <w:tcPr>
                  <w:tcW w:w="844"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场地</w:t>
                  </w:r>
                  <w:r>
                    <w:rPr>
                      <w:rFonts w:hint="eastAsia" w:ascii="Times New Roman" w:hAnsi="Times New Roman"/>
                      <w:spacing w:val="-3"/>
                      <w:sz w:val="21"/>
                      <w:lang w:val="en-US" w:eastAsia="zh-CN"/>
                    </w:rPr>
                    <w:t>西</w:t>
                  </w:r>
                  <w:r>
                    <w:rPr>
                      <w:rFonts w:hint="default" w:ascii="Times New Roman" w:hAnsi="Times New Roman" w:eastAsia="宋体"/>
                      <w:sz w:val="21"/>
                    </w:rPr>
                    <w:t>侧</w:t>
                  </w:r>
                </w:p>
              </w:tc>
              <w:tc>
                <w:tcPr>
                  <w:tcW w:w="1548" w:type="dxa"/>
                  <w:tcBorders>
                    <w:top w:val="single" w:color="000000" w:sz="8" w:space="0"/>
                    <w:bottom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eastAsia" w:ascii="Times New Roman" w:hAnsi="Times New Roman" w:eastAsia="宋体" w:cs="Times New Roman"/>
                      <w:spacing w:val="-1"/>
                      <w:position w:val="10"/>
                      <w:sz w:val="21"/>
                      <w:szCs w:val="18"/>
                    </w:rPr>
                    <w:t>130.9094366937 45.7806498222</w:t>
                  </w:r>
                </w:p>
              </w:tc>
              <w:tc>
                <w:tcPr>
                  <w:tcW w:w="547"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4"/>
                      <w:sz w:val="21"/>
                    </w:rPr>
                    <w:t>新建</w:t>
                  </w:r>
                </w:p>
              </w:tc>
              <w:tc>
                <w:tcPr>
                  <w:tcW w:w="91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84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90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79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2" w:space="0"/>
                </w:tblBorders>
                <w:tblCellMar>
                  <w:top w:w="0" w:type="dxa"/>
                  <w:left w:w="0" w:type="dxa"/>
                  <w:bottom w:w="0" w:type="dxa"/>
                  <w:right w:w="0" w:type="dxa"/>
                </w:tblCellMar>
              </w:tblPrEx>
              <w:trPr>
                <w:trHeight w:val="871" w:hRule="atLeast"/>
                <w:jc w:val="center"/>
              </w:trPr>
              <w:tc>
                <w:tcPr>
                  <w:tcW w:w="521" w:type="dxa"/>
                  <w:vMerge w:val="continue"/>
                  <w:tcBorders>
                    <w:top w:val="single" w:color="000000" w:sz="12" w:space="0"/>
                    <w:bottom w:val="single" w:color="000000" w:sz="12" w:space="0"/>
                    <w:tl2br w:val="nil"/>
                    <w:tr2bl w:val="nil"/>
                  </w:tcBorders>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357" w:type="dxa"/>
                  <w:tcBorders>
                    <w:top w:val="single" w:color="000000" w:sz="8" w:space="0"/>
                    <w:bottom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default" w:ascii="Times New Roman" w:hAnsi="Times New Roman" w:eastAsia="宋体" w:cs="Times New Roman"/>
                      <w:spacing w:val="-1"/>
                      <w:position w:val="1"/>
                      <w:sz w:val="21"/>
                      <w:szCs w:val="18"/>
                    </w:rPr>
                    <w:t>#03</w:t>
                  </w:r>
                </w:p>
              </w:tc>
              <w:tc>
                <w:tcPr>
                  <w:tcW w:w="625"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污染扩散</w:t>
                  </w:r>
                  <w:r>
                    <w:rPr>
                      <w:rFonts w:hint="default" w:ascii="Times New Roman" w:hAnsi="Times New Roman" w:eastAsia="宋体"/>
                      <w:sz w:val="21"/>
                    </w:rPr>
                    <w:t>井</w:t>
                  </w:r>
                </w:p>
              </w:tc>
              <w:tc>
                <w:tcPr>
                  <w:tcW w:w="844"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调节池</w:t>
                  </w:r>
                  <w:r>
                    <w:rPr>
                      <w:rFonts w:hint="default" w:ascii="Times New Roman" w:hAnsi="Times New Roman" w:eastAsia="宋体"/>
                      <w:spacing w:val="-6"/>
                      <w:sz w:val="21"/>
                    </w:rPr>
                    <w:t>西侧</w:t>
                  </w:r>
                </w:p>
              </w:tc>
              <w:tc>
                <w:tcPr>
                  <w:tcW w:w="1548" w:type="dxa"/>
                  <w:tcBorders>
                    <w:top w:val="single" w:color="000000" w:sz="8" w:space="0"/>
                    <w:bottom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eastAsia" w:ascii="Times New Roman" w:hAnsi="Times New Roman" w:eastAsia="宋体" w:cs="Times New Roman"/>
                      <w:spacing w:val="-1"/>
                      <w:position w:val="10"/>
                      <w:sz w:val="21"/>
                      <w:szCs w:val="18"/>
                    </w:rPr>
                    <w:t>130.9108928492 45.7798318800</w:t>
                  </w:r>
                </w:p>
              </w:tc>
              <w:tc>
                <w:tcPr>
                  <w:tcW w:w="547"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eastAsia" w:ascii="Times New Roman" w:hAnsi="Times New Roman" w:eastAsia="宋体"/>
                      <w:sz w:val="21"/>
                      <w:lang w:eastAsia="zh-CN"/>
                    </w:rPr>
                  </w:pPr>
                  <w:r>
                    <w:rPr>
                      <w:rFonts w:hint="eastAsia" w:ascii="Times New Roman" w:hAnsi="Times New Roman"/>
                      <w:spacing w:val="-14"/>
                      <w:sz w:val="21"/>
                      <w:lang w:val="en-US" w:eastAsia="zh-CN"/>
                    </w:rPr>
                    <w:t>新建</w:t>
                  </w:r>
                </w:p>
              </w:tc>
              <w:tc>
                <w:tcPr>
                  <w:tcW w:w="91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84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90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79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2" w:space="0"/>
                </w:tblBorders>
                <w:tblCellMar>
                  <w:top w:w="0" w:type="dxa"/>
                  <w:left w:w="0" w:type="dxa"/>
                  <w:bottom w:w="0" w:type="dxa"/>
                  <w:right w:w="0" w:type="dxa"/>
                </w:tblCellMar>
              </w:tblPrEx>
              <w:trPr>
                <w:trHeight w:val="871" w:hRule="atLeast"/>
                <w:jc w:val="center"/>
              </w:trPr>
              <w:tc>
                <w:tcPr>
                  <w:tcW w:w="521" w:type="dxa"/>
                  <w:vMerge w:val="continue"/>
                  <w:tcBorders>
                    <w:top w:val="single" w:color="000000" w:sz="12" w:space="0"/>
                    <w:bottom w:val="single" w:color="000000" w:sz="12" w:space="0"/>
                    <w:tl2br w:val="nil"/>
                    <w:tr2bl w:val="nil"/>
                  </w:tcBorders>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357" w:type="dxa"/>
                  <w:tcBorders>
                    <w:top w:val="single" w:color="000000" w:sz="8" w:space="0"/>
                    <w:bottom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default" w:ascii="Times New Roman" w:hAnsi="Times New Roman" w:eastAsia="宋体" w:cs="Times New Roman"/>
                      <w:spacing w:val="-1"/>
                      <w:position w:val="1"/>
                      <w:sz w:val="21"/>
                      <w:szCs w:val="18"/>
                    </w:rPr>
                    <w:t>#04</w:t>
                  </w:r>
                </w:p>
              </w:tc>
              <w:tc>
                <w:tcPr>
                  <w:tcW w:w="625"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污染扩散</w:t>
                  </w:r>
                  <w:r>
                    <w:rPr>
                      <w:rFonts w:hint="default" w:ascii="Times New Roman" w:hAnsi="Times New Roman" w:eastAsia="宋体"/>
                      <w:sz w:val="21"/>
                    </w:rPr>
                    <w:t>井</w:t>
                  </w:r>
                </w:p>
              </w:tc>
              <w:tc>
                <w:tcPr>
                  <w:tcW w:w="844"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调节池</w:t>
                  </w:r>
                  <w:r>
                    <w:rPr>
                      <w:rFonts w:hint="default" w:ascii="Times New Roman" w:hAnsi="Times New Roman" w:eastAsia="宋体"/>
                      <w:spacing w:val="-7"/>
                      <w:sz w:val="21"/>
                    </w:rPr>
                    <w:t>东侧</w:t>
                  </w:r>
                </w:p>
              </w:tc>
              <w:tc>
                <w:tcPr>
                  <w:tcW w:w="1548" w:type="dxa"/>
                  <w:tcBorders>
                    <w:top w:val="single" w:color="000000" w:sz="8" w:space="0"/>
                    <w:bottom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eastAsia" w:ascii="Times New Roman" w:hAnsi="Times New Roman" w:eastAsia="宋体" w:cs="Times New Roman"/>
                      <w:spacing w:val="-1"/>
                      <w:position w:val="10"/>
                      <w:sz w:val="21"/>
                      <w:szCs w:val="18"/>
                    </w:rPr>
                    <w:t>130.9084675065 45.7800544265</w:t>
                  </w:r>
                </w:p>
              </w:tc>
              <w:tc>
                <w:tcPr>
                  <w:tcW w:w="547"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4"/>
                      <w:sz w:val="21"/>
                    </w:rPr>
                    <w:t>新建</w:t>
                  </w:r>
                </w:p>
              </w:tc>
              <w:tc>
                <w:tcPr>
                  <w:tcW w:w="91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84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90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79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2" w:space="0"/>
                </w:tblBorders>
                <w:tblCellMar>
                  <w:top w:w="0" w:type="dxa"/>
                  <w:left w:w="0" w:type="dxa"/>
                  <w:bottom w:w="0" w:type="dxa"/>
                  <w:right w:w="0" w:type="dxa"/>
                </w:tblCellMar>
              </w:tblPrEx>
              <w:trPr>
                <w:trHeight w:val="871" w:hRule="atLeast"/>
                <w:jc w:val="center"/>
              </w:trPr>
              <w:tc>
                <w:tcPr>
                  <w:tcW w:w="521" w:type="dxa"/>
                  <w:vMerge w:val="continue"/>
                  <w:tcBorders>
                    <w:top w:val="single" w:color="000000" w:sz="12" w:space="0"/>
                    <w:bottom w:val="single" w:color="000000" w:sz="12" w:space="0"/>
                    <w:tl2br w:val="nil"/>
                    <w:tr2bl w:val="nil"/>
                  </w:tcBorders>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357" w:type="dxa"/>
                  <w:tcBorders>
                    <w:top w:val="single" w:color="000000" w:sz="8" w:space="0"/>
                    <w:bottom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default" w:ascii="Times New Roman" w:hAnsi="Times New Roman" w:eastAsia="宋体" w:cs="Times New Roman"/>
                      <w:spacing w:val="-1"/>
                      <w:position w:val="1"/>
                      <w:sz w:val="21"/>
                      <w:szCs w:val="18"/>
                    </w:rPr>
                    <w:t>#05</w:t>
                  </w:r>
                </w:p>
              </w:tc>
              <w:tc>
                <w:tcPr>
                  <w:tcW w:w="625"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污染监视</w:t>
                  </w:r>
                  <w:r>
                    <w:rPr>
                      <w:rFonts w:hint="default" w:ascii="Times New Roman" w:hAnsi="Times New Roman" w:eastAsia="宋体"/>
                      <w:sz w:val="21"/>
                    </w:rPr>
                    <w:t>井</w:t>
                  </w:r>
                </w:p>
              </w:tc>
              <w:tc>
                <w:tcPr>
                  <w:tcW w:w="844"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场地</w:t>
                  </w:r>
                  <w:r>
                    <w:rPr>
                      <w:rFonts w:hint="eastAsia" w:ascii="Times New Roman" w:hAnsi="Times New Roman"/>
                      <w:spacing w:val="-3"/>
                      <w:sz w:val="21"/>
                      <w:lang w:val="en-US" w:eastAsia="zh-CN"/>
                    </w:rPr>
                    <w:t>北</w:t>
                  </w:r>
                  <w:r>
                    <w:rPr>
                      <w:rFonts w:hint="default" w:ascii="Times New Roman" w:hAnsi="Times New Roman" w:eastAsia="宋体"/>
                      <w:sz w:val="21"/>
                    </w:rPr>
                    <w:t>侧</w:t>
                  </w:r>
                </w:p>
              </w:tc>
              <w:tc>
                <w:tcPr>
                  <w:tcW w:w="1548" w:type="dxa"/>
                  <w:tcBorders>
                    <w:top w:val="single" w:color="000000" w:sz="8" w:space="0"/>
                    <w:bottom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eastAsia" w:ascii="Times New Roman" w:hAnsi="Times New Roman" w:eastAsia="宋体" w:cs="Times New Roman"/>
                      <w:spacing w:val="-1"/>
                      <w:position w:val="10"/>
                      <w:sz w:val="21"/>
                      <w:szCs w:val="18"/>
                    </w:rPr>
                    <w:t>130.9103154880 45.7810910587</w:t>
                  </w:r>
                </w:p>
              </w:tc>
              <w:tc>
                <w:tcPr>
                  <w:tcW w:w="547" w:type="dxa"/>
                  <w:tcBorders>
                    <w:top w:val="single" w:color="000000" w:sz="8" w:space="0"/>
                    <w:bottom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4"/>
                      <w:sz w:val="21"/>
                    </w:rPr>
                    <w:t>新建</w:t>
                  </w:r>
                </w:p>
              </w:tc>
              <w:tc>
                <w:tcPr>
                  <w:tcW w:w="91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84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90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79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2" w:space="0"/>
                </w:tblBorders>
                <w:tblCellMar>
                  <w:top w:w="0" w:type="dxa"/>
                  <w:left w:w="0" w:type="dxa"/>
                  <w:bottom w:w="0" w:type="dxa"/>
                  <w:right w:w="0" w:type="dxa"/>
                </w:tblCellMar>
              </w:tblPrEx>
              <w:trPr>
                <w:trHeight w:val="1411" w:hRule="atLeast"/>
                <w:jc w:val="center"/>
              </w:trPr>
              <w:tc>
                <w:tcPr>
                  <w:tcW w:w="521" w:type="dxa"/>
                  <w:vMerge w:val="continue"/>
                  <w:tcBorders>
                    <w:top w:val="single" w:color="000000" w:sz="12" w:space="0"/>
                    <w:bottom w:val="single" w:color="000000" w:sz="12" w:space="0"/>
                    <w:tl2br w:val="nil"/>
                    <w:tr2bl w:val="nil"/>
                  </w:tcBorders>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357" w:type="dxa"/>
                  <w:tcBorders>
                    <w:top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default" w:ascii="Times New Roman" w:hAnsi="Times New Roman" w:eastAsia="宋体" w:cs="Times New Roman"/>
                      <w:spacing w:val="-1"/>
                      <w:position w:val="1"/>
                      <w:sz w:val="21"/>
                      <w:szCs w:val="18"/>
                    </w:rPr>
                    <w:t>#06</w:t>
                  </w:r>
                </w:p>
              </w:tc>
              <w:tc>
                <w:tcPr>
                  <w:tcW w:w="625" w:type="dxa"/>
                  <w:tcBorders>
                    <w:top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污染监视</w:t>
                  </w:r>
                  <w:r>
                    <w:rPr>
                      <w:rFonts w:hint="default" w:ascii="Times New Roman" w:hAnsi="Times New Roman" w:eastAsia="宋体"/>
                      <w:sz w:val="21"/>
                    </w:rPr>
                    <w:t>井</w:t>
                  </w:r>
                </w:p>
              </w:tc>
              <w:tc>
                <w:tcPr>
                  <w:tcW w:w="844" w:type="dxa"/>
                  <w:tcBorders>
                    <w:top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3"/>
                      <w:sz w:val="21"/>
                    </w:rPr>
                    <w:t>场地</w:t>
                  </w:r>
                  <w:r>
                    <w:rPr>
                      <w:rFonts w:hint="eastAsia" w:ascii="Times New Roman" w:hAnsi="Times New Roman"/>
                      <w:spacing w:val="-3"/>
                      <w:sz w:val="21"/>
                      <w:lang w:val="en-US" w:eastAsia="zh-CN"/>
                    </w:rPr>
                    <w:t>北</w:t>
                  </w:r>
                  <w:r>
                    <w:rPr>
                      <w:rFonts w:hint="default" w:ascii="Times New Roman" w:hAnsi="Times New Roman" w:eastAsia="宋体"/>
                      <w:sz w:val="21"/>
                    </w:rPr>
                    <w:t>侧</w:t>
                  </w:r>
                </w:p>
              </w:tc>
              <w:tc>
                <w:tcPr>
                  <w:tcW w:w="1548" w:type="dxa"/>
                  <w:tcBorders>
                    <w:top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cs="Times New Roman"/>
                      <w:sz w:val="21"/>
                      <w:szCs w:val="18"/>
                    </w:rPr>
                  </w:pPr>
                  <w:r>
                    <w:rPr>
                      <w:rFonts w:hint="eastAsia" w:ascii="Times New Roman" w:hAnsi="Times New Roman" w:eastAsia="宋体" w:cs="Times New Roman"/>
                      <w:spacing w:val="-1"/>
                      <w:position w:val="10"/>
                      <w:sz w:val="21"/>
                      <w:szCs w:val="18"/>
                    </w:rPr>
                    <w:t>130.9102511286 45.7813679968</w:t>
                  </w:r>
                </w:p>
              </w:tc>
              <w:tc>
                <w:tcPr>
                  <w:tcW w:w="547" w:type="dxa"/>
                  <w:tcBorders>
                    <w:top w:val="single" w:color="000000" w:sz="8" w:space="0"/>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r>
                    <w:rPr>
                      <w:rFonts w:hint="default" w:ascii="Times New Roman" w:hAnsi="Times New Roman" w:eastAsia="宋体"/>
                      <w:spacing w:val="-4"/>
                      <w:sz w:val="21"/>
                    </w:rPr>
                    <w:t>新建</w:t>
                  </w:r>
                </w:p>
              </w:tc>
              <w:tc>
                <w:tcPr>
                  <w:tcW w:w="91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84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90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c>
                <w:tcPr>
                  <w:tcW w:w="79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default" w:ascii="Times New Roman" w:hAnsi="Times New Roman" w:eastAsia="宋体"/>
                      <w:sz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6 生态影响和保护措施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运营期对周边生态环境的影响主要表现为水土流失、压占土地及植被、景观破坏及其对生态功能的影响。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（1）水土流失影响分析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工程运营初期水土流失工程建成后，建（构）筑物等覆盖的区域基本不产生水土流失，但场区其它区域短期内仍不可能恢复植被，场区生态恢复工程又略滞后于主体工程，在此期间，若遇上暴雨，仍不可避免地会导致土壤侵蚀。工程建成运行后，场区裸露地表的可蚀性面积均采取绿化等措施后，场区裸露地表的可蚀性面积大大降低，且导流渠等设施的实施也降低非硬化面积的侵蚀模数，运营期的水土流失量与现状相比有较大降低，土壤侵蚀模数也显著变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（2）压占土地及植被、景观破坏影响分析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项目建成后局部生态系统受到一定的影响。但不会改变场区周边现有环境功能，而且其影响范围在场区内，封场后，对场区进行植被恢复，对场区外区域生态环境影响较小。暂存场设置导流渠、排水沟，以防止内部雨水淤积，排出场外，因此暂存场占地对区域的环境影响不大。暂存场占地区未发现国家规定的保护树种和名木古树分布，也未见保护动物，动、植物均为当地常见种，因此工程占地不会造成某物种大量减少或消失，对生物多样性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（3）建筑垃圾运输道路生态影响分析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项目建筑垃圾运输过程会产生一定的散落物，同时车辆离开作业场地期间，车轮上会粘附大量的颗粒物，在道路上行驶，这些颗粒物会落到路面，在车辆通过时可能会形成扬尘污染。粉尘随风吹扬、飘落，被植物的叶片和茎秆截流吸附，堵塞植物的气孔，影响植物的光合作用和呼吸作用，使植物的生长量降低，树木生长缓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（4）生态恢复环境影响分析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本项目在运行过程中要注意保护植被，减少植被破坏面积，尽快进行植被恢复。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①暂存场生态治理措施为防止运营期扬尘污染，每天建筑垃圾堆料作业完成后，应及时进行碾压操作，暂存场操作顺序为按单元依次逐层推进，层层压实，当达到设计堆料标高后，应及时进行终场封场覆盖。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②安排专人负责对场区绿化植物及场区周边防护林进行养护和管理，保证成活率，充分发挥绿化植物及防护林的作用。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（5）封场后生态恢复环境影响分析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建筑垃圾堆料至设计高度，应进行封场覆盖。暂存场封场覆盖防渗系统设计如下：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垃圾堆料到设计高程后，在垃圾堆体顶面表面依次压实上铺30cm的排气层(卵石)，在铺30cm的膜下保护层(黏土，渗透系数不大于1×10</w:t>
            </w:r>
            <w:r>
              <w:rPr>
                <w:rFonts w:hint="eastAsia" w:ascii="Times New Roman" w:hAnsi="Times New Roman" w:cs="Times New Roman"/>
                <w:bCs/>
                <w:spacing w:val="0"/>
                <w:sz w:val="24"/>
                <w:szCs w:val="24"/>
                <w:vertAlign w:val="superscript"/>
                <w:lang w:val="en-US" w:eastAsia="zh-CN"/>
              </w:rPr>
              <w:t>-7</w:t>
            </w:r>
            <w:r>
              <w:rPr>
                <w:rFonts w:hint="eastAsia" w:ascii="Times New Roman" w:hAnsi="Times New Roman" w:cs="Times New Roman"/>
                <w:bCs/>
                <w:spacing w:val="0"/>
                <w:sz w:val="24"/>
                <w:szCs w:val="24"/>
                <w:lang w:val="en-US" w:eastAsia="zh-CN"/>
              </w:rPr>
              <w:t>cm/s)，在铺1.0mm厚土工膜（两布一膜）作为防渗层，其上在铺300g/m</w:t>
            </w:r>
            <w:r>
              <w:rPr>
                <w:rFonts w:hint="eastAsia" w:ascii="Times New Roman" w:hAnsi="Times New Roman" w:cs="Times New Roman"/>
                <w:bCs/>
                <w:spacing w:val="0"/>
                <w:sz w:val="24"/>
                <w:szCs w:val="24"/>
                <w:vertAlign w:val="superscript"/>
                <w:lang w:val="en-US" w:eastAsia="zh-CN"/>
              </w:rPr>
              <w:t>2</w:t>
            </w:r>
            <w:r>
              <w:rPr>
                <w:rFonts w:hint="eastAsia" w:ascii="Times New Roman" w:hAnsi="Times New Roman" w:cs="Times New Roman"/>
                <w:bCs/>
                <w:spacing w:val="0"/>
                <w:sz w:val="24"/>
                <w:szCs w:val="24"/>
                <w:lang w:val="en-US" w:eastAsia="zh-CN"/>
              </w:rPr>
              <w:t>土工滤网，在铺一层土工复合排水网作排水层，最后，为保证场地关闭后的环境恢复，封场层最上部为45cm厚土层和15cm营养土覆盖全面，以植种浅根植被。营养植被层应压实。覆盖支持土层由压实土层构成，渗透系数应大于1×10</w:t>
            </w:r>
            <w:r>
              <w:rPr>
                <w:rFonts w:hint="eastAsia" w:ascii="Times New Roman" w:hAnsi="Times New Roman" w:cs="Times New Roman"/>
                <w:bCs/>
                <w:spacing w:val="0"/>
                <w:sz w:val="24"/>
                <w:szCs w:val="24"/>
                <w:vertAlign w:val="superscript"/>
                <w:lang w:val="en-US" w:eastAsia="zh-CN"/>
              </w:rPr>
              <w:t>-4</w:t>
            </w:r>
            <w:r>
              <w:rPr>
                <w:rFonts w:hint="eastAsia" w:ascii="Times New Roman" w:hAnsi="Times New Roman" w:cs="Times New Roman"/>
                <w:bCs/>
                <w:spacing w:val="0"/>
                <w:sz w:val="24"/>
                <w:szCs w:val="24"/>
                <w:lang w:val="en-US" w:eastAsia="zh-CN"/>
              </w:rPr>
              <w:t>cm/s。在封场顶面做坡，坡向两边，坡度为5%以利于排水。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暂存场退役封场后，随着堆料活动结束和生态环境综合整治措施的落实，生态环境将会得到逐步改善。封场工程采用渐进修复、栽植人工植被的封场绿化措施，可以保护和培育当地自然植被，对边坡稳定和生态恢复都具有重要作用。总体看来，封场后生态环境将得到逐步恢复、改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综上所述，项目实施对区域生态环境的影响在可接受水平之内，对评价区生态环境的功能和稳定性影响较小。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7 环境</w:t>
            </w:r>
            <w:r>
              <w:rPr>
                <w:rFonts w:hint="eastAsia" w:cs="Times New Roman"/>
                <w:b/>
                <w:bCs w:val="0"/>
                <w:spacing w:val="0"/>
                <w:sz w:val="24"/>
                <w:szCs w:val="24"/>
                <w:lang w:val="en-US" w:eastAsia="zh-CN"/>
              </w:rPr>
              <w:t>风险</w:t>
            </w:r>
            <w:r>
              <w:rPr>
                <w:rFonts w:hint="eastAsia" w:ascii="Times New Roman" w:hAnsi="Times New Roman" w:cs="Times New Roman"/>
                <w:b/>
                <w:bCs w:val="0"/>
                <w:spacing w:val="0"/>
                <w:sz w:val="24"/>
                <w:szCs w:val="24"/>
                <w:lang w:val="en-US" w:eastAsia="zh-CN"/>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Cs/>
                <w:spacing w:val="0"/>
                <w:sz w:val="24"/>
                <w:szCs w:val="24"/>
                <w:lang w:val="en-US" w:eastAsia="zh-CN"/>
              </w:rPr>
              <w:t>环境风险评价是指对建设项目建设和运行期间发生的可预测突发事件（一般不包括人为破坏及自然灾害），引起有毒有害、易燃易爆等物质泄漏所造成的对人身安全与环境的影响和损害进行评估，并提出防范、应急与减缓措施，以使建设项目事故率、损失和环境影响达到可接受的水平。</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7.1 环境风险因素识别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本项目不储存和使用有毒有害、易燃易爆等危险物质，本项目运营期可能产生环境风险的因素如下：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（1）排洪管道在雨季不畅时，大量雨水进入垃圾围堤，浸泡垃圾体，可能导致垃圾坝塌坝及垃圾冲出垃圾</w:t>
            </w:r>
            <w:r>
              <w:rPr>
                <w:rFonts w:hint="eastAsia" w:ascii="Times New Roman" w:hAnsi="Times New Roman" w:eastAsia="宋体" w:cs="Times New Roman"/>
                <w:bCs/>
                <w:spacing w:val="0"/>
                <w:sz w:val="24"/>
                <w:szCs w:val="24"/>
                <w:lang w:val="en-US" w:eastAsia="zh-CN"/>
              </w:rPr>
              <w:t>暂存场</w:t>
            </w:r>
            <w:r>
              <w:rPr>
                <w:rFonts w:hint="default" w:ascii="Times New Roman" w:hAnsi="Times New Roman" w:eastAsia="宋体" w:cs="Times New Roman"/>
                <w:bCs/>
                <w:spacing w:val="0"/>
                <w:sz w:val="24"/>
                <w:szCs w:val="24"/>
                <w:lang w:val="en-US" w:eastAsia="zh-CN"/>
              </w:rPr>
              <w:t>的事故。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（2）防渗层断裂，</w:t>
            </w:r>
            <w:r>
              <w:rPr>
                <w:rFonts w:hint="eastAsia" w:ascii="Times New Roman" w:hAnsi="Times New Roman" w:eastAsia="宋体" w:cs="Times New Roman"/>
                <w:bCs/>
                <w:spacing w:val="0"/>
                <w:sz w:val="24"/>
                <w:szCs w:val="24"/>
                <w:lang w:val="en-US" w:eastAsia="zh-CN"/>
              </w:rPr>
              <w:t>雨水渗水</w:t>
            </w:r>
            <w:r>
              <w:rPr>
                <w:rFonts w:hint="default" w:ascii="Times New Roman" w:hAnsi="Times New Roman" w:eastAsia="宋体" w:cs="Times New Roman"/>
                <w:bCs/>
                <w:spacing w:val="0"/>
                <w:sz w:val="24"/>
                <w:szCs w:val="24"/>
                <w:lang w:val="en-US" w:eastAsia="zh-CN"/>
              </w:rPr>
              <w:t>将有可能对</w:t>
            </w:r>
            <w:r>
              <w:rPr>
                <w:rFonts w:hint="eastAsia" w:ascii="Times New Roman" w:hAnsi="Times New Roman" w:eastAsia="宋体" w:cs="Times New Roman"/>
                <w:bCs/>
                <w:spacing w:val="0"/>
                <w:sz w:val="24"/>
                <w:szCs w:val="24"/>
                <w:lang w:val="en-US" w:eastAsia="zh-CN"/>
              </w:rPr>
              <w:t>暂存场</w:t>
            </w:r>
            <w:r>
              <w:rPr>
                <w:rFonts w:hint="default" w:ascii="Times New Roman" w:hAnsi="Times New Roman" w:eastAsia="宋体" w:cs="Times New Roman"/>
                <w:bCs/>
                <w:spacing w:val="0"/>
                <w:sz w:val="24"/>
                <w:szCs w:val="24"/>
                <w:lang w:val="en-US" w:eastAsia="zh-CN"/>
              </w:rPr>
              <w:t>的地下水造成污染。</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
                <w:bCs w:val="0"/>
                <w:spacing w:val="0"/>
                <w:sz w:val="24"/>
                <w:szCs w:val="24"/>
                <w:lang w:val="en-US" w:eastAsia="zh-CN"/>
              </w:rPr>
              <w:t>7.2 事故风险分析及预防措施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（1）垃圾滑坡溃坝的防范措施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虽然垃圾滑坡坝溃坝事故发生的可能性很小，但应做到防患于未然，并事先采取防范措施，在小概率事故发生后将损失减至最小，并因此提出以下风险防范措施：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①本工程</w:t>
            </w:r>
            <w:r>
              <w:rPr>
                <w:rFonts w:hint="eastAsia" w:ascii="Times New Roman" w:hAnsi="Times New Roman" w:eastAsia="宋体" w:cs="Times New Roman"/>
                <w:bCs/>
                <w:spacing w:val="0"/>
                <w:sz w:val="24"/>
                <w:szCs w:val="24"/>
                <w:lang w:val="en-US" w:eastAsia="zh-CN"/>
              </w:rPr>
              <w:t>堆料区</w:t>
            </w:r>
            <w:r>
              <w:rPr>
                <w:rFonts w:hint="default" w:ascii="Times New Roman" w:hAnsi="Times New Roman" w:eastAsia="宋体" w:cs="Times New Roman"/>
                <w:bCs/>
                <w:spacing w:val="0"/>
                <w:sz w:val="24"/>
                <w:szCs w:val="24"/>
                <w:lang w:val="en-US" w:eastAsia="zh-CN"/>
              </w:rPr>
              <w:t>下游沟口处设置垃圾坝，坝体设计要由正规有资质单位设计，施工要由正规施工单位及队伍施工，并做好施工期工程监理。在垃圾坝设计和建设过程中严格按设计规范和操作规范施工，定期对坝体进行维护，做好</w:t>
            </w:r>
            <w:r>
              <w:rPr>
                <w:rFonts w:hint="eastAsia" w:ascii="Times New Roman" w:hAnsi="Times New Roman" w:eastAsia="宋体" w:cs="Times New Roman"/>
                <w:bCs/>
                <w:spacing w:val="0"/>
                <w:sz w:val="24"/>
                <w:szCs w:val="24"/>
                <w:lang w:val="en-US" w:eastAsia="zh-CN"/>
              </w:rPr>
              <w:t>堆料</w:t>
            </w:r>
            <w:r>
              <w:rPr>
                <w:rFonts w:hint="default" w:ascii="Times New Roman" w:hAnsi="Times New Roman" w:eastAsia="宋体" w:cs="Times New Roman"/>
                <w:bCs/>
                <w:spacing w:val="0"/>
                <w:sz w:val="24"/>
                <w:szCs w:val="24"/>
                <w:lang w:val="en-US" w:eastAsia="zh-CN"/>
              </w:rPr>
              <w:t>库区排水工作。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②防洪导排水系统的防洪标准按50年一遇洪水设计，按100年一遇洪水校核，确保场址内外地表强降水雨水导排通畅，避免暴雨对</w:t>
            </w:r>
            <w:r>
              <w:rPr>
                <w:rFonts w:hint="eastAsia" w:ascii="Times New Roman" w:hAnsi="Times New Roman" w:eastAsia="宋体" w:cs="Times New Roman"/>
                <w:bCs/>
                <w:spacing w:val="0"/>
                <w:sz w:val="24"/>
                <w:szCs w:val="24"/>
                <w:lang w:val="en-US" w:eastAsia="zh-CN"/>
              </w:rPr>
              <w:t>暂存场</w:t>
            </w:r>
            <w:r>
              <w:rPr>
                <w:rFonts w:hint="default" w:ascii="Times New Roman" w:hAnsi="Times New Roman" w:eastAsia="宋体" w:cs="Times New Roman"/>
                <w:bCs/>
                <w:spacing w:val="0"/>
                <w:sz w:val="24"/>
                <w:szCs w:val="24"/>
                <w:lang w:val="en-US" w:eastAsia="zh-CN"/>
              </w:rPr>
              <w:t>的冲击。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③垃圾</w:t>
            </w:r>
            <w:r>
              <w:rPr>
                <w:rFonts w:hint="eastAsia" w:ascii="Times New Roman" w:hAnsi="Times New Roman" w:eastAsia="宋体" w:cs="Times New Roman"/>
                <w:bCs/>
                <w:spacing w:val="0"/>
                <w:sz w:val="24"/>
                <w:szCs w:val="24"/>
                <w:lang w:val="en-US" w:eastAsia="zh-CN"/>
              </w:rPr>
              <w:t>堆料</w:t>
            </w:r>
            <w:r>
              <w:rPr>
                <w:rFonts w:hint="default" w:ascii="Times New Roman" w:hAnsi="Times New Roman" w:eastAsia="宋体" w:cs="Times New Roman"/>
                <w:bCs/>
                <w:spacing w:val="0"/>
                <w:sz w:val="24"/>
                <w:szCs w:val="24"/>
                <w:lang w:val="en-US" w:eastAsia="zh-CN"/>
              </w:rPr>
              <w:t>作业由按单元</w:t>
            </w:r>
            <w:r>
              <w:rPr>
                <w:rFonts w:hint="eastAsia" w:cs="Times New Roman"/>
                <w:bCs/>
                <w:spacing w:val="0"/>
                <w:sz w:val="24"/>
                <w:szCs w:val="24"/>
                <w:lang w:val="en-US" w:eastAsia="zh-CN"/>
              </w:rPr>
              <w:t>堆存</w:t>
            </w:r>
            <w:r>
              <w:rPr>
                <w:rFonts w:hint="default" w:ascii="Times New Roman" w:hAnsi="Times New Roman" w:eastAsia="宋体" w:cs="Times New Roman"/>
                <w:bCs/>
                <w:spacing w:val="0"/>
                <w:sz w:val="24"/>
                <w:szCs w:val="24"/>
                <w:lang w:val="en-US" w:eastAsia="zh-CN"/>
              </w:rPr>
              <w:t>方式作业，做好垃圾体内排水、导气工作和保证</w:t>
            </w:r>
            <w:r>
              <w:rPr>
                <w:rFonts w:hint="eastAsia" w:cs="Times New Roman"/>
                <w:bCs/>
                <w:spacing w:val="0"/>
                <w:sz w:val="24"/>
                <w:szCs w:val="24"/>
                <w:lang w:val="en-US" w:eastAsia="zh-CN"/>
              </w:rPr>
              <w:t>堆存</w:t>
            </w:r>
            <w:r>
              <w:rPr>
                <w:rFonts w:hint="default" w:ascii="Times New Roman" w:hAnsi="Times New Roman" w:eastAsia="宋体" w:cs="Times New Roman"/>
                <w:bCs/>
                <w:spacing w:val="0"/>
                <w:sz w:val="24"/>
                <w:szCs w:val="24"/>
                <w:lang w:val="en-US" w:eastAsia="zh-CN"/>
              </w:rPr>
              <w:t>工艺质量的，做好垃圾</w:t>
            </w:r>
            <w:r>
              <w:rPr>
                <w:rFonts w:hint="eastAsia" w:ascii="Times New Roman" w:hAnsi="Times New Roman" w:eastAsia="宋体" w:cs="Times New Roman"/>
                <w:bCs/>
                <w:spacing w:val="0"/>
                <w:sz w:val="24"/>
                <w:szCs w:val="24"/>
                <w:lang w:val="en-US" w:eastAsia="zh-CN"/>
              </w:rPr>
              <w:t>堆料</w:t>
            </w:r>
            <w:r>
              <w:rPr>
                <w:rFonts w:hint="default" w:ascii="Times New Roman" w:hAnsi="Times New Roman" w:eastAsia="宋体" w:cs="Times New Roman"/>
                <w:bCs/>
                <w:spacing w:val="0"/>
                <w:sz w:val="24"/>
                <w:szCs w:val="24"/>
                <w:lang w:val="en-US" w:eastAsia="zh-CN"/>
              </w:rPr>
              <w:t>压实作业和各阶段覆土工作，并做好</w:t>
            </w:r>
            <w:r>
              <w:rPr>
                <w:rFonts w:hint="eastAsia" w:ascii="Times New Roman" w:hAnsi="Times New Roman" w:eastAsia="宋体" w:cs="Times New Roman"/>
                <w:bCs/>
                <w:spacing w:val="0"/>
                <w:sz w:val="24"/>
                <w:szCs w:val="24"/>
                <w:lang w:val="en-US" w:eastAsia="zh-CN"/>
              </w:rPr>
              <w:t>堆料区</w:t>
            </w:r>
            <w:r>
              <w:rPr>
                <w:rFonts w:hint="default" w:ascii="Times New Roman" w:hAnsi="Times New Roman" w:eastAsia="宋体" w:cs="Times New Roman"/>
                <w:bCs/>
                <w:spacing w:val="0"/>
                <w:sz w:val="24"/>
                <w:szCs w:val="24"/>
                <w:lang w:val="en-US" w:eastAsia="zh-CN"/>
              </w:rPr>
              <w:t>降雨径流导排，减少雨水及暴雨对覆盖土的冲刷和向垃圾堆体的入渗量。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④在保证</w:t>
            </w:r>
            <w:r>
              <w:rPr>
                <w:rFonts w:hint="eastAsia" w:ascii="Times New Roman" w:hAnsi="Times New Roman" w:eastAsia="宋体" w:cs="Times New Roman"/>
                <w:bCs/>
                <w:spacing w:val="0"/>
                <w:sz w:val="24"/>
                <w:szCs w:val="24"/>
                <w:lang w:val="en-US" w:eastAsia="zh-CN"/>
              </w:rPr>
              <w:t>堆料</w:t>
            </w:r>
            <w:r>
              <w:rPr>
                <w:rFonts w:hint="default" w:ascii="Times New Roman" w:hAnsi="Times New Roman" w:eastAsia="宋体" w:cs="Times New Roman"/>
                <w:bCs/>
                <w:spacing w:val="0"/>
                <w:sz w:val="24"/>
                <w:szCs w:val="24"/>
                <w:lang w:val="en-US" w:eastAsia="zh-CN"/>
              </w:rPr>
              <w:t>工艺质量的前提下，经常清洗</w:t>
            </w:r>
            <w:r>
              <w:rPr>
                <w:rFonts w:hint="eastAsia" w:ascii="Times New Roman" w:hAnsi="Times New Roman" w:eastAsia="宋体" w:cs="Times New Roman"/>
                <w:bCs/>
                <w:spacing w:val="0"/>
                <w:sz w:val="24"/>
                <w:szCs w:val="24"/>
                <w:lang w:val="en-US" w:eastAsia="zh-CN"/>
              </w:rPr>
              <w:t>雨水渗水</w:t>
            </w:r>
            <w:r>
              <w:rPr>
                <w:rFonts w:hint="default" w:ascii="Times New Roman" w:hAnsi="Times New Roman" w:eastAsia="宋体" w:cs="Times New Roman"/>
                <w:bCs/>
                <w:spacing w:val="0"/>
                <w:sz w:val="24"/>
                <w:szCs w:val="24"/>
                <w:lang w:val="en-US" w:eastAsia="zh-CN"/>
              </w:rPr>
              <w:t>收集和排放管道使其保持通畅；经常加固场边山坡坡面。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⑤定期对垃圾堆体及坝体进行观察测试，及时对观测数据进行分析，确定垃圾堆体及坝体的稳定性。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（2）防渗层断裂的防范措施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①选择合适的防渗衬里，粘土压实、设计规范，施工要保证质量；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②要让</w:t>
            </w:r>
            <w:r>
              <w:rPr>
                <w:rFonts w:hint="eastAsia" w:ascii="Times New Roman" w:hAnsi="Times New Roman" w:eastAsia="宋体" w:cs="Times New Roman"/>
                <w:bCs/>
                <w:spacing w:val="0"/>
                <w:sz w:val="24"/>
                <w:szCs w:val="24"/>
                <w:lang w:val="en-US" w:eastAsia="zh-CN"/>
              </w:rPr>
              <w:t>雨水渗水</w:t>
            </w:r>
            <w:r>
              <w:rPr>
                <w:rFonts w:hint="default" w:ascii="Times New Roman" w:hAnsi="Times New Roman" w:eastAsia="宋体" w:cs="Times New Roman"/>
                <w:bCs/>
                <w:spacing w:val="0"/>
                <w:sz w:val="24"/>
                <w:szCs w:val="24"/>
                <w:lang w:val="en-US" w:eastAsia="zh-CN"/>
              </w:rPr>
              <w:t>排出系统</w:t>
            </w:r>
            <w:r>
              <w:rPr>
                <w:rFonts w:hint="eastAsia" w:ascii="Times New Roman" w:hAnsi="Times New Roman" w:eastAsia="宋体" w:cs="Times New Roman"/>
                <w:bCs/>
                <w:spacing w:val="0"/>
                <w:sz w:val="24"/>
                <w:szCs w:val="24"/>
                <w:lang w:val="en-US" w:eastAsia="zh-CN"/>
              </w:rPr>
              <w:t>通畅</w:t>
            </w:r>
            <w:r>
              <w:rPr>
                <w:rFonts w:hint="default" w:ascii="Times New Roman" w:hAnsi="Times New Roman" w:eastAsia="宋体" w:cs="Times New Roman"/>
                <w:bCs/>
                <w:spacing w:val="0"/>
                <w:sz w:val="24"/>
                <w:szCs w:val="24"/>
                <w:lang w:val="en-US" w:eastAsia="zh-CN"/>
              </w:rPr>
              <w:t>，以减少对衬层的压力；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③在垃圾</w:t>
            </w:r>
            <w:r>
              <w:rPr>
                <w:rFonts w:hint="eastAsia" w:cs="Times New Roman"/>
                <w:bCs/>
                <w:spacing w:val="0"/>
                <w:sz w:val="24"/>
                <w:szCs w:val="24"/>
                <w:lang w:val="en-US" w:eastAsia="zh-CN"/>
              </w:rPr>
              <w:t>堆存</w:t>
            </w:r>
            <w:r>
              <w:rPr>
                <w:rFonts w:hint="default" w:ascii="Times New Roman" w:hAnsi="Times New Roman" w:eastAsia="宋体" w:cs="Times New Roman"/>
                <w:bCs/>
                <w:spacing w:val="0"/>
                <w:sz w:val="24"/>
                <w:szCs w:val="24"/>
                <w:lang w:val="en-US" w:eastAsia="zh-CN"/>
              </w:rPr>
              <w:t>过程中要防止由于基础沉降或撞击或撕破，穿透人工防渗衬层，防渗层要均匀压实；</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④设置导流渠、泄洪沟等，减少地表径流进入场地；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⑤</w:t>
            </w:r>
            <w:r>
              <w:rPr>
                <w:rFonts w:hint="eastAsia" w:ascii="Times New Roman" w:hAnsi="Times New Roman" w:eastAsia="宋体" w:cs="Times New Roman"/>
                <w:bCs/>
                <w:spacing w:val="0"/>
                <w:sz w:val="24"/>
                <w:szCs w:val="24"/>
                <w:lang w:val="en-US" w:eastAsia="zh-CN"/>
              </w:rPr>
              <w:t>雨水渗水</w:t>
            </w:r>
            <w:r>
              <w:rPr>
                <w:rFonts w:hint="default" w:ascii="Times New Roman" w:hAnsi="Times New Roman" w:eastAsia="宋体" w:cs="Times New Roman"/>
                <w:bCs/>
                <w:spacing w:val="0"/>
                <w:sz w:val="24"/>
                <w:szCs w:val="24"/>
                <w:lang w:val="en-US" w:eastAsia="zh-CN"/>
              </w:rPr>
              <w:t>集水系统应有适当的余量，承担起多雨、暴雨季节的导排；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⑥选择合适的覆土材料，防止雨水渗入；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⑦当抽水用的泵或竖管损坏时，应有备用设备将</w:t>
            </w:r>
            <w:r>
              <w:rPr>
                <w:rFonts w:hint="eastAsia" w:ascii="Times New Roman" w:hAnsi="Times New Roman" w:eastAsia="宋体" w:cs="Times New Roman"/>
                <w:bCs/>
                <w:spacing w:val="0"/>
                <w:sz w:val="24"/>
                <w:szCs w:val="24"/>
                <w:lang w:val="en-US" w:eastAsia="zh-CN"/>
              </w:rPr>
              <w:t>雨水渗水</w:t>
            </w:r>
            <w:r>
              <w:rPr>
                <w:rFonts w:hint="default" w:ascii="Times New Roman" w:hAnsi="Times New Roman" w:eastAsia="宋体" w:cs="Times New Roman"/>
                <w:bCs/>
                <w:spacing w:val="0"/>
                <w:sz w:val="24"/>
                <w:szCs w:val="24"/>
                <w:lang w:val="en-US" w:eastAsia="zh-CN"/>
              </w:rPr>
              <w:t>移出；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spacing w:val="0"/>
                <w:sz w:val="24"/>
                <w:szCs w:val="24"/>
                <w:lang w:val="en-US" w:eastAsia="zh-CN"/>
              </w:rPr>
            </w:pPr>
            <w:r>
              <w:rPr>
                <w:rFonts w:hint="default" w:ascii="Times New Roman" w:hAnsi="Times New Roman" w:eastAsia="宋体" w:cs="Times New Roman"/>
                <w:bCs/>
                <w:spacing w:val="0"/>
                <w:sz w:val="24"/>
                <w:szCs w:val="24"/>
                <w:lang w:val="en-US" w:eastAsia="zh-CN"/>
              </w:rPr>
              <w:t>⑧设立观测井，定期监测，发现问题及时处理。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4"/>
                <w:szCs w:val="32"/>
              </w:rPr>
            </w:pPr>
            <w:r>
              <w:rPr>
                <w:rFonts w:hint="default" w:ascii="Times New Roman" w:hAnsi="Times New Roman" w:eastAsia="宋体" w:cs="Times New Roman"/>
                <w:b/>
                <w:bCs/>
                <w:sz w:val="24"/>
                <w:szCs w:val="32"/>
                <w:lang w:val="en-US" w:eastAsia="zh-CN"/>
              </w:rPr>
              <w:t>8</w:t>
            </w:r>
            <w:r>
              <w:rPr>
                <w:rFonts w:hint="eastAsia" w:ascii="宋体" w:hAnsi="宋体" w:eastAsia="宋体" w:cs="宋体"/>
                <w:b/>
                <w:bCs/>
                <w:sz w:val="24"/>
                <w:szCs w:val="32"/>
                <w:lang w:val="en-US" w:eastAsia="zh-CN"/>
              </w:rPr>
              <w:t xml:space="preserve"> </w:t>
            </w:r>
            <w:r>
              <w:rPr>
                <w:rFonts w:hint="default" w:ascii="Times New Roman" w:hAnsi="Times New Roman" w:eastAsia="宋体" w:cs="Times New Roman"/>
                <w:b/>
                <w:bCs/>
                <w:sz w:val="24"/>
                <w:szCs w:val="32"/>
              </w:rPr>
              <w:t>“三同时”验收内容</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sz w:val="24"/>
                <w:szCs w:val="32"/>
              </w:rPr>
            </w:pPr>
            <w:r>
              <w:rPr>
                <w:rFonts w:hint="default" w:ascii="Times New Roman" w:hAnsi="Times New Roman" w:eastAsia="宋体" w:cs="Times New Roman"/>
                <w:sz w:val="24"/>
                <w:szCs w:val="32"/>
              </w:rPr>
              <w:t>本项目“三同时”验收汇总情况见表4</w:t>
            </w:r>
            <w:r>
              <w:rPr>
                <w:rFonts w:hint="default" w:ascii="Times New Roman" w:hAnsi="Times New Roman" w:eastAsia="宋体" w:cs="Times New Roman"/>
                <w:sz w:val="24"/>
                <w:szCs w:val="32"/>
                <w:lang w:val="en-US" w:eastAsia="zh-CN"/>
              </w:rPr>
              <w:t>-</w:t>
            </w:r>
            <w:r>
              <w:rPr>
                <w:rFonts w:hint="eastAsia" w:ascii="Times New Roman" w:hAnsi="Times New Roman" w:eastAsia="宋体" w:cs="Times New Roman"/>
                <w:sz w:val="24"/>
                <w:szCs w:val="32"/>
                <w:lang w:val="en-US" w:eastAsia="zh-CN"/>
              </w:rPr>
              <w:t>11</w:t>
            </w:r>
            <w:r>
              <w:rPr>
                <w:rFonts w:hint="default" w:ascii="Times New Roman" w:hAnsi="Times New Roman" w:eastAsia="宋体" w:cs="Times New Roman"/>
                <w:sz w:val="24"/>
                <w:szCs w:val="32"/>
              </w:rPr>
              <w:t>。</w:t>
            </w:r>
          </w:p>
          <w:p>
            <w:pPr>
              <w:spacing w:line="268" w:lineRule="exact"/>
              <w:jc w:val="center"/>
              <w:rPr>
                <w:b/>
                <w:bCs w:val="0"/>
                <w:sz w:val="21"/>
                <w:szCs w:val="21"/>
              </w:rPr>
            </w:pPr>
            <w:r>
              <w:rPr>
                <w:rFonts w:hint="eastAsia"/>
                <w:b/>
                <w:bCs w:val="0"/>
                <w:sz w:val="21"/>
                <w:szCs w:val="21"/>
              </w:rPr>
              <w:t>表4</w:t>
            </w:r>
            <w:r>
              <w:rPr>
                <w:rFonts w:hint="eastAsia"/>
                <w:b/>
                <w:bCs w:val="0"/>
                <w:sz w:val="21"/>
                <w:szCs w:val="21"/>
                <w:lang w:val="en-US" w:eastAsia="zh-CN"/>
              </w:rPr>
              <w:t xml:space="preserve">-11 </w:t>
            </w:r>
            <w:r>
              <w:rPr>
                <w:b/>
                <w:bCs w:val="0"/>
                <w:sz w:val="21"/>
                <w:szCs w:val="21"/>
              </w:rPr>
              <w:t>环保设施</w:t>
            </w:r>
            <w:r>
              <w:rPr>
                <w:rFonts w:hint="eastAsia"/>
                <w:b/>
                <w:bCs w:val="0"/>
                <w:sz w:val="21"/>
                <w:szCs w:val="21"/>
              </w:rPr>
              <w:t>及</w:t>
            </w:r>
            <w:r>
              <w:rPr>
                <w:rFonts w:hint="eastAsia"/>
                <w:b/>
                <w:bCs w:val="0"/>
                <w:sz w:val="21"/>
                <w:szCs w:val="24"/>
              </w:rPr>
              <w:t>“三同时”验收汇总表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7"/>
              <w:gridCol w:w="1228"/>
              <w:gridCol w:w="3721"/>
              <w:gridCol w:w="2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工程项目</w:t>
                  </w:r>
                </w:p>
              </w:tc>
              <w:tc>
                <w:tcPr>
                  <w:tcW w:w="3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处理（保护）措施</w:t>
                  </w:r>
                </w:p>
              </w:tc>
              <w:tc>
                <w:tcPr>
                  <w:tcW w:w="2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大气污染</w:t>
                  </w:r>
                </w:p>
              </w:tc>
              <w:tc>
                <w:tcPr>
                  <w:tcW w:w="494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）建筑垃圾在运输过程中采取苫盖措施</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）建筑垃圾在卸车、摊平及堆存均采取洒水抑尘措施</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）卸料过程中采取喷淋降尘措施。</w:t>
                  </w:r>
                </w:p>
              </w:tc>
              <w:tc>
                <w:tcPr>
                  <w:tcW w:w="2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《大气污染物综合排放标准》（GB16297-1996）表2无组织排放浓度限值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55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2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生活污水</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冲洗废水</w:t>
                  </w:r>
                </w:p>
              </w:tc>
              <w:tc>
                <w:tcPr>
                  <w:tcW w:w="3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经化粪池处理后拉运至</w:t>
                  </w:r>
                  <w:r>
                    <w:rPr>
                      <w:rFonts w:hint="eastAsia" w:cs="Times New Roman"/>
                      <w:sz w:val="21"/>
                      <w:szCs w:val="21"/>
                      <w:highlight w:val="none"/>
                      <w:lang w:eastAsia="zh-CN"/>
                    </w:rPr>
                    <w:t>七台河市第二污水处理厂</w:t>
                  </w:r>
                </w:p>
              </w:tc>
              <w:tc>
                <w:tcPr>
                  <w:tcW w:w="2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新建化粪池</w:t>
                  </w:r>
                  <w:r>
                    <w:rPr>
                      <w:rFonts w:hint="eastAsia"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eastAsia" w:cs="Times New Roman"/>
                      <w:sz w:val="21"/>
                      <w:szCs w:val="21"/>
                      <w:vertAlign w:val="baseline"/>
                      <w:lang w:eastAsia="zh-CN"/>
                    </w:rPr>
                    <w:t>，</w:t>
                  </w:r>
                  <w:r>
                    <w:rPr>
                      <w:rFonts w:hint="eastAsia" w:cs="Times New Roman"/>
                      <w:sz w:val="21"/>
                      <w:szCs w:val="21"/>
                      <w:vertAlign w:val="baseline"/>
                      <w:lang w:val="en-US" w:eastAsia="zh-CN"/>
                    </w:rPr>
                    <w:t>排放标准满足</w:t>
                  </w:r>
                  <w:r>
                    <w:rPr>
                      <w:rFonts w:hint="eastAsia" w:ascii="Times New Roman" w:hAnsi="Times New Roman" w:cs="Times New Roman"/>
                      <w:b w:val="0"/>
                      <w:bCs w:val="0"/>
                      <w:kern w:val="0"/>
                      <w:sz w:val="21"/>
                      <w:szCs w:val="21"/>
                      <w:vertAlign w:val="baseline"/>
                      <w:lang w:val="en-US" w:eastAsia="zh-CN"/>
                    </w:rPr>
                    <w:t>《污水综合排放标准》(GB8978-1996)</w:t>
                  </w:r>
                  <w:r>
                    <w:rPr>
                      <w:rFonts w:hint="eastAsia" w:cs="Times New Roman"/>
                      <w:b w:val="0"/>
                      <w:bCs w:val="0"/>
                      <w:kern w:val="0"/>
                      <w:sz w:val="21"/>
                      <w:szCs w:val="21"/>
                      <w:vertAlign w:val="baseline"/>
                      <w:lang w:val="en-US" w:eastAsia="zh-CN"/>
                    </w:rPr>
                    <w:t>中三级标准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5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p>
              </w:tc>
              <w:tc>
                <w:tcPr>
                  <w:tcW w:w="12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雨水渗水</w:t>
                  </w:r>
                </w:p>
              </w:tc>
              <w:tc>
                <w:tcPr>
                  <w:tcW w:w="3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sz w:val="21"/>
                      <w:szCs w:val="21"/>
                      <w:vertAlign w:val="baseline"/>
                      <w:lang w:val="en-US" w:eastAsia="zh-CN"/>
                    </w:rPr>
                    <w:t>经收集</w:t>
                  </w:r>
                  <w:r>
                    <w:rPr>
                      <w:rFonts w:hint="eastAsia" w:cs="Times New Roman"/>
                      <w:bCs/>
                      <w:sz w:val="21"/>
                      <w:szCs w:val="21"/>
                      <w:vertAlign w:val="baseline"/>
                      <w:lang w:val="en-US" w:eastAsia="zh-CN"/>
                    </w:rPr>
                    <w:t>排入沉淀池沉淀后，排入雨水渗水暂存池，与化粪池污水一起由</w:t>
                  </w:r>
                  <w:r>
                    <w:rPr>
                      <w:rFonts w:hint="eastAsia" w:ascii="Times New Roman" w:hAnsi="Times New Roman" w:cs="Times New Roman"/>
                      <w:bCs/>
                      <w:sz w:val="21"/>
                      <w:szCs w:val="21"/>
                      <w:highlight w:val="none"/>
                      <w:vertAlign w:val="baseline"/>
                      <w:lang w:val="en-US" w:eastAsia="zh-CN"/>
                    </w:rPr>
                    <w:t>吸污车拉运至</w:t>
                  </w:r>
                  <w:r>
                    <w:rPr>
                      <w:rFonts w:hint="eastAsia" w:cs="Times New Roman"/>
                      <w:bCs/>
                      <w:sz w:val="21"/>
                      <w:szCs w:val="21"/>
                      <w:highlight w:val="none"/>
                      <w:vertAlign w:val="baseline"/>
                      <w:lang w:val="en-US" w:eastAsia="zh-CN"/>
                    </w:rPr>
                    <w:t>七台河市第二</w:t>
                  </w:r>
                  <w:r>
                    <w:rPr>
                      <w:rFonts w:hint="eastAsia" w:ascii="Times New Roman" w:hAnsi="Times New Roman" w:cs="Times New Roman"/>
                      <w:bCs/>
                      <w:sz w:val="21"/>
                      <w:szCs w:val="21"/>
                      <w:highlight w:val="none"/>
                      <w:vertAlign w:val="baseline"/>
                      <w:lang w:val="en-US" w:eastAsia="zh-CN"/>
                    </w:rPr>
                    <w:t>污水处理厂处理</w:t>
                  </w:r>
                  <w:r>
                    <w:rPr>
                      <w:rFonts w:hint="eastAsia" w:cs="Times New Roman"/>
                      <w:bCs/>
                      <w:sz w:val="21"/>
                      <w:szCs w:val="21"/>
                      <w:vertAlign w:val="baseline"/>
                      <w:lang w:val="en-US" w:eastAsia="zh-CN"/>
                    </w:rPr>
                    <w:t>。</w:t>
                  </w:r>
                </w:p>
              </w:tc>
              <w:tc>
                <w:tcPr>
                  <w:tcW w:w="2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新建</w:t>
                  </w:r>
                  <w:r>
                    <w:rPr>
                      <w:rFonts w:hint="eastAsia" w:ascii="Times New Roman" w:hAnsi="Times New Roman" w:eastAsia="宋体" w:cs="Times New Roman"/>
                      <w:sz w:val="21"/>
                      <w:szCs w:val="21"/>
                      <w:lang w:val="en-US" w:eastAsia="zh-CN"/>
                    </w:rPr>
                    <w:t>雨水渗水</w:t>
                  </w:r>
                  <w:r>
                    <w:rPr>
                      <w:rFonts w:hint="eastAsia" w:cs="Times New Roman"/>
                      <w:sz w:val="21"/>
                      <w:szCs w:val="21"/>
                      <w:lang w:val="en-US" w:eastAsia="zh-CN"/>
                    </w:rPr>
                    <w:t>沉淀</w:t>
                  </w:r>
                  <w:r>
                    <w:rPr>
                      <w:rFonts w:hint="eastAsia" w:ascii="Times New Roman" w:hAnsi="Times New Roman" w:eastAsia="宋体" w:cs="Times New Roman"/>
                      <w:sz w:val="21"/>
                      <w:szCs w:val="21"/>
                      <w:lang w:val="en-US" w:eastAsia="zh-CN"/>
                    </w:rPr>
                    <w:t>池</w:t>
                  </w:r>
                  <w:r>
                    <w:rPr>
                      <w:rFonts w:hint="eastAsia" w:cs="Times New Roman"/>
                      <w:sz w:val="21"/>
                      <w:szCs w:val="21"/>
                      <w:lang w:val="en-US" w:eastAsia="zh-CN"/>
                    </w:rPr>
                    <w:t>15</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eastAsia" w:cs="Times New Roman"/>
                      <w:sz w:val="21"/>
                      <w:szCs w:val="21"/>
                      <w:vertAlign w:val="baseline"/>
                      <w:lang w:eastAsia="zh-CN"/>
                    </w:rPr>
                    <w:t>，</w:t>
                  </w:r>
                  <w:r>
                    <w:rPr>
                      <w:rFonts w:hint="eastAsia" w:cs="Times New Roman"/>
                      <w:sz w:val="21"/>
                      <w:szCs w:val="21"/>
                      <w:vertAlign w:val="baseline"/>
                      <w:lang w:val="en-US" w:eastAsia="zh-CN"/>
                    </w:rPr>
                    <w:t>雨水渗水暂存池15</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55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12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3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生产管理区设置垃圾箱集中收集</w:t>
                  </w:r>
                  <w:r>
                    <w:rPr>
                      <w:rFonts w:hint="eastAsia" w:ascii="Times New Roman" w:hAnsi="Times New Roman" w:eastAsia="宋体" w:cs="Times New Roman"/>
                      <w:sz w:val="21"/>
                      <w:szCs w:val="21"/>
                      <w:lang w:eastAsia="zh-CN"/>
                    </w:rPr>
                    <w:t>后委托环卫部门清运</w:t>
                  </w:r>
                </w:p>
              </w:tc>
              <w:tc>
                <w:tcPr>
                  <w:tcW w:w="243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不得随意堆放。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5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p>
              </w:tc>
              <w:tc>
                <w:tcPr>
                  <w:tcW w:w="12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污泥</w:t>
                  </w:r>
                </w:p>
              </w:tc>
              <w:tc>
                <w:tcPr>
                  <w:tcW w:w="3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定期清掏运至</w:t>
                  </w:r>
                  <w:r>
                    <w:rPr>
                      <w:rFonts w:hint="eastAsia" w:cs="Times New Roman"/>
                      <w:sz w:val="21"/>
                      <w:szCs w:val="21"/>
                      <w:lang w:val="en-US" w:eastAsia="zh-CN"/>
                    </w:rPr>
                    <w:t>七台河市污泥处置厂处理</w:t>
                  </w:r>
                </w:p>
              </w:tc>
              <w:tc>
                <w:tcPr>
                  <w:tcW w:w="24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494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采取选用低噪音设备、</w:t>
                  </w:r>
                  <w:r>
                    <w:rPr>
                      <w:rFonts w:hint="eastAsia" w:cs="Times New Roman"/>
                      <w:sz w:val="21"/>
                      <w:szCs w:val="21"/>
                      <w:lang w:val="en-US" w:eastAsia="zh-CN"/>
                    </w:rPr>
                    <w:t>堆存</w:t>
                  </w:r>
                  <w:r>
                    <w:rPr>
                      <w:rFonts w:hint="default" w:ascii="Times New Roman" w:hAnsi="Times New Roman" w:eastAsia="宋体" w:cs="Times New Roman"/>
                      <w:sz w:val="21"/>
                      <w:szCs w:val="21"/>
                    </w:rPr>
                    <w:t>器械及时维护；</w:t>
                  </w:r>
                </w:p>
              </w:tc>
              <w:tc>
                <w:tcPr>
                  <w:tcW w:w="2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噪声满足《工业企业厂界环境噪声排放标准》（GB12348-2008）</w:t>
                  </w: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rPr>
                    <w:t>类标准要求。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地下水污染防治</w:t>
                  </w:r>
                </w:p>
              </w:tc>
              <w:tc>
                <w:tcPr>
                  <w:tcW w:w="494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Times New Roman" w:hAnsi="Times New Roman"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堆料</w:t>
                  </w:r>
                  <w:r>
                    <w:rPr>
                      <w:rFonts w:hint="eastAsia" w:ascii="Times New Roman" w:hAnsi="Times New Roman" w:cs="Times New Roman"/>
                      <w:bCs/>
                      <w:color w:val="auto"/>
                      <w:sz w:val="21"/>
                      <w:szCs w:val="21"/>
                      <w:highlight w:val="none"/>
                      <w:vertAlign w:val="baseline"/>
                      <w:lang w:val="en-US" w:eastAsia="zh-CN"/>
                    </w:rPr>
                    <w:t>区底部防渗措施：①基础层：原地基整平、压实（压实系数≥0.93）②反渗层：铺土工滤网（200g/m</w:t>
                  </w:r>
                  <w:r>
                    <w:rPr>
                      <w:rFonts w:hint="eastAsia" w:ascii="Times New Roman" w:hAnsi="Times New Roman" w:cs="Times New Roman"/>
                      <w:bCs/>
                      <w:color w:val="auto"/>
                      <w:sz w:val="21"/>
                      <w:szCs w:val="21"/>
                      <w:highlight w:val="none"/>
                      <w:vertAlign w:val="superscript"/>
                      <w:lang w:val="en-US" w:eastAsia="zh-CN"/>
                    </w:rPr>
                    <w:t>2</w:t>
                  </w:r>
                  <w:r>
                    <w:rPr>
                      <w:rFonts w:hint="eastAsia" w:ascii="Times New Roman" w:hAnsi="Times New Roman" w:cs="Times New Roman"/>
                      <w:bCs/>
                      <w:color w:val="auto"/>
                      <w:sz w:val="21"/>
                      <w:szCs w:val="21"/>
                      <w:highlight w:val="none"/>
                      <w:vertAlign w:val="baseline"/>
                      <w:lang w:val="en-US" w:eastAsia="zh-CN"/>
                    </w:rPr>
                    <w:t>非织造土工布）；③地下水导流层：敷设30cm厚粒径20-60mm卵石或碎石</w:t>
                  </w:r>
                  <w:r>
                    <w:rPr>
                      <w:rFonts w:hint="eastAsia" w:cs="Times New Roman"/>
                      <w:bCs/>
                      <w:color w:val="auto"/>
                      <w:sz w:val="21"/>
                      <w:szCs w:val="21"/>
                      <w:highlight w:val="none"/>
                      <w:vertAlign w:val="baseline"/>
                      <w:lang w:val="en-US" w:eastAsia="zh-CN"/>
                    </w:rPr>
                    <w:t>，石料上铺设</w:t>
                  </w:r>
                  <w:r>
                    <w:rPr>
                      <w:rFonts w:hint="eastAsia" w:ascii="Times New Roman" w:hAnsi="Times New Roman" w:cs="Times New Roman"/>
                      <w:bCs/>
                      <w:color w:val="auto"/>
                      <w:sz w:val="21"/>
                      <w:szCs w:val="21"/>
                      <w:highlight w:val="none"/>
                      <w:vertAlign w:val="baseline"/>
                      <w:lang w:val="en-US" w:eastAsia="zh-CN"/>
                    </w:rPr>
                    <w:t>200g/m</w:t>
                  </w:r>
                  <w:r>
                    <w:rPr>
                      <w:rFonts w:hint="eastAsia" w:ascii="Times New Roman" w:hAnsi="Times New Roman" w:cs="Times New Roman"/>
                      <w:bCs/>
                      <w:color w:val="auto"/>
                      <w:sz w:val="21"/>
                      <w:szCs w:val="21"/>
                      <w:highlight w:val="none"/>
                      <w:vertAlign w:val="superscript"/>
                      <w:lang w:val="en-US" w:eastAsia="zh-CN"/>
                    </w:rPr>
                    <w:t>2</w:t>
                  </w:r>
                  <w:r>
                    <w:rPr>
                      <w:rFonts w:hint="eastAsia" w:ascii="Times New Roman" w:hAnsi="Times New Roman" w:cs="Times New Roman"/>
                      <w:bCs/>
                      <w:color w:val="auto"/>
                      <w:sz w:val="21"/>
                      <w:szCs w:val="21"/>
                      <w:highlight w:val="none"/>
                      <w:vertAlign w:val="baseline"/>
                      <w:lang w:val="en-US" w:eastAsia="zh-CN"/>
                    </w:rPr>
                    <w:t>非织造土工布；④复合防渗兼膜下保护层：铺</w:t>
                  </w:r>
                  <w:r>
                    <w:rPr>
                      <w:rFonts w:hint="eastAsia" w:cs="Times New Roman"/>
                      <w:bCs/>
                      <w:color w:val="auto"/>
                      <w:sz w:val="21"/>
                      <w:szCs w:val="21"/>
                      <w:highlight w:val="none"/>
                      <w:vertAlign w:val="baseline"/>
                      <w:lang w:val="en-US" w:eastAsia="zh-CN"/>
                    </w:rPr>
                    <w:t>GCL</w:t>
                  </w:r>
                  <w:r>
                    <w:rPr>
                      <w:rFonts w:hint="eastAsia" w:ascii="Times New Roman" w:hAnsi="Times New Roman" w:cs="Times New Roman"/>
                      <w:bCs/>
                      <w:color w:val="auto"/>
                      <w:sz w:val="21"/>
                      <w:szCs w:val="21"/>
                      <w:highlight w:val="none"/>
                      <w:vertAlign w:val="baseline"/>
                      <w:lang w:val="en-US" w:eastAsia="zh-CN"/>
                    </w:rPr>
                    <w:t>膨润土毯4800g/m</w:t>
                  </w:r>
                  <w:r>
                    <w:rPr>
                      <w:rFonts w:hint="eastAsia" w:ascii="Times New Roman" w:hAnsi="Times New Roman" w:cs="Times New Roman"/>
                      <w:bCs/>
                      <w:color w:val="auto"/>
                      <w:sz w:val="21"/>
                      <w:szCs w:val="21"/>
                      <w:highlight w:val="none"/>
                      <w:vertAlign w:val="superscript"/>
                      <w:lang w:val="en-US" w:eastAsia="zh-CN"/>
                    </w:rPr>
                    <w:t>2</w:t>
                  </w:r>
                  <w:r>
                    <w:rPr>
                      <w:rFonts w:hint="eastAsia" w:cs="Times New Roman"/>
                      <w:bCs/>
                      <w:color w:val="auto"/>
                      <w:sz w:val="21"/>
                      <w:szCs w:val="21"/>
                      <w:highlight w:val="none"/>
                      <w:vertAlign w:val="baseline"/>
                      <w:lang w:val="en-US" w:eastAsia="zh-CN"/>
                    </w:rPr>
                    <w:t>，渗透系数≤5.0×10</w:t>
                  </w:r>
                  <w:r>
                    <w:rPr>
                      <w:rFonts w:hint="eastAsia" w:cs="Times New Roman"/>
                      <w:bCs/>
                      <w:color w:val="auto"/>
                      <w:sz w:val="21"/>
                      <w:szCs w:val="21"/>
                      <w:highlight w:val="none"/>
                      <w:vertAlign w:val="superscript"/>
                      <w:lang w:val="en-US" w:eastAsia="zh-CN"/>
                    </w:rPr>
                    <w:t>-9</w:t>
                  </w:r>
                  <w:r>
                    <w:rPr>
                      <w:rFonts w:hint="eastAsia" w:cs="Times New Roman"/>
                      <w:bCs/>
                      <w:color w:val="auto"/>
                      <w:sz w:val="21"/>
                      <w:szCs w:val="21"/>
                      <w:highlight w:val="none"/>
                      <w:vertAlign w:val="baseline"/>
                      <w:lang w:val="en-US" w:eastAsia="zh-CN"/>
                    </w:rPr>
                    <w:t>cm/s；</w:t>
                  </w:r>
                  <w:r>
                    <w:rPr>
                      <w:rFonts w:hint="eastAsia" w:ascii="Times New Roman" w:hAnsi="Times New Roman" w:cs="Times New Roman"/>
                      <w:bCs/>
                      <w:color w:val="auto"/>
                      <w:sz w:val="21"/>
                      <w:szCs w:val="21"/>
                      <w:highlight w:val="none"/>
                      <w:vertAlign w:val="baseline"/>
                      <w:lang w:val="en-US" w:eastAsia="zh-CN"/>
                    </w:rPr>
                    <w:t>⑤膜防渗层：铺1.5mmHDPE膜防渗层；⑥膜上保护层：铺800g/m</w:t>
                  </w:r>
                  <w:r>
                    <w:rPr>
                      <w:rFonts w:hint="eastAsia" w:ascii="Times New Roman" w:hAnsi="Times New Roman" w:cs="Times New Roman"/>
                      <w:bCs/>
                      <w:color w:val="auto"/>
                      <w:sz w:val="21"/>
                      <w:szCs w:val="21"/>
                      <w:highlight w:val="none"/>
                      <w:vertAlign w:val="superscript"/>
                      <w:lang w:val="en-US" w:eastAsia="zh-CN"/>
                    </w:rPr>
                    <w:t>2</w:t>
                  </w:r>
                  <w:r>
                    <w:rPr>
                      <w:rFonts w:hint="eastAsia" w:ascii="Times New Roman" w:hAnsi="Times New Roman" w:cs="Times New Roman"/>
                      <w:bCs/>
                      <w:color w:val="auto"/>
                      <w:sz w:val="21"/>
                      <w:szCs w:val="21"/>
                      <w:highlight w:val="none"/>
                      <w:vertAlign w:val="baseline"/>
                      <w:lang w:val="en-US" w:eastAsia="zh-CN"/>
                    </w:rPr>
                    <w:t>土工布（非织造土工布）；⑦污水导排层：铺30cm厚粒径20-60mm卵石或碎石</w:t>
                  </w:r>
                  <w:r>
                    <w:rPr>
                      <w:rFonts w:hint="eastAsia" w:cs="Times New Roman"/>
                      <w:bCs/>
                      <w:color w:val="auto"/>
                      <w:sz w:val="21"/>
                      <w:szCs w:val="21"/>
                      <w:highlight w:val="none"/>
                      <w:vertAlign w:val="baseline"/>
                      <w:lang w:val="en-US" w:eastAsia="zh-CN"/>
                    </w:rPr>
                    <w:t>，</w:t>
                  </w:r>
                  <w:r>
                    <w:rPr>
                      <w:rFonts w:hint="default" w:ascii="Times New Roman" w:hAnsi="Times New Roman" w:cs="Times New Roman"/>
                      <w:bCs/>
                      <w:color w:val="auto"/>
                      <w:sz w:val="21"/>
                      <w:szCs w:val="21"/>
                      <w:highlight w:val="none"/>
                      <w:vertAlign w:val="baseline"/>
                      <w:lang w:val="en-US" w:eastAsia="zh-CN"/>
                    </w:rPr>
                    <w:t>石料CaC</w:t>
                  </w:r>
                  <w:r>
                    <w:rPr>
                      <w:rFonts w:hint="eastAsia" w:ascii="Times New Roman" w:hAnsi="Times New Roman" w:cs="Times New Roman"/>
                      <w:bCs/>
                      <w:color w:val="auto"/>
                      <w:sz w:val="21"/>
                      <w:szCs w:val="21"/>
                      <w:highlight w:val="none"/>
                      <w:vertAlign w:val="baseline"/>
                      <w:lang w:val="en-US" w:eastAsia="zh-CN"/>
                    </w:rPr>
                    <w:t>O</w:t>
                  </w:r>
                  <w:r>
                    <w:rPr>
                      <w:rFonts w:hint="default" w:ascii="Times New Roman" w:hAnsi="Times New Roman" w:cs="Times New Roman"/>
                      <w:bCs/>
                      <w:color w:val="auto"/>
                      <w:sz w:val="21"/>
                      <w:szCs w:val="21"/>
                      <w:highlight w:val="none"/>
                      <w:vertAlign w:val="subscript"/>
                      <w:lang w:val="en-US" w:eastAsia="zh-CN"/>
                    </w:rPr>
                    <w:t>3</w:t>
                  </w:r>
                  <w:r>
                    <w:rPr>
                      <w:rFonts w:hint="default" w:ascii="Times New Roman" w:hAnsi="Times New Roman" w:cs="Times New Roman"/>
                      <w:bCs/>
                      <w:color w:val="auto"/>
                      <w:sz w:val="21"/>
                      <w:szCs w:val="21"/>
                      <w:highlight w:val="none"/>
                      <w:vertAlign w:val="baseline"/>
                      <w:lang w:val="en-US" w:eastAsia="zh-CN"/>
                    </w:rPr>
                    <w:t>含量应不大于10%</w:t>
                  </w:r>
                  <w:r>
                    <w:rPr>
                      <w:rFonts w:hint="eastAsia" w:ascii="Times New Roman" w:hAnsi="Times New Roman" w:cs="Times New Roman"/>
                      <w:bCs/>
                      <w:color w:val="auto"/>
                      <w:sz w:val="21"/>
                      <w:szCs w:val="21"/>
                      <w:highlight w:val="none"/>
                      <w:vertAlign w:val="baseline"/>
                      <w:lang w:val="en-US" w:eastAsia="zh-CN"/>
                    </w:rPr>
                    <w:t>，石料下可增设5mm土工复合排水网，石料上设200g/m</w:t>
                  </w:r>
                  <w:r>
                    <w:rPr>
                      <w:rFonts w:hint="eastAsia" w:ascii="Times New Roman" w:hAnsi="Times New Roman" w:cs="Times New Roman"/>
                      <w:bCs/>
                      <w:color w:val="auto"/>
                      <w:sz w:val="21"/>
                      <w:szCs w:val="21"/>
                      <w:highlight w:val="none"/>
                      <w:vertAlign w:val="superscript"/>
                      <w:lang w:val="en-US" w:eastAsia="zh-CN"/>
                    </w:rPr>
                    <w:t>2</w:t>
                  </w:r>
                  <w:r>
                    <w:rPr>
                      <w:rFonts w:hint="eastAsia" w:ascii="Times New Roman" w:hAnsi="Times New Roman" w:cs="Times New Roman"/>
                      <w:bCs/>
                      <w:color w:val="auto"/>
                      <w:sz w:val="21"/>
                      <w:szCs w:val="21"/>
                      <w:highlight w:val="none"/>
                      <w:vertAlign w:val="baseline"/>
                      <w:lang w:val="en-US" w:eastAsia="zh-CN"/>
                    </w:rPr>
                    <w:t>非织造土工布反渗层；⑧铺50cm厚袋装土。</w:t>
                  </w:r>
                </w:p>
                <w:p>
                  <w:pPr>
                    <w:pStyle w:val="15"/>
                    <w:keepNext w:val="0"/>
                    <w:keepLines w:val="0"/>
                    <w:pageBreakBefore w:val="0"/>
                    <w:widowControl w:val="0"/>
                    <w:kinsoku/>
                    <w:wordWrap/>
                    <w:overflowPunct/>
                    <w:topLinePunct w:val="0"/>
                    <w:autoSpaceDE/>
                    <w:autoSpaceDN/>
                    <w:bidi w:val="0"/>
                    <w:adjustRightInd/>
                    <w:snapToGrid/>
                    <w:ind w:firstLine="396" w:firstLineChars="200"/>
                    <w:jc w:val="both"/>
                    <w:textAlignment w:val="auto"/>
                    <w:rPr>
                      <w:rFonts w:hint="eastAsia" w:ascii="Times New Roman" w:hAnsi="Times New Roman" w:eastAsia="宋体" w:cs="Times New Roman"/>
                      <w:bCs/>
                      <w:color w:val="auto"/>
                      <w:spacing w:val="-6"/>
                      <w:sz w:val="21"/>
                      <w:szCs w:val="21"/>
                      <w:highlight w:val="none"/>
                      <w:vertAlign w:val="baseline"/>
                      <w:lang w:val="en-US" w:eastAsia="zh-CN"/>
                    </w:rPr>
                  </w:pPr>
                </w:p>
                <w:p>
                  <w:pPr>
                    <w:pStyle w:val="15"/>
                    <w:keepNext w:val="0"/>
                    <w:keepLines w:val="0"/>
                    <w:pageBreakBefore w:val="0"/>
                    <w:widowControl w:val="0"/>
                    <w:kinsoku/>
                    <w:wordWrap/>
                    <w:overflowPunct/>
                    <w:topLinePunct w:val="0"/>
                    <w:autoSpaceDE/>
                    <w:autoSpaceDN/>
                    <w:bidi w:val="0"/>
                    <w:adjustRightInd/>
                    <w:snapToGrid/>
                    <w:ind w:firstLine="396" w:firstLineChars="200"/>
                    <w:jc w:val="both"/>
                    <w:textAlignment w:val="auto"/>
                    <w:rPr>
                      <w:rFonts w:hint="eastAsia" w:ascii="Times New Roman" w:hAnsi="Times New Roman" w:eastAsia="宋体" w:cs="Times New Roman"/>
                      <w:bCs/>
                      <w:color w:val="auto"/>
                      <w:spacing w:val="-6"/>
                      <w:sz w:val="21"/>
                      <w:szCs w:val="21"/>
                      <w:highlight w:val="none"/>
                      <w:vertAlign w:val="baseline"/>
                      <w:lang w:val="en-US" w:eastAsia="zh-CN"/>
                    </w:rPr>
                  </w:pPr>
                  <w:r>
                    <w:rPr>
                      <w:rFonts w:hint="eastAsia" w:ascii="Times New Roman" w:hAnsi="Times New Roman" w:eastAsia="宋体" w:cs="Times New Roman"/>
                      <w:bCs/>
                      <w:color w:val="auto"/>
                      <w:spacing w:val="-6"/>
                      <w:sz w:val="21"/>
                      <w:szCs w:val="21"/>
                      <w:highlight w:val="none"/>
                      <w:vertAlign w:val="baseline"/>
                      <w:lang w:val="en-US" w:eastAsia="zh-CN"/>
                    </w:rPr>
                    <w:t>堆料区边坡防渗措施：①基础层：原地基整平、压实（压实系数≥0.9）②复合防渗兼膜下保护层：铺GCL膨润土毯4800g/m</w:t>
                  </w:r>
                  <w:r>
                    <w:rPr>
                      <w:rFonts w:hint="eastAsia" w:ascii="Times New Roman" w:hAnsi="Times New Roman" w:eastAsia="宋体" w:cs="Times New Roman"/>
                      <w:bCs/>
                      <w:color w:val="auto"/>
                      <w:spacing w:val="-6"/>
                      <w:sz w:val="21"/>
                      <w:szCs w:val="21"/>
                      <w:highlight w:val="none"/>
                      <w:vertAlign w:val="superscript"/>
                      <w:lang w:val="en-US" w:eastAsia="zh-CN"/>
                    </w:rPr>
                    <w:t>2</w:t>
                  </w:r>
                  <w:r>
                    <w:rPr>
                      <w:rFonts w:hint="eastAsia" w:ascii="Times New Roman" w:hAnsi="Times New Roman" w:eastAsia="宋体" w:cs="Times New Roman"/>
                      <w:bCs/>
                      <w:color w:val="auto"/>
                      <w:spacing w:val="-6"/>
                      <w:sz w:val="21"/>
                      <w:szCs w:val="21"/>
                      <w:highlight w:val="none"/>
                      <w:vertAlign w:val="baseline"/>
                      <w:lang w:val="en-US" w:eastAsia="zh-CN"/>
                    </w:rPr>
                    <w:t>，渗透系数≤5.0×10</w:t>
                  </w:r>
                  <w:r>
                    <w:rPr>
                      <w:rFonts w:hint="eastAsia" w:ascii="Times New Roman" w:hAnsi="Times New Roman" w:eastAsia="宋体" w:cs="Times New Roman"/>
                      <w:bCs/>
                      <w:color w:val="auto"/>
                      <w:spacing w:val="-6"/>
                      <w:sz w:val="21"/>
                      <w:szCs w:val="21"/>
                      <w:highlight w:val="none"/>
                      <w:vertAlign w:val="superscript"/>
                      <w:lang w:val="en-US" w:eastAsia="zh-CN"/>
                    </w:rPr>
                    <w:t>-9</w:t>
                  </w:r>
                  <w:r>
                    <w:rPr>
                      <w:rFonts w:hint="eastAsia" w:ascii="Times New Roman" w:hAnsi="Times New Roman" w:eastAsia="宋体" w:cs="Times New Roman"/>
                      <w:bCs/>
                      <w:color w:val="auto"/>
                      <w:spacing w:val="-6"/>
                      <w:sz w:val="21"/>
                      <w:szCs w:val="21"/>
                      <w:highlight w:val="none"/>
                      <w:vertAlign w:val="baseline"/>
                      <w:lang w:val="en-US" w:eastAsia="zh-CN"/>
                    </w:rPr>
                    <w:t>cm/s；③防渗层：铺1.5mmHDPE膜防渗层；④膜上保护层：铺800g/m</w:t>
                  </w:r>
                  <w:r>
                    <w:rPr>
                      <w:rFonts w:hint="eastAsia" w:ascii="Times New Roman" w:hAnsi="Times New Roman" w:eastAsia="宋体" w:cs="Times New Roman"/>
                      <w:bCs/>
                      <w:color w:val="auto"/>
                      <w:spacing w:val="-6"/>
                      <w:sz w:val="21"/>
                      <w:szCs w:val="21"/>
                      <w:highlight w:val="none"/>
                      <w:vertAlign w:val="superscript"/>
                      <w:lang w:val="en-US" w:eastAsia="zh-CN"/>
                    </w:rPr>
                    <w:t>2</w:t>
                  </w:r>
                  <w:r>
                    <w:rPr>
                      <w:rFonts w:hint="eastAsia" w:ascii="Times New Roman" w:hAnsi="Times New Roman" w:eastAsia="宋体" w:cs="Times New Roman"/>
                      <w:bCs/>
                      <w:color w:val="auto"/>
                      <w:spacing w:val="-6"/>
                      <w:sz w:val="21"/>
                      <w:szCs w:val="21"/>
                      <w:highlight w:val="none"/>
                      <w:vertAlign w:val="baseline"/>
                      <w:lang w:val="en-US" w:eastAsia="zh-CN"/>
                    </w:rPr>
                    <w:t>土工布（非织造土工布）；⑤铺50cm厚袋装土。</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cs="Times New Roman"/>
                      <w:bCs/>
                      <w:color w:val="auto"/>
                      <w:sz w:val="21"/>
                      <w:szCs w:val="21"/>
                      <w:highlight w:val="none"/>
                      <w:vertAlign w:val="baseline"/>
                      <w:lang w:val="en-US" w:eastAsia="zh-CN"/>
                    </w:rPr>
                    <w:t>防渗</w:t>
                  </w:r>
                  <w:r>
                    <w:rPr>
                      <w:rFonts w:hint="eastAsia" w:cs="Times New Roman"/>
                      <w:bCs/>
                      <w:color w:val="auto"/>
                      <w:sz w:val="21"/>
                      <w:szCs w:val="21"/>
                      <w:highlight w:val="none"/>
                      <w:vertAlign w:val="baseline"/>
                      <w:lang w:val="en-US" w:eastAsia="zh-CN"/>
                    </w:rPr>
                    <w:t>材料</w:t>
                  </w:r>
                  <w:r>
                    <w:rPr>
                      <w:rFonts w:hint="default" w:ascii="Times New Roman" w:hAnsi="Times New Roman" w:cs="Times New Roman"/>
                      <w:bCs/>
                      <w:color w:val="auto"/>
                      <w:sz w:val="21"/>
                      <w:szCs w:val="21"/>
                      <w:highlight w:val="none"/>
                      <w:vertAlign w:val="baseline"/>
                      <w:lang w:val="en-US" w:eastAsia="zh-CN"/>
                    </w:rPr>
                    <w:t>锚固：</w:t>
                  </w:r>
                  <w:r>
                    <w:rPr>
                      <w:rFonts w:hint="eastAsia" w:cs="Times New Roman"/>
                      <w:bCs/>
                      <w:color w:val="auto"/>
                      <w:sz w:val="21"/>
                      <w:szCs w:val="21"/>
                      <w:highlight w:val="none"/>
                      <w:vertAlign w:val="baseline"/>
                      <w:lang w:val="en-US" w:eastAsia="zh-CN"/>
                    </w:rPr>
                    <w:t>采用矩形锚固沟。</w:t>
                  </w:r>
                  <w:r>
                    <w:rPr>
                      <w:rFonts w:hint="eastAsia" w:cs="Times New Roman"/>
                      <w:bCs/>
                      <w:color w:val="auto"/>
                      <w:sz w:val="21"/>
                      <w:szCs w:val="21"/>
                      <w:highlight w:val="none"/>
                      <w:vertAlign w:val="baseline"/>
                      <w:lang w:val="en-US" w:eastAsia="zh-CN"/>
                    </w:rPr>
                    <w:fldChar w:fldCharType="begin"/>
                  </w:r>
                  <w:r>
                    <w:rPr>
                      <w:rFonts w:hint="eastAsia" w:cs="Times New Roman"/>
                      <w:bCs/>
                      <w:color w:val="auto"/>
                      <w:sz w:val="21"/>
                      <w:szCs w:val="21"/>
                      <w:highlight w:val="none"/>
                      <w:vertAlign w:val="baseline"/>
                      <w:lang w:val="en-US" w:eastAsia="zh-CN"/>
                    </w:rPr>
                    <w:instrText xml:space="preserve"> = 1 \* GB3 \* MERGEFORMAT </w:instrText>
                  </w:r>
                  <w:r>
                    <w:rPr>
                      <w:rFonts w:hint="eastAsia" w:cs="Times New Roman"/>
                      <w:bCs/>
                      <w:color w:val="auto"/>
                      <w:sz w:val="21"/>
                      <w:szCs w:val="21"/>
                      <w:highlight w:val="none"/>
                      <w:vertAlign w:val="baseline"/>
                      <w:lang w:val="en-US" w:eastAsia="zh-CN"/>
                    </w:rPr>
                    <w:fldChar w:fldCharType="separate"/>
                  </w:r>
                  <w:r>
                    <w:t>①</w:t>
                  </w:r>
                  <w:r>
                    <w:rPr>
                      <w:rFonts w:hint="eastAsia" w:cs="Times New Roman"/>
                      <w:bCs/>
                      <w:color w:val="auto"/>
                      <w:sz w:val="21"/>
                      <w:szCs w:val="21"/>
                      <w:highlight w:val="none"/>
                      <w:vertAlign w:val="baseline"/>
                      <w:lang w:val="en-US" w:eastAsia="zh-CN"/>
                    </w:rPr>
                    <w:fldChar w:fldCharType="end"/>
                  </w:r>
                  <w:r>
                    <w:rPr>
                      <w:rFonts w:hint="eastAsia" w:cs="Times New Roman"/>
                      <w:bCs/>
                      <w:color w:val="auto"/>
                      <w:sz w:val="21"/>
                      <w:szCs w:val="21"/>
                      <w:highlight w:val="none"/>
                      <w:vertAlign w:val="baseline"/>
                      <w:lang w:val="en-US" w:eastAsia="zh-CN"/>
                    </w:rPr>
                    <w:t>锚固沟距离边坡边缘80cm；</w:t>
                  </w:r>
                  <w:r>
                    <w:rPr>
                      <w:rFonts w:hint="eastAsia" w:cs="Times New Roman"/>
                      <w:bCs/>
                      <w:color w:val="auto"/>
                      <w:sz w:val="21"/>
                      <w:szCs w:val="21"/>
                      <w:highlight w:val="none"/>
                      <w:vertAlign w:val="baseline"/>
                      <w:lang w:val="en-US" w:eastAsia="zh-CN"/>
                    </w:rPr>
                    <w:fldChar w:fldCharType="begin"/>
                  </w:r>
                  <w:r>
                    <w:rPr>
                      <w:rFonts w:hint="eastAsia" w:cs="Times New Roman"/>
                      <w:bCs/>
                      <w:color w:val="auto"/>
                      <w:sz w:val="21"/>
                      <w:szCs w:val="21"/>
                      <w:highlight w:val="none"/>
                      <w:vertAlign w:val="baseline"/>
                      <w:lang w:val="en-US" w:eastAsia="zh-CN"/>
                    </w:rPr>
                    <w:instrText xml:space="preserve"> = 2 \* GB3 \* MERGEFORMAT </w:instrText>
                  </w:r>
                  <w:r>
                    <w:rPr>
                      <w:rFonts w:hint="eastAsia" w:cs="Times New Roman"/>
                      <w:bCs/>
                      <w:color w:val="auto"/>
                      <w:sz w:val="21"/>
                      <w:szCs w:val="21"/>
                      <w:highlight w:val="none"/>
                      <w:vertAlign w:val="baseline"/>
                      <w:lang w:val="en-US" w:eastAsia="zh-CN"/>
                    </w:rPr>
                    <w:fldChar w:fldCharType="separate"/>
                  </w:r>
                  <w:r>
                    <w:t>②</w:t>
                  </w:r>
                  <w:r>
                    <w:rPr>
                      <w:rFonts w:hint="eastAsia" w:cs="Times New Roman"/>
                      <w:bCs/>
                      <w:color w:val="auto"/>
                      <w:sz w:val="21"/>
                      <w:szCs w:val="21"/>
                      <w:highlight w:val="none"/>
                      <w:vertAlign w:val="baseline"/>
                      <w:lang w:val="en-US" w:eastAsia="zh-CN"/>
                    </w:rPr>
                    <w:fldChar w:fldCharType="end"/>
                  </w:r>
                  <w:r>
                    <w:rPr>
                      <w:rFonts w:hint="eastAsia" w:cs="Times New Roman"/>
                      <w:bCs/>
                      <w:color w:val="auto"/>
                      <w:sz w:val="21"/>
                      <w:szCs w:val="21"/>
                      <w:highlight w:val="none"/>
                      <w:vertAlign w:val="baseline"/>
                      <w:lang w:val="en-US" w:eastAsia="zh-CN"/>
                    </w:rPr>
                    <w:t>防渗材料转折处成弧形结构；</w:t>
                  </w:r>
                  <w:r>
                    <w:rPr>
                      <w:rFonts w:hint="eastAsia" w:cs="Times New Roman"/>
                      <w:bCs/>
                      <w:color w:val="auto"/>
                      <w:sz w:val="21"/>
                      <w:szCs w:val="21"/>
                      <w:highlight w:val="none"/>
                      <w:vertAlign w:val="baseline"/>
                      <w:lang w:val="en-US" w:eastAsia="zh-CN"/>
                    </w:rPr>
                    <w:fldChar w:fldCharType="begin"/>
                  </w:r>
                  <w:r>
                    <w:rPr>
                      <w:rFonts w:hint="eastAsia" w:cs="Times New Roman"/>
                      <w:bCs/>
                      <w:color w:val="auto"/>
                      <w:sz w:val="21"/>
                      <w:szCs w:val="21"/>
                      <w:highlight w:val="none"/>
                      <w:vertAlign w:val="baseline"/>
                      <w:lang w:val="en-US" w:eastAsia="zh-CN"/>
                    </w:rPr>
                    <w:instrText xml:space="preserve"> = 3 \* GB3 \* MERGEFORMAT </w:instrText>
                  </w:r>
                  <w:r>
                    <w:rPr>
                      <w:rFonts w:hint="eastAsia" w:cs="Times New Roman"/>
                      <w:bCs/>
                      <w:color w:val="auto"/>
                      <w:sz w:val="21"/>
                      <w:szCs w:val="21"/>
                      <w:highlight w:val="none"/>
                      <w:vertAlign w:val="baseline"/>
                      <w:lang w:val="en-US" w:eastAsia="zh-CN"/>
                    </w:rPr>
                    <w:fldChar w:fldCharType="separate"/>
                  </w:r>
                  <w:r>
                    <w:t>③</w:t>
                  </w:r>
                  <w:r>
                    <w:rPr>
                      <w:rFonts w:hint="eastAsia" w:cs="Times New Roman"/>
                      <w:bCs/>
                      <w:color w:val="auto"/>
                      <w:sz w:val="21"/>
                      <w:szCs w:val="21"/>
                      <w:highlight w:val="none"/>
                      <w:vertAlign w:val="baseline"/>
                      <w:lang w:val="en-US" w:eastAsia="zh-CN"/>
                    </w:rPr>
                    <w:fldChar w:fldCharType="end"/>
                  </w:r>
                  <w:r>
                    <w:rPr>
                      <w:rFonts w:hint="eastAsia" w:cs="Times New Roman"/>
                      <w:bCs/>
                      <w:color w:val="auto"/>
                      <w:sz w:val="21"/>
                      <w:szCs w:val="21"/>
                      <w:highlight w:val="none"/>
                      <w:vertAlign w:val="baseline"/>
                      <w:lang w:val="en-US" w:eastAsia="zh-CN"/>
                    </w:rPr>
                    <w:t>锚固沟断面80cm×80cm；</w:t>
                  </w:r>
                  <w:r>
                    <w:rPr>
                      <w:rFonts w:hint="eastAsia" w:cs="Times New Roman"/>
                      <w:bCs/>
                      <w:color w:val="auto"/>
                      <w:sz w:val="21"/>
                      <w:szCs w:val="21"/>
                      <w:highlight w:val="none"/>
                      <w:vertAlign w:val="baseline"/>
                      <w:lang w:val="en-US" w:eastAsia="zh-CN"/>
                    </w:rPr>
                    <w:fldChar w:fldCharType="begin"/>
                  </w:r>
                  <w:r>
                    <w:rPr>
                      <w:rFonts w:hint="eastAsia" w:cs="Times New Roman"/>
                      <w:bCs/>
                      <w:color w:val="auto"/>
                      <w:sz w:val="21"/>
                      <w:szCs w:val="21"/>
                      <w:highlight w:val="none"/>
                      <w:vertAlign w:val="baseline"/>
                      <w:lang w:val="en-US" w:eastAsia="zh-CN"/>
                    </w:rPr>
                    <w:instrText xml:space="preserve"> = 4 \* GB3 \* MERGEFORMAT </w:instrText>
                  </w:r>
                  <w:r>
                    <w:rPr>
                      <w:rFonts w:hint="eastAsia" w:cs="Times New Roman"/>
                      <w:bCs/>
                      <w:color w:val="auto"/>
                      <w:sz w:val="21"/>
                      <w:szCs w:val="21"/>
                      <w:highlight w:val="none"/>
                      <w:vertAlign w:val="baseline"/>
                      <w:lang w:val="en-US" w:eastAsia="zh-CN"/>
                    </w:rPr>
                    <w:fldChar w:fldCharType="separate"/>
                  </w:r>
                  <w:r>
                    <w:t>④</w:t>
                  </w:r>
                  <w:r>
                    <w:rPr>
                      <w:rFonts w:hint="eastAsia" w:cs="Times New Roman"/>
                      <w:bCs/>
                      <w:color w:val="auto"/>
                      <w:sz w:val="21"/>
                      <w:szCs w:val="21"/>
                      <w:highlight w:val="none"/>
                      <w:vertAlign w:val="baseline"/>
                      <w:lang w:val="en-US" w:eastAsia="zh-CN"/>
                    </w:rPr>
                    <w:fldChar w:fldCharType="end"/>
                  </w:r>
                  <w:r>
                    <w:rPr>
                      <w:rFonts w:hint="eastAsia" w:cs="Times New Roman"/>
                      <w:bCs/>
                      <w:color w:val="auto"/>
                      <w:sz w:val="21"/>
                      <w:szCs w:val="21"/>
                      <w:highlight w:val="none"/>
                      <w:vertAlign w:val="baseline"/>
                      <w:lang w:val="en-US" w:eastAsia="zh-CN"/>
                    </w:rPr>
                    <w:t>压实度≥93%。</w:t>
                  </w:r>
                </w:p>
              </w:tc>
              <w:tc>
                <w:tcPr>
                  <w:tcW w:w="2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防渗满足《建筑垃圾处理技术标准》（CJJT134-2019）的标准要求。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监控井</w:t>
                  </w:r>
                </w:p>
              </w:tc>
              <w:tc>
                <w:tcPr>
                  <w:tcW w:w="494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eastAsia="宋体" w:cs="宋体"/>
                      <w:sz w:val="21"/>
                      <w:szCs w:val="24"/>
                    </w:rPr>
                  </w:pPr>
                  <w:r>
                    <w:rPr>
                      <w:rFonts w:ascii="Times New Roman" w:hAnsi="Times New Roman" w:eastAsia="宋体" w:cs="宋体"/>
                      <w:sz w:val="21"/>
                      <w:szCs w:val="24"/>
                    </w:rPr>
                    <w:t>①本底井，一眼，设在</w:t>
                  </w:r>
                  <w:r>
                    <w:rPr>
                      <w:rFonts w:hint="eastAsia" w:ascii="Times New Roman" w:hAnsi="Times New Roman" w:eastAsia="宋体" w:cs="宋体"/>
                      <w:sz w:val="21"/>
                      <w:szCs w:val="24"/>
                      <w:lang w:val="en-US" w:eastAsia="zh-CN"/>
                    </w:rPr>
                    <w:t>暂存</w:t>
                  </w:r>
                  <w:r>
                    <w:rPr>
                      <w:rFonts w:ascii="Times New Roman" w:hAnsi="Times New Roman" w:eastAsia="宋体" w:cs="宋体"/>
                      <w:sz w:val="21"/>
                      <w:szCs w:val="24"/>
                    </w:rPr>
                    <w:t>场地下水流向上游</w:t>
                  </w:r>
                  <w:r>
                    <w:rPr>
                      <w:rFonts w:hint="eastAsia" w:ascii="Times New Roman" w:hAnsi="Times New Roman" w:eastAsia="宋体" w:cs="宋体"/>
                      <w:sz w:val="21"/>
                      <w:szCs w:val="24"/>
                      <w:lang w:eastAsia="zh-CN"/>
                    </w:rPr>
                    <w:t>（</w:t>
                  </w:r>
                  <w:r>
                    <w:rPr>
                      <w:rFonts w:hint="eastAsia" w:ascii="Times New Roman" w:hAnsi="Times New Roman" w:eastAsia="宋体" w:cs="宋体"/>
                      <w:sz w:val="21"/>
                      <w:szCs w:val="24"/>
                      <w:lang w:val="en-US" w:eastAsia="zh-CN"/>
                    </w:rPr>
                    <w:t>南侧</w:t>
                  </w:r>
                  <w:r>
                    <w:rPr>
                      <w:rFonts w:hint="eastAsia" w:ascii="Times New Roman" w:hAnsi="Times New Roman" w:eastAsia="宋体" w:cs="宋体"/>
                      <w:sz w:val="21"/>
                      <w:szCs w:val="24"/>
                      <w:lang w:eastAsia="zh-CN"/>
                    </w:rPr>
                    <w:t>）</w:t>
                  </w:r>
                  <w:r>
                    <w:rPr>
                      <w:rFonts w:ascii="Times New Roman" w:hAnsi="Times New Roman" w:eastAsia="宋体" w:cs="宋体"/>
                      <w:sz w:val="21"/>
                      <w:szCs w:val="24"/>
                    </w:rPr>
                    <w:t>30</w:t>
                  </w:r>
                  <w:r>
                    <w:rPr>
                      <w:rFonts w:hint="eastAsia" w:ascii="Times New Roman" w:hAnsi="Times New Roman" w:eastAsia="宋体" w:cs="宋体"/>
                      <w:sz w:val="21"/>
                      <w:szCs w:val="24"/>
                      <w:lang w:val="en-US" w:eastAsia="zh-CN"/>
                    </w:rPr>
                    <w:t>m</w:t>
                  </w:r>
                  <w:r>
                    <w:rPr>
                      <w:rFonts w:ascii="Times New Roman" w:hAnsi="Times New Roman" w:eastAsia="宋体" w:cs="宋体"/>
                      <w:sz w:val="21"/>
                      <w:szCs w:val="24"/>
                    </w:rPr>
                    <w:t>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eastAsia="宋体" w:cs="宋体"/>
                      <w:sz w:val="21"/>
                      <w:szCs w:val="24"/>
                    </w:rPr>
                  </w:pPr>
                  <w:r>
                    <w:rPr>
                      <w:rFonts w:ascii="Times New Roman" w:hAnsi="Times New Roman" w:eastAsia="宋体" w:cs="宋体"/>
                      <w:sz w:val="21"/>
                      <w:szCs w:val="24"/>
                    </w:rPr>
                    <w:t>②排水井，一眼，设在</w:t>
                  </w:r>
                  <w:r>
                    <w:rPr>
                      <w:rFonts w:hint="eastAsia" w:ascii="Times New Roman" w:hAnsi="Times New Roman" w:eastAsia="宋体" w:cs="宋体"/>
                      <w:sz w:val="21"/>
                      <w:szCs w:val="24"/>
                      <w:lang w:val="en-US" w:eastAsia="zh-CN"/>
                    </w:rPr>
                    <w:t>暂存</w:t>
                  </w:r>
                  <w:r>
                    <w:rPr>
                      <w:rFonts w:ascii="Times New Roman" w:hAnsi="Times New Roman" w:eastAsia="宋体" w:cs="宋体"/>
                      <w:sz w:val="21"/>
                      <w:szCs w:val="24"/>
                    </w:rPr>
                    <w:t>场地下水主管出口处；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eastAsia="宋体" w:cs="宋体"/>
                      <w:sz w:val="21"/>
                      <w:szCs w:val="24"/>
                    </w:rPr>
                  </w:pPr>
                  <w:r>
                    <w:rPr>
                      <w:rFonts w:ascii="Times New Roman" w:hAnsi="Times New Roman" w:eastAsia="宋体" w:cs="宋体"/>
                      <w:sz w:val="21"/>
                      <w:szCs w:val="24"/>
                    </w:rPr>
                    <w:t>③污染扩散井，两眼，分别设在垂直填埋场地下水走向的两侧</w:t>
                  </w:r>
                  <w:r>
                    <w:rPr>
                      <w:rFonts w:hint="eastAsia" w:ascii="Times New Roman" w:hAnsi="Times New Roman" w:eastAsia="宋体" w:cs="宋体"/>
                      <w:sz w:val="21"/>
                      <w:szCs w:val="24"/>
                      <w:lang w:eastAsia="zh-CN"/>
                    </w:rPr>
                    <w:t>（</w:t>
                  </w:r>
                  <w:r>
                    <w:rPr>
                      <w:rFonts w:hint="eastAsia" w:ascii="Times New Roman" w:hAnsi="Times New Roman" w:eastAsia="宋体" w:cs="宋体"/>
                      <w:sz w:val="21"/>
                      <w:szCs w:val="24"/>
                      <w:lang w:val="en-US" w:eastAsia="zh-CN"/>
                    </w:rPr>
                    <w:t>东西两侧</w:t>
                  </w:r>
                  <w:r>
                    <w:rPr>
                      <w:rFonts w:hint="eastAsia" w:ascii="Times New Roman" w:hAnsi="Times New Roman" w:eastAsia="宋体" w:cs="宋体"/>
                      <w:sz w:val="21"/>
                      <w:szCs w:val="24"/>
                      <w:lang w:eastAsia="zh-CN"/>
                    </w:rPr>
                    <w:t>）</w:t>
                  </w:r>
                  <w:r>
                    <w:rPr>
                      <w:rFonts w:ascii="Times New Roman" w:hAnsi="Times New Roman" w:eastAsia="宋体" w:cs="宋体"/>
                      <w:sz w:val="21"/>
                      <w:szCs w:val="24"/>
                    </w:rPr>
                    <w:t>各30</w:t>
                  </w:r>
                  <w:r>
                    <w:rPr>
                      <w:rFonts w:hint="eastAsia" w:ascii="Times New Roman" w:hAnsi="Times New Roman" w:eastAsia="宋体" w:cs="宋体"/>
                      <w:sz w:val="21"/>
                      <w:szCs w:val="24"/>
                      <w:lang w:val="en-US" w:eastAsia="zh-CN"/>
                    </w:rPr>
                    <w:t>m</w:t>
                  </w:r>
                  <w:r>
                    <w:rPr>
                      <w:rFonts w:ascii="Times New Roman" w:hAnsi="Times New Roman" w:eastAsia="宋体" w:cs="宋体"/>
                      <w:sz w:val="21"/>
                      <w:szCs w:val="24"/>
                    </w:rPr>
                    <w:t>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宋体"/>
                      <w:sz w:val="21"/>
                      <w:szCs w:val="24"/>
                      <w:lang w:eastAsia="zh-CN"/>
                    </w:rPr>
                  </w:pPr>
                  <w:r>
                    <w:rPr>
                      <w:rFonts w:ascii="Times New Roman" w:hAnsi="Times New Roman" w:eastAsia="宋体" w:cs="宋体"/>
                      <w:sz w:val="21"/>
                      <w:szCs w:val="24"/>
                    </w:rPr>
                    <w:t>④污染监视井，两眼，分别设在填埋场地下水流向下游</w:t>
                  </w:r>
                  <w:r>
                    <w:rPr>
                      <w:rFonts w:hint="eastAsia" w:ascii="Times New Roman" w:hAnsi="Times New Roman" w:eastAsia="宋体" w:cs="宋体"/>
                      <w:sz w:val="21"/>
                      <w:szCs w:val="24"/>
                      <w:lang w:eastAsia="zh-CN"/>
                    </w:rPr>
                    <w:t>（</w:t>
                  </w:r>
                  <w:r>
                    <w:rPr>
                      <w:rFonts w:hint="eastAsia" w:ascii="Times New Roman" w:hAnsi="Times New Roman" w:eastAsia="宋体" w:cs="宋体"/>
                      <w:sz w:val="21"/>
                      <w:szCs w:val="24"/>
                      <w:lang w:val="en-US" w:eastAsia="zh-CN"/>
                    </w:rPr>
                    <w:t>北侧</w:t>
                  </w:r>
                  <w:r>
                    <w:rPr>
                      <w:rFonts w:hint="eastAsia" w:ascii="Times New Roman" w:hAnsi="Times New Roman" w:eastAsia="宋体" w:cs="宋体"/>
                      <w:sz w:val="21"/>
                      <w:szCs w:val="24"/>
                      <w:lang w:eastAsia="zh-CN"/>
                    </w:rPr>
                    <w:t>）</w:t>
                  </w:r>
                  <w:r>
                    <w:rPr>
                      <w:rFonts w:ascii="Times New Roman" w:hAnsi="Times New Roman" w:eastAsia="宋体" w:cs="宋体"/>
                      <w:sz w:val="21"/>
                      <w:szCs w:val="24"/>
                    </w:rPr>
                    <w:t>30、50m</w:t>
                  </w:r>
                  <w:r>
                    <w:rPr>
                      <w:rFonts w:hint="eastAsia" w:ascii="Times New Roman" w:hAnsi="Times New Roman" w:eastAsia="宋体" w:cs="宋体"/>
                      <w:sz w:val="21"/>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eastAsia" w:ascii="Times New Roman" w:hAnsi="Times New Roman" w:eastAsia="宋体" w:cs="宋体"/>
                      <w:sz w:val="21"/>
                      <w:szCs w:val="24"/>
                      <w:lang w:val="en-US" w:eastAsia="zh-CN"/>
                    </w:rPr>
                    <w:fldChar w:fldCharType="begin"/>
                  </w:r>
                  <w:r>
                    <w:rPr>
                      <w:rFonts w:hint="eastAsia" w:ascii="Times New Roman" w:hAnsi="Times New Roman" w:eastAsia="宋体" w:cs="宋体"/>
                      <w:sz w:val="21"/>
                      <w:szCs w:val="24"/>
                      <w:lang w:val="en-US" w:eastAsia="zh-CN"/>
                    </w:rPr>
                    <w:instrText xml:space="preserve"> = 5 \* GB3 \* MERGEFORMAT </w:instrText>
                  </w:r>
                  <w:r>
                    <w:rPr>
                      <w:rFonts w:hint="eastAsia" w:ascii="Times New Roman" w:hAnsi="Times New Roman" w:eastAsia="宋体" w:cs="宋体"/>
                      <w:sz w:val="21"/>
                      <w:szCs w:val="24"/>
                      <w:lang w:val="en-US" w:eastAsia="zh-CN"/>
                    </w:rPr>
                    <w:fldChar w:fldCharType="separate"/>
                  </w:r>
                  <w:r>
                    <w:rPr>
                      <w:rFonts w:ascii="Times New Roman" w:hAnsi="Times New Roman"/>
                      <w:sz w:val="21"/>
                    </w:rPr>
                    <w:t>⑤</w:t>
                  </w:r>
                  <w:r>
                    <w:rPr>
                      <w:rFonts w:hint="eastAsia" w:ascii="Times New Roman" w:hAnsi="Times New Roman" w:eastAsia="宋体" w:cs="宋体"/>
                      <w:sz w:val="21"/>
                      <w:szCs w:val="24"/>
                      <w:lang w:val="en-US" w:eastAsia="zh-CN"/>
                    </w:rPr>
                    <w:fldChar w:fldCharType="end"/>
                  </w:r>
                  <w:r>
                    <w:rPr>
                      <w:rFonts w:hint="eastAsia" w:ascii="Times New Roman" w:hAnsi="Times New Roman" w:cs="Times New Roman"/>
                      <w:bCs/>
                      <w:spacing w:val="0"/>
                      <w:sz w:val="21"/>
                      <w:szCs w:val="24"/>
                      <w:lang w:val="en-US" w:eastAsia="zh-CN"/>
                    </w:rPr>
                    <w:t>监测井深入地下水位不小于8米。</w:t>
                  </w:r>
                </w:p>
              </w:tc>
              <w:tc>
                <w:tcPr>
                  <w:tcW w:w="2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w:t>
                  </w:r>
                </w:p>
              </w:tc>
              <w:tc>
                <w:tcPr>
                  <w:tcW w:w="738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rPr>
                    <w:t>对场区和运输道路种植草坪等植被进行绿化</w:t>
                  </w:r>
                  <w:r>
                    <w:rPr>
                      <w:rFonts w:hint="eastAsia" w:ascii="Times New Roman" w:hAnsi="Times New Roman" w:eastAsia="宋体" w:cs="Times New Roman"/>
                      <w:sz w:val="21"/>
                      <w:szCs w:val="21"/>
                      <w:lang w:eastAsia="zh-CN"/>
                    </w:rPr>
                    <w:t>堆料区</w:t>
                  </w:r>
                  <w:r>
                    <w:rPr>
                      <w:rFonts w:hint="default" w:ascii="Times New Roman" w:hAnsi="Times New Roman" w:eastAsia="宋体" w:cs="Times New Roman"/>
                      <w:sz w:val="21"/>
                      <w:szCs w:val="21"/>
                    </w:rPr>
                    <w:t>封场覆盖并生态恢复。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绿化</w:t>
                  </w:r>
                </w:p>
              </w:tc>
              <w:tc>
                <w:tcPr>
                  <w:tcW w:w="494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库区周边种植乔灌木进行绿化，绿化面积</w:t>
                  </w:r>
                  <w:r>
                    <w:rPr>
                      <w:rFonts w:hint="eastAsia" w:ascii="Times New Roman" w:hAnsi="Times New Roman" w:eastAsia="宋体" w:cs="Times New Roman"/>
                      <w:sz w:val="21"/>
                      <w:szCs w:val="21"/>
                      <w:lang w:val="en-US" w:eastAsia="zh-CN"/>
                    </w:rPr>
                    <w:t>1200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2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美化环境，隔音降噪。</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spacing w:val="0"/>
                <w:sz w:val="24"/>
                <w:szCs w:val="24"/>
                <w:lang w:val="en-US" w:eastAsia="zh-CN"/>
              </w:rPr>
            </w:pPr>
            <w:r>
              <w:rPr>
                <w:rFonts w:hint="eastAsia" w:ascii="Times New Roman" w:hAnsi="Times New Roman" w:cs="Times New Roman"/>
                <w:b/>
                <w:bCs w:val="0"/>
                <w:spacing w:val="0"/>
                <w:sz w:val="24"/>
                <w:szCs w:val="24"/>
                <w:lang w:val="en-US" w:eastAsia="zh-CN"/>
              </w:rPr>
              <w:t>9 环保投资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color w:val="auto"/>
                <w:spacing w:val="0"/>
                <w:sz w:val="24"/>
                <w:szCs w:val="24"/>
                <w:lang w:val="en-US" w:eastAsia="zh-CN"/>
              </w:rPr>
            </w:pPr>
            <w:r>
              <w:rPr>
                <w:rFonts w:hint="eastAsia" w:ascii="Times New Roman" w:hAnsi="Times New Roman" w:cs="Times New Roman"/>
                <w:bCs/>
                <w:spacing w:val="0"/>
                <w:sz w:val="24"/>
                <w:szCs w:val="24"/>
                <w:lang w:val="en-US" w:eastAsia="zh-CN"/>
              </w:rPr>
              <w:t>下表所列环保投资为本次环评的补充措施投资，主体工程已计列过的本</w:t>
            </w:r>
            <w:r>
              <w:rPr>
                <w:rFonts w:hint="eastAsia" w:ascii="Times New Roman" w:hAnsi="Times New Roman" w:cs="Times New Roman"/>
                <w:bCs/>
                <w:color w:val="auto"/>
                <w:spacing w:val="0"/>
                <w:sz w:val="24"/>
                <w:szCs w:val="24"/>
                <w:lang w:val="en-US" w:eastAsia="zh-CN"/>
              </w:rPr>
              <w:t>次环保投资不再重复。本项目工程总投资</w:t>
            </w:r>
            <w:r>
              <w:rPr>
                <w:rFonts w:hint="eastAsia" w:ascii="Times New Roman" w:hAnsi="Times New Roman" w:eastAsia="宋体" w:cs="宋体"/>
                <w:color w:val="auto"/>
                <w:sz w:val="24"/>
                <w:szCs w:val="21"/>
                <w:lang w:val="en-US" w:eastAsia="zh-CN"/>
              </w:rPr>
              <w:t>1480.83</w:t>
            </w:r>
            <w:r>
              <w:rPr>
                <w:rFonts w:hint="eastAsia" w:ascii="Times New Roman" w:hAnsi="Times New Roman" w:cs="Times New Roman"/>
                <w:bCs/>
                <w:color w:val="auto"/>
                <w:spacing w:val="0"/>
                <w:sz w:val="24"/>
                <w:szCs w:val="24"/>
                <w:lang w:val="en-US" w:eastAsia="zh-CN"/>
              </w:rPr>
              <w:t>万元，其中环保设施投资</w:t>
            </w:r>
            <w:r>
              <w:rPr>
                <w:rFonts w:hint="eastAsia" w:cs="Times New Roman"/>
                <w:bCs/>
                <w:color w:val="auto"/>
                <w:spacing w:val="0"/>
                <w:sz w:val="24"/>
                <w:szCs w:val="24"/>
                <w:highlight w:val="none"/>
                <w:lang w:val="en-US" w:eastAsia="zh-CN"/>
              </w:rPr>
              <w:t>70</w:t>
            </w:r>
            <w:r>
              <w:rPr>
                <w:rFonts w:hint="eastAsia" w:ascii="Times New Roman" w:hAnsi="Times New Roman" w:cs="Times New Roman"/>
                <w:bCs/>
                <w:color w:val="auto"/>
                <w:spacing w:val="0"/>
                <w:sz w:val="24"/>
                <w:szCs w:val="24"/>
                <w:lang w:val="en-US" w:eastAsia="zh-CN"/>
              </w:rPr>
              <w:t>万元，占工程总投资的</w:t>
            </w:r>
            <w:r>
              <w:rPr>
                <w:rFonts w:hint="eastAsia" w:cs="Times New Roman"/>
                <w:bCs/>
                <w:color w:val="auto"/>
                <w:spacing w:val="0"/>
                <w:sz w:val="24"/>
                <w:szCs w:val="24"/>
                <w:lang w:val="en-US" w:eastAsia="zh-CN"/>
              </w:rPr>
              <w:t>4.73</w:t>
            </w:r>
            <w:r>
              <w:rPr>
                <w:rFonts w:hint="eastAsia" w:ascii="Times New Roman" w:hAnsi="Times New Roman" w:cs="Times New Roman"/>
                <w:bCs/>
                <w:color w:val="auto"/>
                <w:spacing w:val="0"/>
                <w:sz w:val="24"/>
                <w:szCs w:val="24"/>
                <w:lang w:val="en-US" w:eastAsia="zh-CN"/>
              </w:rPr>
              <w:t>%，环保设施投资分项具体见表4-12。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4"/>
                <w:szCs w:val="24"/>
                <w:lang w:val="en-US" w:eastAsia="zh-CN"/>
              </w:rPr>
            </w:pPr>
            <w:r>
              <w:rPr>
                <w:rFonts w:hint="eastAsia" w:ascii="Times New Roman" w:hAnsi="Times New Roman" w:cs="Times New Roman"/>
                <w:b/>
                <w:bCs w:val="0"/>
                <w:color w:val="auto"/>
                <w:spacing w:val="0"/>
                <w:sz w:val="21"/>
                <w:szCs w:val="21"/>
                <w:lang w:val="en-US" w:eastAsia="zh-CN"/>
              </w:rPr>
              <w:t>表4-12 环保投资一览表</w:t>
            </w:r>
          </w:p>
          <w:tbl>
            <w:tblPr>
              <w:tblStyle w:val="2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080"/>
              <w:gridCol w:w="4956"/>
              <w:gridCol w:w="12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0" w:type="dxa"/>
                  <w:gridSpan w:val="2"/>
                  <w:tcBorders>
                    <w:top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color w:val="auto"/>
                      <w:spacing w:val="0"/>
                      <w:sz w:val="21"/>
                      <w:szCs w:val="21"/>
                      <w:vertAlign w:val="baseline"/>
                      <w:lang w:val="en-US" w:eastAsia="zh-CN"/>
                    </w:rPr>
                  </w:pPr>
                  <w:r>
                    <w:rPr>
                      <w:rFonts w:hint="eastAsia" w:ascii="Times New Roman" w:hAnsi="Times New Roman" w:cs="Times New Roman"/>
                      <w:b/>
                      <w:bCs w:val="0"/>
                      <w:color w:val="auto"/>
                      <w:spacing w:val="0"/>
                      <w:sz w:val="21"/>
                      <w:szCs w:val="21"/>
                      <w:vertAlign w:val="baseline"/>
                      <w:lang w:val="en-US" w:eastAsia="zh-CN"/>
                    </w:rPr>
                    <w:t>项目</w:t>
                  </w:r>
                </w:p>
              </w:tc>
              <w:tc>
                <w:tcPr>
                  <w:tcW w:w="4956"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pacing w:val="0"/>
                      <w:sz w:val="21"/>
                      <w:szCs w:val="21"/>
                      <w:vertAlign w:val="baseline"/>
                      <w:lang w:val="en-US" w:eastAsia="zh-CN"/>
                    </w:rPr>
                  </w:pPr>
                  <w:r>
                    <w:rPr>
                      <w:rFonts w:hint="eastAsia" w:ascii="Times New Roman" w:hAnsi="Times New Roman" w:cs="Times New Roman"/>
                      <w:b/>
                      <w:bCs w:val="0"/>
                      <w:color w:val="auto"/>
                      <w:spacing w:val="0"/>
                      <w:sz w:val="21"/>
                      <w:szCs w:val="21"/>
                      <w:vertAlign w:val="baseline"/>
                      <w:lang w:val="en-US" w:eastAsia="zh-CN"/>
                    </w:rPr>
                    <w:t>治理措施</w:t>
                  </w:r>
                </w:p>
              </w:tc>
              <w:tc>
                <w:tcPr>
                  <w:tcW w:w="1210" w:type="dxa"/>
                  <w:tcBorders>
                    <w:top w:val="single" w:color="auto" w:sz="12"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pacing w:val="0"/>
                      <w:sz w:val="21"/>
                      <w:szCs w:val="21"/>
                      <w:vertAlign w:val="baseline"/>
                      <w:lang w:val="en-US" w:eastAsia="zh-CN"/>
                    </w:rPr>
                  </w:pPr>
                  <w:r>
                    <w:rPr>
                      <w:rFonts w:hint="eastAsia" w:ascii="Times New Roman" w:hAnsi="Times New Roman" w:cs="Times New Roman"/>
                      <w:b/>
                      <w:bCs w:val="0"/>
                      <w:color w:val="auto"/>
                      <w:spacing w:val="0"/>
                      <w:sz w:val="21"/>
                      <w:szCs w:val="21"/>
                      <w:vertAlign w:val="baseline"/>
                      <w:lang w:val="en-US" w:eastAsia="zh-CN"/>
                    </w:rPr>
                    <w:t>投资估算（万元）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tcBorders>
                    <w:top w:val="single" w:color="auto" w:sz="12"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废气</w:t>
                  </w:r>
                </w:p>
              </w:tc>
              <w:tc>
                <w:tcPr>
                  <w:tcW w:w="1080"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堆料作业倾倒、堆存</w:t>
                  </w:r>
                </w:p>
              </w:tc>
              <w:tc>
                <w:tcPr>
                  <w:tcW w:w="4956"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洒水车洒水抑尘+车辆遮盖</w:t>
                  </w:r>
                </w:p>
              </w:tc>
              <w:tc>
                <w:tcPr>
                  <w:tcW w:w="1210" w:type="dxa"/>
                  <w:tcBorders>
                    <w:top w:val="single" w:color="auto" w:sz="12"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废水</w:t>
                  </w:r>
                </w:p>
              </w:tc>
              <w:tc>
                <w:tcPr>
                  <w:tcW w:w="108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生活污水、冲洗废水</w:t>
                  </w:r>
                </w:p>
              </w:tc>
              <w:tc>
                <w:tcPr>
                  <w:tcW w:w="49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设置容积为</w:t>
                  </w:r>
                  <w:r>
                    <w:rPr>
                      <w:rFonts w:hint="eastAsia" w:cs="Times New Roman"/>
                      <w:bCs/>
                      <w:color w:val="auto"/>
                      <w:spacing w:val="0"/>
                      <w:sz w:val="21"/>
                      <w:szCs w:val="21"/>
                      <w:vertAlign w:val="baseline"/>
                      <w:lang w:val="en-US" w:eastAsia="zh-CN"/>
                    </w:rPr>
                    <w:t>3</w:t>
                  </w:r>
                  <w:r>
                    <w:rPr>
                      <w:rFonts w:hint="eastAsia" w:ascii="Times New Roman" w:hAnsi="Times New Roman" w:cs="Times New Roman"/>
                      <w:bCs/>
                      <w:color w:val="auto"/>
                      <w:spacing w:val="0"/>
                      <w:sz w:val="21"/>
                      <w:szCs w:val="21"/>
                      <w:vertAlign w:val="baseline"/>
                      <w:lang w:val="en-US" w:eastAsia="zh-CN"/>
                    </w:rPr>
                    <w:t>m</w:t>
                  </w:r>
                  <w:r>
                    <w:rPr>
                      <w:rFonts w:hint="eastAsia" w:ascii="Times New Roman" w:hAnsi="Times New Roman" w:cs="Times New Roman"/>
                      <w:bCs/>
                      <w:color w:val="auto"/>
                      <w:spacing w:val="0"/>
                      <w:sz w:val="21"/>
                      <w:szCs w:val="21"/>
                      <w:vertAlign w:val="superscript"/>
                      <w:lang w:val="en-US" w:eastAsia="zh-CN"/>
                    </w:rPr>
                    <w:t>3</w:t>
                  </w:r>
                  <w:r>
                    <w:rPr>
                      <w:rFonts w:hint="eastAsia" w:ascii="Times New Roman" w:hAnsi="Times New Roman" w:cs="Times New Roman"/>
                      <w:bCs/>
                      <w:color w:val="auto"/>
                      <w:spacing w:val="0"/>
                      <w:sz w:val="21"/>
                      <w:szCs w:val="21"/>
                      <w:vertAlign w:val="baseline"/>
                      <w:lang w:val="en-US" w:eastAsia="zh-CN"/>
                    </w:rPr>
                    <w:t>的化粪池一座，定期由吸污车拉运至</w:t>
                  </w:r>
                  <w:r>
                    <w:rPr>
                      <w:rFonts w:hint="eastAsia" w:cs="Times New Roman"/>
                      <w:bCs/>
                      <w:color w:val="auto"/>
                      <w:spacing w:val="0"/>
                      <w:sz w:val="21"/>
                      <w:szCs w:val="21"/>
                      <w:vertAlign w:val="baseline"/>
                      <w:lang w:val="en-US" w:eastAsia="zh-CN"/>
                    </w:rPr>
                    <w:t>七台河第二</w:t>
                  </w:r>
                  <w:r>
                    <w:rPr>
                      <w:rFonts w:hint="eastAsia" w:ascii="Times New Roman" w:hAnsi="Times New Roman" w:cs="Times New Roman"/>
                      <w:bCs/>
                      <w:color w:val="auto"/>
                      <w:spacing w:val="0"/>
                      <w:sz w:val="21"/>
                      <w:szCs w:val="21"/>
                      <w:vertAlign w:val="baseline"/>
                      <w:lang w:val="en-US" w:eastAsia="zh-CN"/>
                    </w:rPr>
                    <w:t>污水处理厂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cs="Times New Roman"/>
                      <w:bCs/>
                      <w:color w:val="auto"/>
                      <w:spacing w:val="0"/>
                      <w:sz w:val="21"/>
                      <w:szCs w:val="21"/>
                      <w:vertAlign w:val="baseline"/>
                      <w:lang w:val="en-US" w:eastAsia="zh-CN"/>
                    </w:rPr>
                    <w:t>设置雨水渗水沉淀池和雨水渗水暂存池各一座，沉淀后与生活污水一起</w:t>
                  </w:r>
                  <w:r>
                    <w:rPr>
                      <w:rFonts w:hint="eastAsia" w:ascii="Times New Roman" w:hAnsi="Times New Roman" w:cs="Times New Roman"/>
                      <w:bCs/>
                      <w:color w:val="auto"/>
                      <w:spacing w:val="0"/>
                      <w:sz w:val="21"/>
                      <w:szCs w:val="21"/>
                      <w:vertAlign w:val="baseline"/>
                      <w:lang w:val="en-US" w:eastAsia="zh-CN"/>
                    </w:rPr>
                    <w:t>运至</w:t>
                  </w:r>
                  <w:r>
                    <w:rPr>
                      <w:rFonts w:hint="eastAsia" w:cs="Times New Roman"/>
                      <w:bCs/>
                      <w:color w:val="auto"/>
                      <w:spacing w:val="0"/>
                      <w:sz w:val="21"/>
                      <w:szCs w:val="21"/>
                      <w:vertAlign w:val="baseline"/>
                      <w:lang w:val="en-US" w:eastAsia="zh-CN"/>
                    </w:rPr>
                    <w:t>七台河第二</w:t>
                  </w:r>
                  <w:r>
                    <w:rPr>
                      <w:rFonts w:hint="eastAsia" w:ascii="Times New Roman" w:hAnsi="Times New Roman" w:cs="Times New Roman"/>
                      <w:bCs/>
                      <w:color w:val="auto"/>
                      <w:spacing w:val="0"/>
                      <w:sz w:val="21"/>
                      <w:szCs w:val="21"/>
                      <w:vertAlign w:val="baseline"/>
                      <w:lang w:val="en-US" w:eastAsia="zh-CN"/>
                    </w:rPr>
                    <w:t>污水处理厂</w:t>
                  </w:r>
                </w:p>
              </w:tc>
              <w:tc>
                <w:tcPr>
                  <w:tcW w:w="1210"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cs="Times New Roman"/>
                      <w:bCs/>
                      <w:color w:val="auto"/>
                      <w:spacing w:val="0"/>
                      <w:sz w:val="21"/>
                      <w:szCs w:val="21"/>
                      <w:highlight w:val="none"/>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噪声</w:t>
                  </w:r>
                </w:p>
              </w:tc>
              <w:tc>
                <w:tcPr>
                  <w:tcW w:w="108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设备噪声</w:t>
                  </w:r>
                </w:p>
              </w:tc>
              <w:tc>
                <w:tcPr>
                  <w:tcW w:w="49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合理布局；加强维护保养；加强车辆维护，减速慢行，禁止鸣笛</w:t>
                  </w:r>
                </w:p>
              </w:tc>
              <w:tc>
                <w:tcPr>
                  <w:tcW w:w="1210"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Merge w:val="restart"/>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固废</w:t>
                  </w:r>
                </w:p>
              </w:tc>
              <w:tc>
                <w:tcPr>
                  <w:tcW w:w="108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生活垃圾</w:t>
                  </w:r>
                </w:p>
              </w:tc>
              <w:tc>
                <w:tcPr>
                  <w:tcW w:w="49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生活垃圾箱</w:t>
                  </w:r>
                </w:p>
              </w:tc>
              <w:tc>
                <w:tcPr>
                  <w:tcW w:w="1210"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Merge w:val="continue"/>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spacing w:val="0"/>
                      <w:sz w:val="21"/>
                      <w:szCs w:val="21"/>
                      <w:vertAlign w:val="baseline"/>
                      <w:lang w:val="en-US" w:eastAsia="zh-CN"/>
                    </w:rPr>
                  </w:pPr>
                </w:p>
              </w:tc>
              <w:tc>
                <w:tcPr>
                  <w:tcW w:w="108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污泥</w:t>
                  </w:r>
                </w:p>
              </w:tc>
              <w:tc>
                <w:tcPr>
                  <w:tcW w:w="49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集中收集后运至</w:t>
                  </w:r>
                  <w:r>
                    <w:rPr>
                      <w:rFonts w:hint="eastAsia" w:cs="Times New Roman"/>
                      <w:bCs/>
                      <w:color w:val="auto"/>
                      <w:spacing w:val="0"/>
                      <w:sz w:val="21"/>
                      <w:szCs w:val="21"/>
                      <w:vertAlign w:val="baseline"/>
                      <w:lang w:val="en-US" w:eastAsia="zh-CN"/>
                    </w:rPr>
                    <w:t>七台河市污泥处置厂</w:t>
                  </w:r>
                </w:p>
              </w:tc>
              <w:tc>
                <w:tcPr>
                  <w:tcW w:w="1210"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770" w:type="dxa"/>
                  <w:gridSpan w:val="2"/>
                  <w:vMerge w:val="restart"/>
                  <w:tcBorders>
                    <w:top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cs="Times New Roman"/>
                      <w:bCs/>
                      <w:color w:val="auto"/>
                      <w:spacing w:val="0"/>
                      <w:sz w:val="21"/>
                      <w:szCs w:val="21"/>
                      <w:vertAlign w:val="baseline"/>
                      <w:lang w:val="en-US" w:eastAsia="zh-CN"/>
                    </w:rPr>
                    <w:t>地下水</w:t>
                  </w:r>
                </w:p>
              </w:tc>
              <w:tc>
                <w:tcPr>
                  <w:tcW w:w="4956" w:type="dxa"/>
                  <w:tcBorders>
                    <w:top w:val="single" w:color="auto" w:sz="4" w:space="0"/>
                    <w:left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vertAlign w:val="baseline"/>
                      <w:lang w:val="en-US" w:eastAsia="zh-CN"/>
                    </w:rPr>
                  </w:pPr>
                  <w:r>
                    <w:rPr>
                      <w:rFonts w:hint="eastAsia" w:ascii="Times New Roman" w:hAnsi="Times New Roman" w:cs="宋体"/>
                      <w:color w:val="auto"/>
                      <w:sz w:val="21"/>
                      <w:szCs w:val="24"/>
                      <w:lang w:val="en-US" w:eastAsia="zh-CN"/>
                    </w:rPr>
                    <w:t>地下水监测井（6眼）</w:t>
                  </w:r>
                </w:p>
              </w:tc>
              <w:tc>
                <w:tcPr>
                  <w:tcW w:w="1210"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cs="Times New Roman"/>
                      <w:bCs/>
                      <w:color w:val="auto"/>
                      <w:spacing w:val="0"/>
                      <w:sz w:val="21"/>
                      <w:szCs w:val="21"/>
                      <w:vertAlign w:val="baseline"/>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770" w:type="dxa"/>
                  <w:gridSpan w:val="2"/>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p>
              </w:tc>
              <w:tc>
                <w:tcPr>
                  <w:tcW w:w="4956" w:type="dxa"/>
                  <w:tcBorders>
                    <w:top w:val="single" w:color="auto" w:sz="4" w:space="0"/>
                    <w:left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宋体"/>
                      <w:color w:val="auto"/>
                      <w:sz w:val="21"/>
                      <w:szCs w:val="24"/>
                      <w:lang w:val="en-US" w:eastAsia="zh-CN"/>
                    </w:rPr>
                  </w:pPr>
                  <w:r>
                    <w:rPr>
                      <w:rFonts w:hint="eastAsia" w:ascii="Times New Roman" w:hAnsi="Times New Roman" w:cs="宋体"/>
                      <w:color w:val="auto"/>
                      <w:sz w:val="21"/>
                      <w:szCs w:val="24"/>
                      <w:lang w:val="en-US" w:eastAsia="zh-CN"/>
                    </w:rPr>
                    <w:t>雨洪水导排系统、封场覆盖与防渗系统</w:t>
                  </w:r>
                </w:p>
              </w:tc>
              <w:tc>
                <w:tcPr>
                  <w:tcW w:w="1210"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pacing w:val="0"/>
                      <w:sz w:val="21"/>
                      <w:szCs w:val="21"/>
                      <w:vertAlign w:val="baseline"/>
                      <w:lang w:val="en-US" w:eastAsia="zh-CN"/>
                    </w:rPr>
                  </w:pPr>
                  <w:r>
                    <w:rPr>
                      <w:rFonts w:hint="eastAsia" w:cs="Times New Roman"/>
                      <w:bCs/>
                      <w:color w:val="auto"/>
                      <w:spacing w:val="0"/>
                      <w:sz w:val="21"/>
                      <w:szCs w:val="21"/>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0" w:type="dxa"/>
                  <w:gridSpan w:val="2"/>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环境管理</w:t>
                  </w:r>
                </w:p>
              </w:tc>
              <w:tc>
                <w:tcPr>
                  <w:tcW w:w="49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标识牌、人员管理等</w:t>
                  </w:r>
                </w:p>
              </w:tc>
              <w:tc>
                <w:tcPr>
                  <w:tcW w:w="1210" w:type="dxa"/>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6" w:type="dxa"/>
                  <w:gridSpan w:val="3"/>
                  <w:tcBorders>
                    <w:top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spacing w:val="0"/>
                      <w:sz w:val="21"/>
                      <w:szCs w:val="21"/>
                      <w:vertAlign w:val="baseline"/>
                      <w:lang w:val="en-US" w:eastAsia="zh-CN"/>
                    </w:rPr>
                  </w:pPr>
                  <w:r>
                    <w:rPr>
                      <w:rFonts w:hint="eastAsia" w:ascii="Times New Roman" w:hAnsi="Times New Roman" w:cs="Times New Roman"/>
                      <w:bCs/>
                      <w:color w:val="auto"/>
                      <w:spacing w:val="0"/>
                      <w:sz w:val="21"/>
                      <w:szCs w:val="21"/>
                      <w:vertAlign w:val="baseline"/>
                      <w:lang w:val="en-US" w:eastAsia="zh-CN"/>
                    </w:rPr>
                    <w:t>合计</w:t>
                  </w:r>
                </w:p>
              </w:tc>
              <w:tc>
                <w:tcPr>
                  <w:tcW w:w="1210" w:type="dxa"/>
                  <w:tcBorders>
                    <w:top w:val="single" w:color="auto" w:sz="4" w:space="0"/>
                    <w:left w:val="single" w:color="auto" w:sz="4"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pacing w:val="0"/>
                      <w:sz w:val="21"/>
                      <w:szCs w:val="21"/>
                      <w:vertAlign w:val="baseline"/>
                      <w:lang w:val="en-US" w:eastAsia="zh-CN"/>
                    </w:rPr>
                  </w:pPr>
                  <w:r>
                    <w:rPr>
                      <w:rFonts w:hint="eastAsia" w:cs="Times New Roman"/>
                      <w:bCs/>
                      <w:color w:val="auto"/>
                      <w:spacing w:val="0"/>
                      <w:sz w:val="21"/>
                      <w:szCs w:val="21"/>
                      <w:highlight w:val="none"/>
                      <w:vertAlign w:val="baseline"/>
                      <w:lang w:val="en-US" w:eastAsia="zh-CN"/>
                    </w:rPr>
                    <w:t>70</w:t>
                  </w:r>
                </w:p>
              </w:tc>
            </w:tr>
          </w:tbl>
          <w:p>
            <w:pPr>
              <w:adjustRightInd w:val="0"/>
              <w:snapToGrid w:val="0"/>
              <w:rPr>
                <w:rFonts w:ascii="Times New Roman" w:hAnsi="Times New Roman" w:cs="宋体"/>
                <w:bCs/>
                <w:spacing w:val="-10"/>
                <w:sz w:val="24"/>
                <w:szCs w:val="21"/>
              </w:rPr>
            </w:pPr>
          </w:p>
        </w:tc>
      </w:tr>
    </w:tbl>
    <w:p>
      <w:pPr>
        <w:adjustRightInd w:val="0"/>
        <w:snapToGrid w:val="0"/>
        <w:spacing w:line="360" w:lineRule="auto"/>
        <w:rPr>
          <w:rFonts w:hint="eastAsia" w:ascii="宋体" w:cs="宋体"/>
          <w:b/>
          <w:kern w:val="0"/>
          <w:sz w:val="28"/>
          <w:szCs w:val="28"/>
          <w:vertAlign w:val="superscript"/>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jc w:val="center"/>
        <w:outlineLvl w:val="0"/>
        <w:rPr>
          <w:rFonts w:ascii="黑体" w:hAnsi="黑体" w:eastAsia="黑体"/>
          <w:snapToGrid w:val="0"/>
          <w:sz w:val="30"/>
          <w:szCs w:val="30"/>
        </w:rPr>
      </w:pPr>
      <w:bookmarkStart w:id="13" w:name="_Toc19670"/>
      <w:r>
        <w:rPr>
          <w:rFonts w:hint="eastAsia" w:ascii="黑体" w:hAnsi="黑体" w:eastAsia="黑体"/>
          <w:snapToGrid w:val="0"/>
          <w:sz w:val="30"/>
          <w:szCs w:val="30"/>
        </w:rPr>
        <w:t>五、</w:t>
      </w:r>
      <w:bookmarkStart w:id="14" w:name="_Hlk54167917"/>
      <w:r>
        <w:rPr>
          <w:rFonts w:hint="eastAsia" w:ascii="黑体" w:hAnsi="黑体" w:eastAsia="黑体"/>
          <w:snapToGrid w:val="0"/>
          <w:sz w:val="30"/>
          <w:szCs w:val="30"/>
        </w:rPr>
        <w:t>环境保护措施监督检查清单</w:t>
      </w:r>
      <w:bookmarkEnd w:id="13"/>
      <w:bookmarkEnd w:id="14"/>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内容</w:t>
            </w:r>
          </w:p>
          <w:p>
            <w:pPr>
              <w:adjustRightInd w:val="0"/>
              <w:snapToGrid w:val="0"/>
              <w:rPr>
                <w:rFonts w:hint="eastAsia" w:ascii="Times New Roman" w:hAnsi="Times New Roman" w:cs="宋体"/>
                <w:sz w:val="24"/>
                <w:szCs w:val="21"/>
              </w:rPr>
            </w:pPr>
            <w:r>
              <w:rPr>
                <w:rFonts w:hint="default" w:ascii="Times New Roman" w:hAnsi="Times New Roman" w:eastAsia="宋体" w:cs="Times New Roman"/>
                <w:sz w:val="24"/>
                <w:szCs w:val="24"/>
              </w:rPr>
              <w:t>要素</w:t>
            </w:r>
          </w:p>
        </w:tc>
        <w:tc>
          <w:tcPr>
            <w:tcW w:w="1755" w:type="dxa"/>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排放口(编号、</w:t>
            </w:r>
          </w:p>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名称)/污染源</w:t>
            </w:r>
          </w:p>
        </w:tc>
        <w:tc>
          <w:tcPr>
            <w:tcW w:w="1755"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污染物项目</w:t>
            </w:r>
          </w:p>
        </w:tc>
        <w:tc>
          <w:tcPr>
            <w:tcW w:w="1755"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环境保护措施</w:t>
            </w:r>
          </w:p>
        </w:tc>
        <w:tc>
          <w:tcPr>
            <w:tcW w:w="1757"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大气环境</w:t>
            </w:r>
          </w:p>
        </w:tc>
        <w:tc>
          <w:tcPr>
            <w:tcW w:w="1755"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lang w:val="en-US" w:eastAsia="zh-CN"/>
              </w:rPr>
              <w:t>车辆运输</w:t>
            </w:r>
            <w:r>
              <w:rPr>
                <w:rFonts w:hint="eastAsia" w:ascii="Times New Roman" w:hAnsi="Times New Roman" w:eastAsia="宋体" w:cs="Times New Roman"/>
                <w:sz w:val="24"/>
                <w:szCs w:val="24"/>
                <w:lang w:val="en-US" w:eastAsia="zh-CN"/>
              </w:rPr>
              <w:t>粉尘</w:t>
            </w: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TSP</w:t>
            </w:r>
          </w:p>
        </w:tc>
        <w:tc>
          <w:tcPr>
            <w:tcW w:w="1755"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lang w:val="en-US" w:eastAsia="zh-CN"/>
              </w:rPr>
              <w:t>车辆遮盖+场区限速+路面硬化+泼洒抑尘</w:t>
            </w:r>
          </w:p>
        </w:tc>
        <w:tc>
          <w:tcPr>
            <w:tcW w:w="1757" w:type="dxa"/>
            <w:vMerge w:val="restart"/>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《大气污染物综合排放标准》（GB16297-1996）表2无组织排放限值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eastAsia" w:ascii="Times New Roman" w:hAnsi="Times New Roman" w:cs="宋体"/>
                <w:sz w:val="24"/>
                <w:szCs w:val="21"/>
              </w:rPr>
            </w:pP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堆料区粉尘</w:t>
            </w: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TSP</w:t>
            </w:r>
          </w:p>
        </w:tc>
        <w:tc>
          <w:tcPr>
            <w:tcW w:w="1755"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lang w:val="en-US" w:eastAsia="zh-CN"/>
              </w:rPr>
              <w:t>日覆盖，泼洒抑尘，周边绿化</w:t>
            </w:r>
          </w:p>
        </w:tc>
        <w:tc>
          <w:tcPr>
            <w:tcW w:w="1757" w:type="dxa"/>
            <w:vMerge w:val="continue"/>
            <w:vAlign w:val="center"/>
          </w:tcPr>
          <w:p>
            <w:pPr>
              <w:adjustRightInd w:val="0"/>
              <w:snapToGrid w:val="0"/>
              <w:jc w:val="center"/>
              <w:rPr>
                <w:rFonts w:hint="eastAsia" w:ascii="Times New Roman" w:hAnsi="Times New Roman" w:cs="宋体"/>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eastAsia" w:ascii="Times New Roman" w:hAnsi="Times New Roman" w:cs="宋体"/>
                <w:sz w:val="24"/>
                <w:szCs w:val="21"/>
              </w:rPr>
            </w:pP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堆土区粉尘</w:t>
            </w: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TSP</w:t>
            </w: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遮盖+洒水抑尘</w:t>
            </w:r>
          </w:p>
        </w:tc>
        <w:tc>
          <w:tcPr>
            <w:tcW w:w="1757" w:type="dxa"/>
            <w:vMerge w:val="continue"/>
            <w:vAlign w:val="center"/>
          </w:tcPr>
          <w:p>
            <w:pPr>
              <w:adjustRightInd w:val="0"/>
              <w:snapToGrid w:val="0"/>
              <w:jc w:val="center"/>
              <w:rPr>
                <w:rFonts w:hint="eastAsia" w:ascii="Times New Roman" w:hAnsi="Times New Roman" w:cs="宋体"/>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地表水环境</w:t>
            </w: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生活污水、冲洗废水</w:t>
            </w:r>
          </w:p>
        </w:tc>
        <w:tc>
          <w:tcPr>
            <w:tcW w:w="1755"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lang w:val="en-US" w:eastAsia="zh-CN"/>
              </w:rPr>
              <w:t>COD、BOD</w:t>
            </w:r>
            <w:r>
              <w:rPr>
                <w:rFonts w:hint="default" w:ascii="Times New Roman" w:hAnsi="Times New Roman" w:eastAsia="宋体" w:cs="Times New Roman"/>
                <w:sz w:val="24"/>
                <w:szCs w:val="24"/>
                <w:vertAlign w:val="subscript"/>
                <w:lang w:val="en-US" w:eastAsia="zh-CN"/>
              </w:rPr>
              <w:t>5</w:t>
            </w:r>
            <w:r>
              <w:rPr>
                <w:rFonts w:hint="default" w:ascii="Times New Roman" w:hAnsi="Times New Roman" w:eastAsia="宋体" w:cs="Times New Roman"/>
                <w:sz w:val="24"/>
                <w:szCs w:val="24"/>
                <w:lang w:val="en-US" w:eastAsia="zh-CN"/>
              </w:rPr>
              <w:t>、SS、NH</w:t>
            </w:r>
            <w:r>
              <w:rPr>
                <w:rFonts w:hint="default" w:ascii="Times New Roman" w:hAnsi="Times New Roman" w:eastAsia="宋体" w:cs="Times New Roman"/>
                <w:sz w:val="24"/>
                <w:szCs w:val="24"/>
                <w:vertAlign w:val="subscript"/>
                <w:lang w:val="en-US" w:eastAsia="zh-CN"/>
              </w:rPr>
              <w:t>3</w:t>
            </w:r>
            <w:r>
              <w:rPr>
                <w:rFonts w:hint="default" w:ascii="Times New Roman" w:hAnsi="Times New Roman" w:eastAsia="宋体" w:cs="Times New Roman"/>
                <w:sz w:val="24"/>
                <w:szCs w:val="24"/>
                <w:lang w:val="en-US" w:eastAsia="zh-CN"/>
              </w:rPr>
              <w:t>-N</w:t>
            </w: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排入化粪池中，定期由吸污车拉运至污水处理厂处理</w:t>
            </w:r>
          </w:p>
        </w:tc>
        <w:tc>
          <w:tcPr>
            <w:tcW w:w="1757" w:type="dxa"/>
            <w:vMerge w:val="restart"/>
            <w:vAlign w:val="center"/>
          </w:tcPr>
          <w:p>
            <w:pPr>
              <w:adjustRightInd w:val="0"/>
              <w:snapToGrid w:val="0"/>
              <w:jc w:val="center"/>
              <w:rPr>
                <w:rFonts w:hint="default" w:ascii="Times New Roman" w:hAnsi="Times New Roman" w:cs="宋体"/>
                <w:sz w:val="24"/>
                <w:szCs w:val="21"/>
                <w:lang w:val="en-US"/>
              </w:rPr>
            </w:pPr>
            <w:r>
              <w:rPr>
                <w:rFonts w:hint="eastAsia" w:ascii="Times New Roman" w:hAnsi="Times New Roman" w:cs="Times New Roman"/>
                <w:b w:val="0"/>
                <w:bCs w:val="0"/>
                <w:kern w:val="0"/>
                <w:sz w:val="21"/>
                <w:szCs w:val="21"/>
                <w:vertAlign w:val="baseline"/>
                <w:lang w:val="en-US" w:eastAsia="zh-CN"/>
              </w:rPr>
              <w:t>《污水综合排放标准》(GB8978-1996)</w:t>
            </w:r>
            <w:r>
              <w:rPr>
                <w:rFonts w:hint="eastAsia" w:cs="Times New Roman"/>
                <w:b w:val="0"/>
                <w:bCs w:val="0"/>
                <w:kern w:val="0"/>
                <w:sz w:val="21"/>
                <w:szCs w:val="21"/>
                <w:vertAlign w:val="baseline"/>
                <w:lang w:val="en-US" w:eastAsia="zh-CN"/>
              </w:rPr>
              <w:t>中三级标准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eastAsia" w:ascii="Times New Roman" w:hAnsi="Times New Roman" w:cs="宋体"/>
                <w:sz w:val="24"/>
                <w:szCs w:val="21"/>
              </w:rPr>
            </w:pP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雨水渗水</w:t>
            </w:r>
          </w:p>
        </w:tc>
        <w:tc>
          <w:tcPr>
            <w:tcW w:w="1755"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lang w:val="en-US" w:eastAsia="zh-CN"/>
              </w:rPr>
              <w:t>COD、SS、NH3-N</w:t>
            </w: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cs="Times New Roman"/>
                <w:bCs/>
                <w:sz w:val="24"/>
                <w:szCs w:val="24"/>
                <w:vertAlign w:val="baseline"/>
                <w:lang w:val="en-US" w:eastAsia="zh-CN"/>
              </w:rPr>
              <w:t>雨水渗水经收集</w:t>
            </w:r>
            <w:r>
              <w:rPr>
                <w:rFonts w:hint="eastAsia" w:cs="Times New Roman"/>
                <w:bCs/>
                <w:sz w:val="24"/>
                <w:szCs w:val="24"/>
                <w:vertAlign w:val="baseline"/>
                <w:lang w:val="en-US" w:eastAsia="zh-CN"/>
              </w:rPr>
              <w:t>排入沉淀池沉淀后，排入雨水渗水暂存池，与化粪池污水一起由</w:t>
            </w:r>
            <w:r>
              <w:rPr>
                <w:rFonts w:hint="eastAsia" w:ascii="Times New Roman" w:hAnsi="Times New Roman" w:cs="Times New Roman"/>
                <w:bCs/>
                <w:sz w:val="24"/>
                <w:szCs w:val="24"/>
                <w:highlight w:val="none"/>
                <w:vertAlign w:val="baseline"/>
                <w:lang w:val="en-US" w:eastAsia="zh-CN"/>
              </w:rPr>
              <w:t>吸污车拉运至</w:t>
            </w:r>
            <w:r>
              <w:rPr>
                <w:rFonts w:hint="eastAsia" w:cs="Times New Roman"/>
                <w:bCs/>
                <w:sz w:val="24"/>
                <w:szCs w:val="24"/>
                <w:highlight w:val="none"/>
                <w:vertAlign w:val="baseline"/>
                <w:lang w:val="en-US" w:eastAsia="zh-CN"/>
              </w:rPr>
              <w:t>七台河市第二</w:t>
            </w:r>
            <w:r>
              <w:rPr>
                <w:rFonts w:hint="eastAsia" w:ascii="Times New Roman" w:hAnsi="Times New Roman" w:cs="Times New Roman"/>
                <w:bCs/>
                <w:sz w:val="24"/>
                <w:szCs w:val="24"/>
                <w:highlight w:val="none"/>
                <w:vertAlign w:val="baseline"/>
                <w:lang w:val="en-US" w:eastAsia="zh-CN"/>
              </w:rPr>
              <w:t>污水处理厂处理</w:t>
            </w:r>
            <w:r>
              <w:rPr>
                <w:rFonts w:hint="eastAsia" w:cs="Times New Roman"/>
                <w:bCs/>
                <w:sz w:val="24"/>
                <w:szCs w:val="24"/>
                <w:vertAlign w:val="baseline"/>
                <w:lang w:val="en-US" w:eastAsia="zh-CN"/>
              </w:rPr>
              <w:t>。</w:t>
            </w:r>
          </w:p>
        </w:tc>
        <w:tc>
          <w:tcPr>
            <w:tcW w:w="1757" w:type="dxa"/>
            <w:vMerge w:val="continue"/>
            <w:vAlign w:val="center"/>
          </w:tcPr>
          <w:p>
            <w:pPr>
              <w:adjustRightInd w:val="0"/>
              <w:snapToGrid w:val="0"/>
              <w:jc w:val="center"/>
              <w:rPr>
                <w:rFonts w:hint="eastAsia" w:ascii="Times New Roman" w:hAnsi="Times New Roman" w:cs="宋体"/>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声环境</w:t>
            </w:r>
          </w:p>
        </w:tc>
        <w:tc>
          <w:tcPr>
            <w:tcW w:w="1755"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厂界四周</w:t>
            </w:r>
          </w:p>
        </w:tc>
        <w:tc>
          <w:tcPr>
            <w:tcW w:w="1755"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lang w:val="en-US" w:eastAsia="zh-CN"/>
              </w:rPr>
              <w:t>等效连续A声级</w:t>
            </w:r>
          </w:p>
        </w:tc>
        <w:tc>
          <w:tcPr>
            <w:tcW w:w="1755"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lang w:val="en-US" w:eastAsia="zh-CN"/>
              </w:rPr>
              <w:t>采用低噪声设备，对高噪声设备采取减振隔声措施，绿化措施，车辆减速慢行，禁止鸣笛</w:t>
            </w:r>
          </w:p>
        </w:tc>
        <w:tc>
          <w:tcPr>
            <w:tcW w:w="1757"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《工业企业厂界环境噪声排放标准》（GB12348--2008）</w:t>
            </w:r>
            <w:r>
              <w:rPr>
                <w:rFonts w:hint="default"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电磁辐射</w:t>
            </w: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w:t>
            </w: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w:t>
            </w:r>
          </w:p>
        </w:tc>
        <w:tc>
          <w:tcPr>
            <w:tcW w:w="1755"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w:t>
            </w:r>
          </w:p>
        </w:tc>
        <w:tc>
          <w:tcPr>
            <w:tcW w:w="1757" w:type="dxa"/>
            <w:vAlign w:val="center"/>
          </w:tcPr>
          <w:p>
            <w:pPr>
              <w:adjustRightInd w:val="0"/>
              <w:snapToGrid w:val="0"/>
              <w:jc w:val="center"/>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固体废物</w:t>
            </w:r>
          </w:p>
        </w:tc>
        <w:tc>
          <w:tcPr>
            <w:tcW w:w="7022" w:type="dxa"/>
            <w:gridSpan w:val="4"/>
            <w:vAlign w:val="center"/>
          </w:tcPr>
          <w:p>
            <w:pPr>
              <w:adjustRightInd w:val="0"/>
              <w:snapToGrid w:val="0"/>
              <w:spacing w:line="360" w:lineRule="auto"/>
              <w:jc w:val="center"/>
              <w:rPr>
                <w:rFonts w:hint="eastAsia" w:ascii="Times New Roman" w:hAnsi="Times New Roman" w:cs="宋体"/>
                <w:sz w:val="24"/>
                <w:szCs w:val="21"/>
              </w:rPr>
            </w:pPr>
            <w:r>
              <w:rPr>
                <w:rFonts w:hint="eastAsia" w:ascii="宋体" w:hAnsi="宋体" w:cs="宋体"/>
                <w:sz w:val="24"/>
                <w:szCs w:val="24"/>
                <w:lang w:val="en-US" w:eastAsia="zh-CN"/>
              </w:rPr>
              <w:t>生活垃圾集中收集后委托环卫部门清运，化粪池及雨水渗水沉淀池污泥定期清掏运至七台河市污泥处置厂处理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土壤及地下水</w:t>
            </w:r>
          </w:p>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污染防治措施</w:t>
            </w:r>
          </w:p>
        </w:tc>
        <w:tc>
          <w:tcPr>
            <w:tcW w:w="7022" w:type="dxa"/>
            <w:gridSpan w:val="4"/>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pacing w:val="0"/>
                <w:sz w:val="24"/>
                <w:szCs w:val="24"/>
                <w:vertAlign w:val="baseline"/>
                <w:lang w:val="en-US" w:eastAsia="zh-CN"/>
              </w:rPr>
            </w:pPr>
            <w:r>
              <w:rPr>
                <w:rFonts w:hint="eastAsia" w:ascii="Times New Roman" w:hAnsi="Times New Roman" w:cs="Times New Roman"/>
                <w:bCs/>
                <w:spacing w:val="0"/>
                <w:sz w:val="24"/>
                <w:szCs w:val="24"/>
                <w:vertAlign w:val="baseline"/>
                <w:lang w:val="en-US" w:eastAsia="zh-CN"/>
              </w:rPr>
              <w:t>对项目区进行防渗、防渗要求如下：</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bCs/>
                <w:sz w:val="24"/>
                <w:szCs w:val="24"/>
                <w:vertAlign w:val="baseline"/>
                <w:lang w:val="en-US" w:eastAsia="zh-CN"/>
              </w:rPr>
            </w:pPr>
            <w:r>
              <w:rPr>
                <w:rFonts w:hint="eastAsia" w:ascii="Times New Roman" w:hAnsi="Times New Roman" w:cs="Times New Roman"/>
                <w:bCs/>
                <w:sz w:val="24"/>
                <w:szCs w:val="24"/>
                <w:vertAlign w:val="baseline"/>
                <w:lang w:val="en-US" w:eastAsia="zh-CN"/>
              </w:rPr>
              <w:t>堆料区底部防渗措施：①基础层：原地基整平、压实（压实系数≥0.93）②反渗层：铺土工滤网（200g/m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vertAlign w:val="baseline"/>
                <w:lang w:val="en-US" w:eastAsia="zh-CN"/>
              </w:rPr>
              <w:t>非织造土工布）；③地下水导流层：敷设30cm厚粒径20-60mm卵石或碎石；④复合防渗兼膜下保护层：铺钠基膨润土防水毯4800g/m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vertAlign w:val="baseline"/>
                <w:lang w:val="en-US" w:eastAsia="zh-CN"/>
              </w:rPr>
              <w:t>⑤膜防渗层：铺1.5mmHDPE膜防渗层；⑥膜上保护层：铺800g/m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vertAlign w:val="baseline"/>
                <w:lang w:val="en-US" w:eastAsia="zh-CN"/>
              </w:rPr>
              <w:t>土工布（非织造土工布）；⑦污水导排层：铺30cm厚粒径20-60mm卵石或碎石；⑧铺50cm厚袋装土。</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bCs/>
                <w:sz w:val="24"/>
                <w:szCs w:val="24"/>
                <w:vertAlign w:val="baseline"/>
                <w:lang w:val="en-US" w:eastAsia="zh-CN"/>
              </w:rPr>
            </w:pPr>
            <w:r>
              <w:rPr>
                <w:rFonts w:hint="eastAsia" w:ascii="Times New Roman" w:hAnsi="Times New Roman" w:cs="Times New Roman"/>
                <w:bCs/>
                <w:sz w:val="24"/>
                <w:szCs w:val="24"/>
                <w:vertAlign w:val="baseline"/>
                <w:lang w:val="en-US" w:eastAsia="zh-CN"/>
              </w:rPr>
              <w:t>堆料区边坡防渗措施：①基础层：原地基整平、压实（压实系数≥0.9）②复合防渗兼膜下保护层：铺钠基膨润土防水毯4800g/m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vertAlign w:val="baseline"/>
                <w:lang w:val="en-US" w:eastAsia="zh-CN"/>
              </w:rPr>
              <w:t>；③防渗层：铺1.5mmHDPE膜防渗层；④膜上保护层：铺800g/m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vertAlign w:val="baseline"/>
                <w:lang w:val="en-US" w:eastAsia="zh-CN"/>
              </w:rPr>
              <w:t>土工布（非织造土工布）；⑤铺50cm厚袋装土。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宋体"/>
                <w:sz w:val="24"/>
                <w:szCs w:val="21"/>
              </w:rPr>
            </w:pPr>
            <w:r>
              <w:rPr>
                <w:rFonts w:hint="default" w:ascii="Times New Roman" w:hAnsi="Times New Roman" w:cs="Times New Roman"/>
                <w:bCs/>
                <w:sz w:val="24"/>
                <w:szCs w:val="24"/>
                <w:vertAlign w:val="baseline"/>
                <w:lang w:val="en-US" w:eastAsia="zh-CN"/>
              </w:rPr>
              <w:t>防渗膜锚固</w:t>
            </w:r>
            <w:r>
              <w:rPr>
                <w:rFonts w:hint="eastAsia" w:ascii="Times New Roman" w:hAnsi="Times New Roman" w:cs="Times New Roman"/>
                <w:bCs/>
                <w:sz w:val="24"/>
                <w:szCs w:val="24"/>
                <w:vertAlign w:val="baseline"/>
                <w:lang w:val="en-US" w:eastAsia="zh-CN"/>
              </w:rPr>
              <w:t>平台</w:t>
            </w:r>
            <w:r>
              <w:rPr>
                <w:rFonts w:hint="default" w:ascii="Times New Roman" w:hAnsi="Times New Roman" w:cs="Times New Roman"/>
                <w:bCs/>
                <w:sz w:val="24"/>
                <w:szCs w:val="24"/>
                <w:vertAlign w:val="baseline"/>
                <w:lang w:val="en-US" w:eastAsia="zh-CN"/>
              </w:rPr>
              <w:t>：</w:t>
            </w:r>
            <w:r>
              <w:rPr>
                <w:rFonts w:hint="eastAsia" w:ascii="Times New Roman" w:hAnsi="Times New Roman" w:cs="Times New Roman"/>
                <w:bCs/>
                <w:sz w:val="24"/>
                <w:szCs w:val="24"/>
                <w:vertAlign w:val="baseline"/>
                <w:lang w:val="en-US" w:eastAsia="zh-CN"/>
              </w:rPr>
              <w:t>①原地基整平、压实（压实系数≥0.9）②压实土壤保护层（30cm厚黏土）③钠基膨润土防水毯4800g/m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vertAlign w:val="baseline"/>
                <w:lang w:val="en-US" w:eastAsia="zh-CN"/>
              </w:rPr>
              <w:t>④1.5mmHDPE膜防渗层⑤800g/m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vertAlign w:val="baseline"/>
                <w:lang w:val="en-US" w:eastAsia="zh-CN"/>
              </w:rPr>
              <w:t>土工布（非织造土工布）⑥土工复合排水网⑦土工滤网（200g/m</w:t>
            </w:r>
            <w:r>
              <w:rPr>
                <w:rFonts w:hint="eastAsia" w:ascii="Times New Roman" w:hAnsi="Times New Roman" w:cs="Times New Roman"/>
                <w:bCs/>
                <w:sz w:val="24"/>
                <w:szCs w:val="24"/>
                <w:vertAlign w:val="superscript"/>
                <w:lang w:val="en-US" w:eastAsia="zh-CN"/>
              </w:rPr>
              <w:t>2</w:t>
            </w:r>
            <w:r>
              <w:rPr>
                <w:rFonts w:hint="eastAsia" w:ascii="Times New Roman" w:hAnsi="Times New Roman" w:cs="Times New Roman"/>
                <w:bCs/>
                <w:sz w:val="24"/>
                <w:szCs w:val="24"/>
                <w:vertAlign w:val="baseline"/>
                <w:lang w:val="en-US" w:eastAsia="zh-CN"/>
              </w:rPr>
              <w:t>非织造土工布）⑧30cm厚戈壁土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z w:val="24"/>
                <w:szCs w:val="24"/>
              </w:rPr>
              <w:t>生态保护措施</w:t>
            </w:r>
          </w:p>
        </w:tc>
        <w:tc>
          <w:tcPr>
            <w:tcW w:w="7022" w:type="dxa"/>
            <w:gridSpan w:val="4"/>
            <w:vAlign w:val="center"/>
          </w:tcPr>
          <w:p>
            <w:pPr>
              <w:adjustRightInd w:val="0"/>
              <w:snapToGrid w:val="0"/>
              <w:spacing w:line="360" w:lineRule="auto"/>
              <w:jc w:val="center"/>
              <w:rPr>
                <w:rFonts w:hint="eastAsia" w:ascii="Times New Roman" w:hAnsi="Times New Roman" w:cs="宋体"/>
                <w:sz w:val="24"/>
                <w:szCs w:val="21"/>
              </w:rPr>
            </w:pPr>
            <w:r>
              <w:rPr>
                <w:rFonts w:hint="default" w:ascii="Times New Roman" w:hAnsi="Times New Roman" w:eastAsia="宋体" w:cs="Times New Roman"/>
                <w:sz w:val="24"/>
                <w:szCs w:val="24"/>
              </w:rPr>
              <w:t>场地周边种植乔灌木进行绿化；封场后对平台和边坡覆盖熟土、恢复植被。植被恢复物种选择浅根系的乡土物种（包括草本和灌木）。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环境风险</w:t>
            </w:r>
          </w:p>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pacing w:val="-8"/>
                <w:sz w:val="24"/>
                <w:szCs w:val="24"/>
              </w:rPr>
              <w:t>防范措施</w:t>
            </w:r>
          </w:p>
        </w:tc>
        <w:tc>
          <w:tcPr>
            <w:tcW w:w="7022" w:type="dxa"/>
            <w:gridSpan w:val="4"/>
            <w:vAlign w:val="center"/>
          </w:tcPr>
          <w:p>
            <w:pPr>
              <w:adjustRightInd w:val="0"/>
              <w:snapToGrid w:val="0"/>
              <w:spacing w:line="360" w:lineRule="auto"/>
              <w:jc w:val="center"/>
              <w:rPr>
                <w:rFonts w:hint="eastAsia" w:ascii="Times New Roman" w:hAnsi="Times New Roman" w:cs="宋体"/>
                <w:sz w:val="24"/>
                <w:szCs w:val="21"/>
              </w:rPr>
            </w:pPr>
            <w:r>
              <w:rPr>
                <w:rFonts w:hint="default" w:ascii="Times New Roman" w:hAnsi="Times New Roman" w:eastAsia="宋体" w:cs="Times New Roman"/>
                <w:sz w:val="24"/>
                <w:szCs w:val="24"/>
              </w:rPr>
              <w:t>严格按照施工质量控制标准的要求施工，防止防渗膜破损；设置地下水监控井，并定期开展防渗衬层完整性监测；建筑垃圾</w:t>
            </w:r>
            <w:r>
              <w:rPr>
                <w:rFonts w:hint="eastAsia" w:ascii="Times New Roman" w:hAnsi="Times New Roman" w:eastAsia="宋体" w:cs="Times New Roman"/>
                <w:sz w:val="24"/>
                <w:szCs w:val="24"/>
                <w:lang w:eastAsia="zh-CN"/>
              </w:rPr>
              <w:t>堆料区</w:t>
            </w:r>
            <w:r>
              <w:rPr>
                <w:rFonts w:hint="default" w:ascii="Times New Roman" w:hAnsi="Times New Roman" w:eastAsia="宋体" w:cs="Times New Roman"/>
                <w:sz w:val="24"/>
                <w:szCs w:val="24"/>
              </w:rPr>
              <w:t>下游沟口处设置垃圾坝、截洪沟和雨水导排系统。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其他环境</w:t>
            </w:r>
          </w:p>
          <w:p>
            <w:pPr>
              <w:adjustRightInd w:val="0"/>
              <w:snapToGrid w:val="0"/>
              <w:jc w:val="center"/>
              <w:rPr>
                <w:rFonts w:hint="eastAsia" w:ascii="Times New Roman" w:hAnsi="Times New Roman" w:cs="宋体"/>
                <w:sz w:val="24"/>
                <w:szCs w:val="21"/>
              </w:rPr>
            </w:pPr>
            <w:r>
              <w:rPr>
                <w:rFonts w:hint="default" w:ascii="Times New Roman" w:hAnsi="Times New Roman" w:eastAsia="宋体" w:cs="Times New Roman"/>
                <w:spacing w:val="-8"/>
                <w:sz w:val="24"/>
                <w:szCs w:val="24"/>
              </w:rPr>
              <w:t>管理要求</w:t>
            </w:r>
          </w:p>
        </w:tc>
        <w:tc>
          <w:tcPr>
            <w:tcW w:w="7022" w:type="dxa"/>
            <w:gridSpan w:val="4"/>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按照《中华人民共和国固体废物污染环境防治法》中“第五章 建筑垃圾、农业固体废物等”的相关要求。建设单位严格按照本环评提出的各项措施进行施工及建筑垃圾处置。本次评价要求建设单位应向产生建筑垃圾的施工单位提出并检查、督促以下要求：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1、工程施工单位应当编制建筑垃圾处理方案，采取污染防治措施，并报县级以上地方人民政府环境卫生主管部门备案。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2、工程施工单位应当及时清运工程施工过程中产生的建筑垃圾等固体废物，并按照环境卫生主管部门的规定进行利用或者处置。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宋体"/>
                <w:sz w:val="24"/>
                <w:szCs w:val="21"/>
              </w:rPr>
            </w:pPr>
            <w:r>
              <w:rPr>
                <w:rFonts w:hint="eastAsia" w:ascii="Times New Roman" w:hAnsi="Times New Roman" w:eastAsia="宋体" w:cs="Times New Roman"/>
                <w:sz w:val="24"/>
                <w:szCs w:val="24"/>
                <w:lang w:val="en-US" w:eastAsia="zh-CN"/>
              </w:rPr>
              <w:t>3、工程施工单位不得擅自倾倒、抛撒或者堆放工程施工过程中产生的建筑垃圾。</w:t>
            </w:r>
          </w:p>
        </w:tc>
      </w:tr>
    </w:tbl>
    <w:p>
      <w:pPr>
        <w:pStyle w:val="18"/>
        <w:jc w:val="center"/>
        <w:outlineLvl w:val="0"/>
        <w:rPr>
          <w:rFonts w:ascii="黑体" w:hAnsi="黑体" w:eastAsia="黑体"/>
          <w:snapToGrid w:val="0"/>
          <w:sz w:val="30"/>
          <w:szCs w:val="30"/>
        </w:rPr>
      </w:pPr>
      <w:r>
        <w:rPr>
          <w:snapToGrid w:val="0"/>
        </w:rPr>
        <w:br w:type="page"/>
      </w:r>
      <w:bookmarkStart w:id="15" w:name="_Toc30695"/>
      <w:r>
        <w:rPr>
          <w:rFonts w:hint="eastAsia" w:ascii="黑体" w:hAnsi="黑体" w:eastAsia="黑体"/>
          <w:snapToGrid w:val="0"/>
          <w:sz w:val="30"/>
          <w:szCs w:val="30"/>
        </w:rPr>
        <w:t>六、结论</w:t>
      </w:r>
      <w:bookmarkEnd w:id="15"/>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cs="宋体"/>
                <w:sz w:val="24"/>
              </w:rPr>
            </w:pPr>
            <w:r>
              <w:rPr>
                <w:rFonts w:hint="eastAsia" w:ascii="宋体" w:cs="宋体"/>
                <w:sz w:val="24"/>
                <w:lang w:val="en-US" w:eastAsia="zh-CN"/>
              </w:rPr>
              <w:t>本项目符合国家产业政策；采用的工艺技术成熟可行，通过采取有效的环保措施可实现达标排放，对周边环境的影响也能控制在可接受程度。因此，建设单位在严格执行环保“三同时”制度，严格落实本报告提出的各项环保措施后，项目建设对环境的影响是可接受的。因此，从环保的角度分析，本项目的建设是可行的。</w:t>
            </w: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adjustRightInd w:val="0"/>
        <w:snapToGrid w:val="0"/>
        <w:spacing w:before="0" w:beforeAutospacing="0" w:after="0" w:afterAutospacing="0" w:line="648" w:lineRule="auto"/>
        <w:outlineLvl w:val="9"/>
        <w:rPr>
          <w:rFonts w:ascii="黑体" w:hAnsi="黑体" w:eastAsia="黑体"/>
          <w:snapToGrid w:val="0"/>
          <w:sz w:val="32"/>
          <w:szCs w:val="32"/>
          <w:highlight w:val="none"/>
        </w:rPr>
      </w:pPr>
      <w:r>
        <w:rPr>
          <w:rFonts w:hint="eastAsia" w:ascii="黑体" w:hAnsi="黑体" w:eastAsia="黑体"/>
          <w:snapToGrid w:val="0"/>
          <w:sz w:val="32"/>
          <w:szCs w:val="32"/>
          <w:highlight w:val="none"/>
        </w:rPr>
        <w:t>附表</w:t>
      </w:r>
    </w:p>
    <w:p>
      <w:pPr>
        <w:pStyle w:val="18"/>
        <w:adjustRightInd w:val="0"/>
        <w:snapToGrid w:val="0"/>
        <w:spacing w:before="0" w:beforeAutospacing="0" w:after="0" w:afterAutospacing="0" w:line="552" w:lineRule="auto"/>
        <w:jc w:val="center"/>
        <w:outlineLvl w:val="9"/>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43"/>
        <w:gridCol w:w="10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6"/>
              <w:spacing w:line="240" w:lineRule="auto"/>
              <w:jc w:val="righ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项目</w:t>
            </w:r>
          </w:p>
          <w:p>
            <w:pPr>
              <w:pStyle w:val="46"/>
              <w:spacing w:line="240" w:lineRule="auto"/>
              <w:jc w:val="lef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分类</w:t>
            </w:r>
          </w:p>
        </w:tc>
        <w:tc>
          <w:tcPr>
            <w:tcW w:w="1417" w:type="dxa"/>
            <w:tcMar>
              <w:left w:w="28" w:type="dxa"/>
              <w:right w:w="28" w:type="dxa"/>
            </w:tcMar>
            <w:vAlign w:val="center"/>
          </w:tcPr>
          <w:p>
            <w:pPr>
              <w:pStyle w:val="46"/>
              <w:spacing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污染物名称</w:t>
            </w:r>
          </w:p>
        </w:tc>
        <w:tc>
          <w:tcPr>
            <w:tcW w:w="1701" w:type="dxa"/>
            <w:tcMar>
              <w:left w:w="28" w:type="dxa"/>
              <w:right w:w="28" w:type="dxa"/>
            </w:tcMar>
            <w:vAlign w:val="center"/>
          </w:tcPr>
          <w:p>
            <w:pPr>
              <w:pStyle w:val="46"/>
              <w:spacing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46"/>
              <w:spacing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1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①</w:t>
            </w:r>
            <w:r>
              <w:rPr>
                <w:rFonts w:hint="default" w:ascii="Times New Roman" w:hAnsi="Times New Roman" w:eastAsia="黑体" w:cs="Times New Roman"/>
                <w:snapToGrid w:val="0"/>
                <w:color w:val="000000"/>
                <w:spacing w:val="-6"/>
                <w:kern w:val="21"/>
                <w:szCs w:val="21"/>
              </w:rPr>
              <w:fldChar w:fldCharType="end"/>
            </w:r>
          </w:p>
        </w:tc>
        <w:tc>
          <w:tcPr>
            <w:tcW w:w="1276" w:type="dxa"/>
            <w:tcMar>
              <w:left w:w="28" w:type="dxa"/>
              <w:right w:w="28" w:type="dxa"/>
            </w:tcMar>
            <w:vAlign w:val="center"/>
          </w:tcPr>
          <w:p>
            <w:pPr>
              <w:pStyle w:val="46"/>
              <w:spacing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46"/>
              <w:spacing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许可排放量</w:t>
            </w:r>
          </w:p>
          <w:p>
            <w:pPr>
              <w:pStyle w:val="46"/>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2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snapToGrid w:val="0"/>
                <w:color w:val="000000"/>
                <w:spacing w:val="-6"/>
                <w:kern w:val="21"/>
                <w:szCs w:val="21"/>
              </w:rPr>
              <w:t>②</w:t>
            </w:r>
            <w:r>
              <w:rPr>
                <w:rFonts w:hint="default" w:ascii="Times New Roman" w:hAnsi="Times New Roman" w:eastAsia="黑体" w:cs="Times New Roman"/>
                <w:snapToGrid w:val="0"/>
                <w:color w:val="000000"/>
                <w:spacing w:val="-6"/>
                <w:kern w:val="21"/>
                <w:szCs w:val="21"/>
              </w:rPr>
              <w:fldChar w:fldCharType="end"/>
            </w:r>
          </w:p>
        </w:tc>
        <w:tc>
          <w:tcPr>
            <w:tcW w:w="1701" w:type="dxa"/>
            <w:tcMar>
              <w:left w:w="28" w:type="dxa"/>
              <w:right w:w="28" w:type="dxa"/>
            </w:tcMar>
            <w:vAlign w:val="center"/>
          </w:tcPr>
          <w:p>
            <w:pPr>
              <w:pStyle w:val="46"/>
              <w:spacing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在建工程</w:t>
            </w:r>
          </w:p>
          <w:p>
            <w:pPr>
              <w:pStyle w:val="46"/>
              <w:spacing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3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③</w:t>
            </w:r>
            <w:r>
              <w:rPr>
                <w:rFonts w:hint="default" w:ascii="Times New Roman" w:hAnsi="Times New Roman" w:eastAsia="黑体" w:cs="Times New Roman"/>
                <w:snapToGrid w:val="0"/>
                <w:color w:val="000000"/>
                <w:spacing w:val="-6"/>
                <w:kern w:val="21"/>
                <w:szCs w:val="21"/>
              </w:rPr>
              <w:fldChar w:fldCharType="end"/>
            </w:r>
          </w:p>
        </w:tc>
        <w:tc>
          <w:tcPr>
            <w:tcW w:w="1559" w:type="dxa"/>
            <w:tcMar>
              <w:left w:w="28" w:type="dxa"/>
              <w:right w:w="28" w:type="dxa"/>
            </w:tcMar>
            <w:vAlign w:val="center"/>
          </w:tcPr>
          <w:p>
            <w:pPr>
              <w:pStyle w:val="46"/>
              <w:spacing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本项目</w:t>
            </w:r>
          </w:p>
          <w:p>
            <w:pPr>
              <w:pStyle w:val="46"/>
              <w:spacing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4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④</w:t>
            </w:r>
            <w:r>
              <w:rPr>
                <w:rFonts w:hint="default" w:ascii="Times New Roman" w:hAnsi="Times New Roman" w:eastAsia="黑体" w:cs="Times New Roman"/>
                <w:snapToGrid w:val="0"/>
                <w:color w:val="000000"/>
                <w:spacing w:val="-6"/>
                <w:kern w:val="21"/>
                <w:szCs w:val="21"/>
              </w:rPr>
              <w:fldChar w:fldCharType="end"/>
            </w:r>
          </w:p>
        </w:tc>
        <w:tc>
          <w:tcPr>
            <w:tcW w:w="1761" w:type="dxa"/>
            <w:tcMar>
              <w:left w:w="28" w:type="dxa"/>
              <w:right w:w="28" w:type="dxa"/>
            </w:tcMar>
            <w:vAlign w:val="center"/>
          </w:tcPr>
          <w:p>
            <w:pPr>
              <w:pStyle w:val="46"/>
              <w:spacing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以新带老削减量</w:t>
            </w:r>
          </w:p>
          <w:p>
            <w:pPr>
              <w:pStyle w:val="46"/>
              <w:spacing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（新建项目不填）</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5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⑤</w:t>
            </w:r>
            <w:r>
              <w:rPr>
                <w:rFonts w:hint="default" w:ascii="Times New Roman" w:hAnsi="Times New Roman" w:eastAsia="黑体" w:cs="Times New Roman"/>
                <w:snapToGrid w:val="0"/>
                <w:color w:val="000000"/>
                <w:spacing w:val="-16"/>
                <w:kern w:val="21"/>
                <w:szCs w:val="21"/>
              </w:rPr>
              <w:fldChar w:fldCharType="end"/>
            </w:r>
          </w:p>
        </w:tc>
        <w:tc>
          <w:tcPr>
            <w:tcW w:w="1743" w:type="dxa"/>
            <w:tcMar>
              <w:left w:w="28" w:type="dxa"/>
              <w:right w:w="28" w:type="dxa"/>
            </w:tcMar>
            <w:vAlign w:val="center"/>
          </w:tcPr>
          <w:p>
            <w:pPr>
              <w:pStyle w:val="46"/>
              <w:spacing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本项目建成后</w:t>
            </w:r>
          </w:p>
          <w:p>
            <w:pPr>
              <w:pStyle w:val="46"/>
              <w:spacing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全厂排放量（固体废物产生量）</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6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⑥</w:t>
            </w:r>
            <w:r>
              <w:rPr>
                <w:rFonts w:hint="default" w:ascii="Times New Roman" w:hAnsi="Times New Roman" w:eastAsia="黑体" w:cs="Times New Roman"/>
                <w:snapToGrid w:val="0"/>
                <w:color w:val="000000"/>
                <w:spacing w:val="-16"/>
                <w:kern w:val="21"/>
                <w:szCs w:val="21"/>
              </w:rPr>
              <w:fldChar w:fldCharType="end"/>
            </w:r>
          </w:p>
        </w:tc>
        <w:tc>
          <w:tcPr>
            <w:tcW w:w="1042" w:type="dxa"/>
            <w:tcMar>
              <w:left w:w="28" w:type="dxa"/>
              <w:right w:w="28" w:type="dxa"/>
            </w:tcMar>
            <w:vAlign w:val="center"/>
          </w:tcPr>
          <w:p>
            <w:pPr>
              <w:pStyle w:val="46"/>
              <w:spacing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变化量</w:t>
            </w:r>
          </w:p>
          <w:p>
            <w:pPr>
              <w:pStyle w:val="46"/>
              <w:spacing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7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⑦</w:t>
            </w:r>
            <w:r>
              <w:rPr>
                <w:rFonts w:hint="default" w:ascii="Times New Roman" w:hAnsi="Times New Roman" w:eastAsia="黑体" w:cs="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46"/>
              <w:spacing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废气</w:t>
            </w:r>
          </w:p>
        </w:tc>
        <w:tc>
          <w:tcPr>
            <w:tcW w:w="1417" w:type="dxa"/>
            <w:vAlign w:val="center"/>
          </w:tcPr>
          <w:p>
            <w:pPr>
              <w:pStyle w:val="46"/>
              <w:spacing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颗粒物</w:t>
            </w:r>
          </w:p>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（无组织）</w:t>
            </w:r>
          </w:p>
        </w:tc>
        <w:tc>
          <w:tcPr>
            <w:tcW w:w="1701"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w:t>
            </w:r>
          </w:p>
        </w:tc>
        <w:tc>
          <w:tcPr>
            <w:tcW w:w="1276"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w:t>
            </w:r>
          </w:p>
        </w:tc>
        <w:tc>
          <w:tcPr>
            <w:tcW w:w="1701"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w:t>
            </w:r>
          </w:p>
        </w:tc>
        <w:tc>
          <w:tcPr>
            <w:tcW w:w="1559"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4.</w:t>
            </w:r>
            <w:r>
              <w:rPr>
                <w:rFonts w:hint="eastAsia" w:ascii="Times New Roman" w:cs="Times New Roman"/>
                <w:snapToGrid w:val="0"/>
                <w:color w:val="000000"/>
                <w:kern w:val="21"/>
                <w:szCs w:val="21"/>
                <w:lang w:val="en-US" w:eastAsia="zh-CN"/>
              </w:rPr>
              <w:t>38</w:t>
            </w:r>
            <w:r>
              <w:rPr>
                <w:rFonts w:hint="eastAsia" w:ascii="Times New Roman" w:hAnsi="Times New Roman" w:cs="Times New Roman"/>
                <w:snapToGrid w:val="0"/>
                <w:color w:val="000000"/>
                <w:kern w:val="21"/>
                <w:szCs w:val="21"/>
                <w:lang w:val="en-US" w:eastAsia="zh-CN"/>
              </w:rPr>
              <w:t>t/a</w:t>
            </w:r>
          </w:p>
        </w:tc>
        <w:tc>
          <w:tcPr>
            <w:tcW w:w="1761"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w:t>
            </w:r>
          </w:p>
        </w:tc>
        <w:tc>
          <w:tcPr>
            <w:tcW w:w="1743" w:type="dxa"/>
            <w:vAlign w:val="center"/>
          </w:tcPr>
          <w:p>
            <w:pPr>
              <w:pStyle w:val="46"/>
              <w:spacing w:line="240" w:lineRule="auto"/>
              <w:rPr>
                <w:rFonts w:hint="default"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lang w:val="en-US" w:eastAsia="zh-CN"/>
              </w:rPr>
              <w:t>4.</w:t>
            </w:r>
            <w:r>
              <w:rPr>
                <w:rFonts w:hint="eastAsia" w:ascii="Times New Roman" w:cs="Times New Roman"/>
                <w:snapToGrid w:val="0"/>
                <w:color w:val="000000"/>
                <w:kern w:val="21"/>
                <w:szCs w:val="21"/>
                <w:lang w:val="en-US" w:eastAsia="zh-CN"/>
              </w:rPr>
              <w:t>38</w:t>
            </w:r>
            <w:r>
              <w:rPr>
                <w:rFonts w:hint="eastAsia" w:ascii="Times New Roman" w:hAnsi="Times New Roman" w:cs="Times New Roman"/>
                <w:snapToGrid w:val="0"/>
                <w:color w:val="000000"/>
                <w:kern w:val="21"/>
                <w:szCs w:val="21"/>
                <w:lang w:val="en-US" w:eastAsia="zh-CN"/>
              </w:rPr>
              <w:t>t/a</w:t>
            </w:r>
          </w:p>
        </w:tc>
        <w:tc>
          <w:tcPr>
            <w:tcW w:w="1042" w:type="dxa"/>
            <w:vAlign w:val="center"/>
          </w:tcPr>
          <w:p>
            <w:pPr>
              <w:pStyle w:val="46"/>
              <w:spacing w:line="240" w:lineRule="auto"/>
              <w:rPr>
                <w:rFonts w:hint="default"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lang w:val="en-US" w:eastAsia="zh-CN"/>
              </w:rPr>
              <w:t>+4.</w:t>
            </w:r>
            <w:r>
              <w:rPr>
                <w:rFonts w:hint="eastAsia" w:ascii="Times New Roman" w:cs="Times New Roman"/>
                <w:snapToGrid w:val="0"/>
                <w:color w:val="000000"/>
                <w:kern w:val="21"/>
                <w:szCs w:val="21"/>
                <w:lang w:val="en-US" w:eastAsia="zh-CN"/>
              </w:rPr>
              <w:t>38</w:t>
            </w:r>
            <w:r>
              <w:rPr>
                <w:rFonts w:hint="eastAsia" w:ascii="Times New Roman" w:hAnsi="Times New Roman" w:cs="Times New Roman"/>
                <w:snapToGrid w:val="0"/>
                <w:color w:val="000000"/>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6"/>
              <w:spacing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废水</w:t>
            </w:r>
          </w:p>
        </w:tc>
        <w:tc>
          <w:tcPr>
            <w:tcW w:w="1417"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COD</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276"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559"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0.11</w:t>
            </w:r>
            <w:r>
              <w:rPr>
                <w:rFonts w:hint="eastAsia" w:ascii="Times New Roman" w:hAnsi="Times New Roman" w:cs="Times New Roman"/>
                <w:snapToGrid w:val="0"/>
                <w:color w:val="000000"/>
                <w:kern w:val="21"/>
                <w:szCs w:val="21"/>
                <w:lang w:val="en-US" w:eastAsia="zh-CN"/>
              </w:rPr>
              <w:t>t/a</w:t>
            </w:r>
          </w:p>
        </w:tc>
        <w:tc>
          <w:tcPr>
            <w:tcW w:w="176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43"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Cs w:val="21"/>
                <w:lang w:val="en-US" w:eastAsia="zh-CN"/>
              </w:rPr>
              <w:t>0.11</w:t>
            </w:r>
            <w:r>
              <w:rPr>
                <w:rFonts w:hint="eastAsia" w:ascii="Times New Roman" w:hAnsi="Times New Roman" w:cs="Times New Roman"/>
                <w:snapToGrid w:val="0"/>
                <w:color w:val="000000"/>
                <w:kern w:val="21"/>
                <w:szCs w:val="21"/>
                <w:lang w:val="en-US" w:eastAsia="zh-CN"/>
              </w:rPr>
              <w:t>t/a</w:t>
            </w:r>
          </w:p>
        </w:tc>
        <w:tc>
          <w:tcPr>
            <w:tcW w:w="1042"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w:t>
            </w:r>
            <w:r>
              <w:rPr>
                <w:rFonts w:hint="eastAsia" w:ascii="Times New Roman" w:cs="Times New Roman"/>
                <w:snapToGrid w:val="0"/>
                <w:color w:val="000000"/>
                <w:kern w:val="21"/>
                <w:szCs w:val="21"/>
                <w:lang w:val="en-US" w:eastAsia="zh-CN"/>
              </w:rPr>
              <w:t>0.11</w:t>
            </w:r>
            <w:r>
              <w:rPr>
                <w:rFonts w:hint="eastAsia" w:ascii="Times New Roman" w:hAnsi="Times New Roman" w:cs="Times New Roman"/>
                <w:snapToGrid w:val="0"/>
                <w:color w:val="000000"/>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6"/>
              <w:spacing w:line="240" w:lineRule="auto"/>
              <w:rPr>
                <w:rFonts w:hint="default" w:ascii="Times New Roman" w:hAnsi="Times New Roman" w:cs="Times New Roman"/>
                <w:snapToGrid w:val="0"/>
                <w:color w:val="000000"/>
                <w:kern w:val="21"/>
                <w:szCs w:val="21"/>
              </w:rPr>
            </w:pPr>
          </w:p>
        </w:tc>
        <w:tc>
          <w:tcPr>
            <w:tcW w:w="1417"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BOD</w:t>
            </w:r>
            <w:r>
              <w:rPr>
                <w:rFonts w:hint="eastAsia" w:ascii="Times New Roman" w:hAnsi="Times New Roman" w:cs="Times New Roman"/>
                <w:snapToGrid w:val="0"/>
                <w:color w:val="000000"/>
                <w:kern w:val="21"/>
                <w:szCs w:val="21"/>
                <w:vertAlign w:val="subscript"/>
                <w:lang w:val="en-US" w:eastAsia="zh-CN"/>
              </w:rPr>
              <w:t>5</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276"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559"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0.</w:t>
            </w:r>
            <w:r>
              <w:rPr>
                <w:rFonts w:hint="eastAsia" w:ascii="Times New Roman" w:cs="Times New Roman"/>
                <w:snapToGrid w:val="0"/>
                <w:color w:val="000000"/>
                <w:kern w:val="21"/>
                <w:szCs w:val="21"/>
                <w:lang w:val="en-US" w:eastAsia="zh-CN"/>
              </w:rPr>
              <w:t>07</w:t>
            </w:r>
            <w:r>
              <w:rPr>
                <w:rFonts w:hint="eastAsia" w:ascii="Times New Roman" w:hAnsi="Times New Roman" w:cs="Times New Roman"/>
                <w:snapToGrid w:val="0"/>
                <w:color w:val="000000"/>
                <w:kern w:val="21"/>
                <w:szCs w:val="21"/>
                <w:lang w:val="en-US" w:eastAsia="zh-CN"/>
              </w:rPr>
              <w:t>5t/a</w:t>
            </w:r>
          </w:p>
        </w:tc>
        <w:tc>
          <w:tcPr>
            <w:tcW w:w="176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43"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0.</w:t>
            </w:r>
            <w:r>
              <w:rPr>
                <w:rFonts w:hint="eastAsia" w:ascii="Times New Roman" w:cs="Times New Roman"/>
                <w:snapToGrid w:val="0"/>
                <w:color w:val="000000"/>
                <w:kern w:val="21"/>
                <w:szCs w:val="21"/>
                <w:lang w:val="en-US" w:eastAsia="zh-CN"/>
              </w:rPr>
              <w:t>07</w:t>
            </w:r>
            <w:r>
              <w:rPr>
                <w:rFonts w:hint="eastAsia" w:ascii="Times New Roman" w:hAnsi="Times New Roman" w:cs="Times New Roman"/>
                <w:snapToGrid w:val="0"/>
                <w:color w:val="000000"/>
                <w:kern w:val="21"/>
                <w:szCs w:val="21"/>
                <w:lang w:val="en-US" w:eastAsia="zh-CN"/>
              </w:rPr>
              <w:t>5t/a</w:t>
            </w:r>
          </w:p>
        </w:tc>
        <w:tc>
          <w:tcPr>
            <w:tcW w:w="1042"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+0.</w:t>
            </w:r>
            <w:r>
              <w:rPr>
                <w:rFonts w:hint="eastAsia" w:ascii="Times New Roman" w:cs="Times New Roman"/>
                <w:snapToGrid w:val="0"/>
                <w:color w:val="000000"/>
                <w:kern w:val="21"/>
                <w:szCs w:val="21"/>
                <w:lang w:val="en-US" w:eastAsia="zh-CN"/>
              </w:rPr>
              <w:t>07</w:t>
            </w:r>
            <w:r>
              <w:rPr>
                <w:rFonts w:hint="eastAsia" w:ascii="Times New Roman" w:hAnsi="Times New Roman" w:cs="Times New Roman"/>
                <w:snapToGrid w:val="0"/>
                <w:color w:val="000000"/>
                <w:kern w:val="21"/>
                <w:szCs w:val="21"/>
                <w:lang w:val="en-US" w:eastAsia="zh-CN"/>
              </w:rPr>
              <w:t>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6"/>
              <w:spacing w:line="240" w:lineRule="auto"/>
              <w:rPr>
                <w:rFonts w:hint="default" w:ascii="Times New Roman" w:hAnsi="Times New Roman" w:cs="Times New Roman"/>
                <w:snapToGrid w:val="0"/>
                <w:color w:val="000000"/>
                <w:kern w:val="21"/>
                <w:szCs w:val="21"/>
              </w:rPr>
            </w:pPr>
          </w:p>
        </w:tc>
        <w:tc>
          <w:tcPr>
            <w:tcW w:w="1417"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SS</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276"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559"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0.0</w:t>
            </w:r>
            <w:r>
              <w:rPr>
                <w:rFonts w:hint="eastAsia" w:ascii="Times New Roman" w:cs="Times New Roman"/>
                <w:snapToGrid w:val="0"/>
                <w:color w:val="000000"/>
                <w:kern w:val="21"/>
                <w:szCs w:val="21"/>
                <w:lang w:val="en-US" w:eastAsia="zh-CN"/>
              </w:rPr>
              <w:t>8</w:t>
            </w:r>
            <w:r>
              <w:rPr>
                <w:rFonts w:hint="eastAsia" w:ascii="Times New Roman" w:hAnsi="Times New Roman" w:cs="Times New Roman"/>
                <w:snapToGrid w:val="0"/>
                <w:color w:val="000000"/>
                <w:kern w:val="21"/>
                <w:szCs w:val="21"/>
                <w:lang w:val="en-US" w:eastAsia="zh-CN"/>
              </w:rPr>
              <w:t>t/a</w:t>
            </w:r>
          </w:p>
        </w:tc>
        <w:tc>
          <w:tcPr>
            <w:tcW w:w="176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43"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0.0</w:t>
            </w:r>
            <w:r>
              <w:rPr>
                <w:rFonts w:hint="eastAsia" w:ascii="Times New Roman" w:cs="Times New Roman"/>
                <w:snapToGrid w:val="0"/>
                <w:color w:val="000000"/>
                <w:kern w:val="21"/>
                <w:szCs w:val="21"/>
                <w:lang w:val="en-US" w:eastAsia="zh-CN"/>
              </w:rPr>
              <w:t>8</w:t>
            </w:r>
            <w:r>
              <w:rPr>
                <w:rFonts w:hint="eastAsia" w:ascii="Times New Roman" w:hAnsi="Times New Roman" w:cs="Times New Roman"/>
                <w:snapToGrid w:val="0"/>
                <w:color w:val="000000"/>
                <w:kern w:val="21"/>
                <w:szCs w:val="21"/>
                <w:lang w:val="en-US" w:eastAsia="zh-CN"/>
              </w:rPr>
              <w:t>t/a</w:t>
            </w:r>
          </w:p>
        </w:tc>
        <w:tc>
          <w:tcPr>
            <w:tcW w:w="1042"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+0.0</w:t>
            </w:r>
            <w:r>
              <w:rPr>
                <w:rFonts w:hint="eastAsia" w:ascii="Times New Roman" w:cs="Times New Roman"/>
                <w:snapToGrid w:val="0"/>
                <w:color w:val="000000"/>
                <w:kern w:val="21"/>
                <w:szCs w:val="21"/>
                <w:lang w:val="en-US" w:eastAsia="zh-CN"/>
              </w:rPr>
              <w:t>8</w:t>
            </w:r>
            <w:r>
              <w:rPr>
                <w:rFonts w:hint="eastAsia" w:ascii="Times New Roman" w:hAnsi="Times New Roman" w:cs="Times New Roman"/>
                <w:snapToGrid w:val="0"/>
                <w:color w:val="000000"/>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6"/>
              <w:spacing w:line="240" w:lineRule="auto"/>
              <w:rPr>
                <w:rFonts w:hint="default" w:ascii="Times New Roman" w:hAnsi="Times New Roman" w:cs="Times New Roman"/>
                <w:snapToGrid w:val="0"/>
                <w:color w:val="000000"/>
                <w:kern w:val="21"/>
                <w:szCs w:val="21"/>
              </w:rPr>
            </w:pPr>
          </w:p>
        </w:tc>
        <w:tc>
          <w:tcPr>
            <w:tcW w:w="1417"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NH</w:t>
            </w:r>
            <w:r>
              <w:rPr>
                <w:rFonts w:hint="eastAsia" w:ascii="Times New Roman" w:hAnsi="Times New Roman" w:cs="Times New Roman"/>
                <w:snapToGrid w:val="0"/>
                <w:color w:val="000000"/>
                <w:kern w:val="21"/>
                <w:szCs w:val="21"/>
                <w:vertAlign w:val="subscript"/>
                <w:lang w:val="en-US" w:eastAsia="zh-CN"/>
              </w:rPr>
              <w:t>3</w:t>
            </w:r>
            <w:r>
              <w:rPr>
                <w:rFonts w:hint="eastAsia" w:ascii="Times New Roman" w:hAnsi="Times New Roman" w:cs="Times New Roman"/>
                <w:snapToGrid w:val="0"/>
                <w:color w:val="000000"/>
                <w:kern w:val="21"/>
                <w:szCs w:val="21"/>
                <w:lang w:val="en-US" w:eastAsia="zh-CN"/>
              </w:rPr>
              <w:t>-N</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276"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559"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0.0</w:t>
            </w:r>
            <w:r>
              <w:rPr>
                <w:rFonts w:hint="eastAsia" w:ascii="Times New Roman" w:cs="Times New Roman"/>
                <w:snapToGrid w:val="0"/>
                <w:color w:val="000000"/>
                <w:kern w:val="21"/>
                <w:szCs w:val="21"/>
                <w:lang w:val="en-US" w:eastAsia="zh-CN"/>
              </w:rPr>
              <w:t>12</w:t>
            </w:r>
            <w:r>
              <w:rPr>
                <w:rFonts w:hint="eastAsia" w:ascii="Times New Roman" w:hAnsi="Times New Roman" w:cs="Times New Roman"/>
                <w:snapToGrid w:val="0"/>
                <w:color w:val="000000"/>
                <w:kern w:val="21"/>
                <w:szCs w:val="21"/>
                <w:lang w:val="en-US" w:eastAsia="zh-CN"/>
              </w:rPr>
              <w:t>t/a</w:t>
            </w:r>
          </w:p>
        </w:tc>
        <w:tc>
          <w:tcPr>
            <w:tcW w:w="176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43"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0.0</w:t>
            </w:r>
            <w:r>
              <w:rPr>
                <w:rFonts w:hint="eastAsia" w:ascii="Times New Roman" w:cs="Times New Roman"/>
                <w:snapToGrid w:val="0"/>
                <w:color w:val="000000"/>
                <w:kern w:val="21"/>
                <w:szCs w:val="21"/>
                <w:lang w:val="en-US" w:eastAsia="zh-CN"/>
              </w:rPr>
              <w:t>12</w:t>
            </w:r>
            <w:r>
              <w:rPr>
                <w:rFonts w:hint="eastAsia" w:ascii="Times New Roman" w:hAnsi="Times New Roman" w:cs="Times New Roman"/>
                <w:snapToGrid w:val="0"/>
                <w:color w:val="000000"/>
                <w:kern w:val="21"/>
                <w:szCs w:val="21"/>
                <w:lang w:val="en-US" w:eastAsia="zh-CN"/>
              </w:rPr>
              <w:t>t/a</w:t>
            </w:r>
          </w:p>
        </w:tc>
        <w:tc>
          <w:tcPr>
            <w:tcW w:w="1042"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+0.0</w:t>
            </w:r>
            <w:r>
              <w:rPr>
                <w:rFonts w:hint="eastAsia" w:ascii="Times New Roman" w:cs="Times New Roman"/>
                <w:snapToGrid w:val="0"/>
                <w:color w:val="000000"/>
                <w:kern w:val="21"/>
                <w:szCs w:val="21"/>
                <w:lang w:val="en-US" w:eastAsia="zh-CN"/>
              </w:rPr>
              <w:t>12</w:t>
            </w:r>
            <w:r>
              <w:rPr>
                <w:rFonts w:hint="eastAsia" w:ascii="Times New Roman" w:hAnsi="Times New Roman" w:cs="Times New Roman"/>
                <w:snapToGrid w:val="0"/>
                <w:color w:val="000000"/>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6"/>
              <w:spacing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一般工业</w:t>
            </w:r>
          </w:p>
          <w:p>
            <w:pPr>
              <w:pStyle w:val="46"/>
              <w:spacing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固体废物</w:t>
            </w:r>
          </w:p>
        </w:tc>
        <w:tc>
          <w:tcPr>
            <w:tcW w:w="1417"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生活垃圾</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276"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559"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1.25t/a</w:t>
            </w:r>
          </w:p>
        </w:tc>
        <w:tc>
          <w:tcPr>
            <w:tcW w:w="176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43"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1.25t/a</w:t>
            </w:r>
          </w:p>
        </w:tc>
        <w:tc>
          <w:tcPr>
            <w:tcW w:w="1042"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+1.25t/a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6"/>
              <w:spacing w:line="240" w:lineRule="auto"/>
              <w:rPr>
                <w:rFonts w:hint="default" w:ascii="Times New Roman" w:hAnsi="Times New Roman" w:cs="Times New Roman"/>
                <w:snapToGrid w:val="0"/>
                <w:color w:val="000000"/>
                <w:kern w:val="21"/>
                <w:szCs w:val="21"/>
              </w:rPr>
            </w:pPr>
          </w:p>
        </w:tc>
        <w:tc>
          <w:tcPr>
            <w:tcW w:w="1417"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污泥</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276"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559"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0.06</w:t>
            </w:r>
            <w:r>
              <w:rPr>
                <w:rFonts w:hint="eastAsia" w:ascii="Times New Roman" w:hAnsi="Times New Roman" w:cs="Times New Roman"/>
                <w:snapToGrid w:val="0"/>
                <w:color w:val="000000"/>
                <w:kern w:val="21"/>
                <w:szCs w:val="21"/>
                <w:lang w:val="en-US" w:eastAsia="zh-CN"/>
              </w:rPr>
              <w:t>t/a</w:t>
            </w:r>
          </w:p>
        </w:tc>
        <w:tc>
          <w:tcPr>
            <w:tcW w:w="176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43"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Cs w:val="21"/>
                <w:lang w:val="en-US" w:eastAsia="zh-CN"/>
              </w:rPr>
              <w:t>0.06</w:t>
            </w:r>
            <w:r>
              <w:rPr>
                <w:rFonts w:hint="eastAsia" w:ascii="Times New Roman" w:hAnsi="Times New Roman" w:cs="Times New Roman"/>
                <w:snapToGrid w:val="0"/>
                <w:color w:val="000000"/>
                <w:kern w:val="21"/>
                <w:szCs w:val="21"/>
                <w:lang w:val="en-US" w:eastAsia="zh-CN"/>
              </w:rPr>
              <w:t>t/a</w:t>
            </w:r>
          </w:p>
        </w:tc>
        <w:tc>
          <w:tcPr>
            <w:tcW w:w="1042" w:type="dxa"/>
            <w:vAlign w:val="center"/>
          </w:tcPr>
          <w:p>
            <w:pPr>
              <w:pStyle w:val="46"/>
              <w:spacing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w:t>
            </w:r>
            <w:r>
              <w:rPr>
                <w:rFonts w:hint="eastAsia" w:ascii="Times New Roman" w:cs="Times New Roman"/>
                <w:snapToGrid w:val="0"/>
                <w:color w:val="000000"/>
                <w:kern w:val="21"/>
                <w:szCs w:val="21"/>
                <w:lang w:val="en-US" w:eastAsia="zh-CN"/>
              </w:rPr>
              <w:t>0.06</w:t>
            </w:r>
            <w:r>
              <w:rPr>
                <w:rFonts w:hint="eastAsia" w:ascii="Times New Roman" w:hAnsi="Times New Roman" w:cs="Times New Roman"/>
                <w:snapToGrid w:val="0"/>
                <w:color w:val="000000"/>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46"/>
              <w:spacing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危险废物</w:t>
            </w:r>
          </w:p>
        </w:tc>
        <w:tc>
          <w:tcPr>
            <w:tcW w:w="1417"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276"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01"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559"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61" w:type="dxa"/>
            <w:vAlign w:val="center"/>
          </w:tcPr>
          <w:p>
            <w:pPr>
              <w:pStyle w:val="46"/>
              <w:spacing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43"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042" w:type="dxa"/>
            <w:vAlign w:val="center"/>
          </w:tcPr>
          <w:p>
            <w:pPr>
              <w:pStyle w:val="46"/>
              <w:spacing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r>
    </w:tbl>
    <w:p>
      <w:pPr>
        <w:pStyle w:val="46"/>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黑体"/>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5"/>
        <w:spacing w:line="360" w:lineRule="auto"/>
        <w:jc w:val="both"/>
        <w:outlineLvl w:val="0"/>
        <w:rPr>
          <w:rFonts w:hint="default" w:eastAsia="宋体"/>
          <w:b/>
          <w:bCs/>
          <w:spacing w:val="-6"/>
          <w:sz w:val="24"/>
          <w:lang w:val="en-US" w:eastAsia="zh-CN"/>
        </w:rPr>
      </w:pPr>
      <w:bookmarkStart w:id="16" w:name="_Toc1956"/>
      <w:r>
        <w:rPr>
          <w:rFonts w:hint="eastAsia" w:eastAsia="宋体"/>
          <w:b/>
          <w:bCs/>
          <w:spacing w:val="-6"/>
          <w:sz w:val="24"/>
          <w:lang w:val="en-US" w:eastAsia="zh-CN"/>
        </w:rPr>
        <w:t>附图1 七台河市环境管控单元分布图</w:t>
      </w:r>
      <w:bookmarkEnd w:id="16"/>
    </w:p>
    <w:p>
      <w:pPr>
        <w:jc w:val="center"/>
        <w:rPr>
          <w:rFonts w:hint="eastAsia" w:ascii="宋体" w:hAnsi="宋体" w:eastAsia="宋体" w:cs="宋体"/>
          <w:b w:val="0"/>
          <w:i w:val="0"/>
          <w:caps w:val="0"/>
          <w:color w:val="000000"/>
          <w:spacing w:val="0"/>
          <w:kern w:val="0"/>
          <w:sz w:val="27"/>
          <w:szCs w:val="27"/>
          <w:lang w:val="en-US" w:eastAsia="zh-CN"/>
        </w:rPr>
      </w:pPr>
      <w:r>
        <w:rPr>
          <w:color w:val="auto"/>
          <w:sz w:val="28"/>
        </w:rPr>
        <mc:AlternateContent>
          <mc:Choice Requires="wps">
            <w:drawing>
              <wp:anchor distT="0" distB="0" distL="0" distR="0" simplePos="0" relativeHeight="251659264" behindDoc="0" locked="0" layoutInCell="1" allowOverlap="1">
                <wp:simplePos x="0" y="0"/>
                <wp:positionH relativeFrom="column">
                  <wp:posOffset>2053590</wp:posOffset>
                </wp:positionH>
                <wp:positionV relativeFrom="paragraph">
                  <wp:posOffset>2248535</wp:posOffset>
                </wp:positionV>
                <wp:extent cx="847090" cy="374650"/>
                <wp:effectExtent l="4445" t="4445" r="5715" b="497205"/>
                <wp:wrapNone/>
                <wp:docPr id="1051" name="自选图形 27"/>
                <wp:cNvGraphicFramePr/>
                <a:graphic xmlns:a="http://schemas.openxmlformats.org/drawingml/2006/main">
                  <a:graphicData uri="http://schemas.microsoft.com/office/word/2010/wordprocessingShape">
                    <wps:wsp>
                      <wps:cNvSpPr/>
                      <wps:spPr>
                        <a:xfrm>
                          <a:off x="0" y="0"/>
                          <a:ext cx="847090" cy="374650"/>
                        </a:xfrm>
                        <a:prstGeom prst="wedgeRoundRectCallout">
                          <a:avLst>
                            <a:gd name="adj1" fmla="val 14606"/>
                            <a:gd name="adj2" fmla="val 172880"/>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项目位置</w:t>
                            </w:r>
                          </w:p>
                        </w:txbxContent>
                      </wps:txbx>
                      <wps:bodyPr wrap="square" upright="1"/>
                    </wps:wsp>
                  </a:graphicData>
                </a:graphic>
              </wp:anchor>
            </w:drawing>
          </mc:Choice>
          <mc:Fallback>
            <w:pict>
              <v:shape id="自选图形 27" o:spid="_x0000_s1026" o:spt="62" type="#_x0000_t62" style="position:absolute;left:0pt;margin-left:161.7pt;margin-top:177.05pt;height:29.5pt;width:66.7pt;z-index:251659264;mso-width-relative:page;mso-height-relative:page;" fillcolor="#FFFFFF" filled="t" stroked="t" coordsize="21600,21600" o:gfxdata="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UCu6fZAAAA&#10;CwEAAA8AAAAAAAAAAQAgAAAAIgAAAGRycy9kb3ducmV2LnhtbFBLAQIUABQAAAAIAIdO4kBNM0j+&#10;VQIAAMcEAAAOAAAAAAAAAAEAIAAAACgBAABkcnMvZTJvRG9jLnhtbFBLBQYAAAAABgAGAFkBAADv&#10;BQAAAAA=&#10;" adj="13955,48142,1440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项目位置</w:t>
                      </w:r>
                    </w:p>
                  </w:txbxContent>
                </v:textbox>
              </v:shape>
            </w:pict>
          </mc:Fallback>
        </mc:AlternateContent>
      </w:r>
      <w:r>
        <w:rPr>
          <w:rFonts w:hint="default" w:ascii="Times New Roman" w:hAnsi="Times New Roman" w:cs="Times New Roman"/>
          <w:color w:val="auto"/>
          <w:sz w:val="24"/>
        </w:rPr>
        <mc:AlternateContent>
          <mc:Choice Requires="wps">
            <w:drawing>
              <wp:anchor distT="0" distB="0" distL="0" distR="0" simplePos="0" relativeHeight="251659264" behindDoc="0" locked="0" layoutInCell="1" allowOverlap="1">
                <wp:simplePos x="0" y="0"/>
                <wp:positionH relativeFrom="column">
                  <wp:posOffset>2456815</wp:posOffset>
                </wp:positionH>
                <wp:positionV relativeFrom="paragraph">
                  <wp:posOffset>3114040</wp:posOffset>
                </wp:positionV>
                <wp:extent cx="98425" cy="88900"/>
                <wp:effectExtent l="15240" t="14605" r="19685" b="29845"/>
                <wp:wrapNone/>
                <wp:docPr id="1052" name="五角星 14"/>
                <wp:cNvGraphicFramePr/>
                <a:graphic xmlns:a="http://schemas.openxmlformats.org/drawingml/2006/main">
                  <a:graphicData uri="http://schemas.microsoft.com/office/word/2010/wordprocessingShape">
                    <wps:wsp>
                      <wps:cNvSpPr/>
                      <wps:spPr>
                        <a:xfrm>
                          <a:off x="0" y="0"/>
                          <a:ext cx="98425" cy="88900"/>
                        </a:xfrm>
                        <a:prstGeom prst="star5">
                          <a:avLst/>
                        </a:prstGeom>
                        <a:solidFill>
                          <a:srgbClr val="FF0000"/>
                        </a:solidFill>
                        <a:ln w="9525" cap="flat" cmpd="sng">
                          <a:solidFill>
                            <a:srgbClr val="000000"/>
                          </a:solidFill>
                          <a:prstDash val="solid"/>
                          <a:miter/>
                          <a:headEnd type="none" w="med" len="med"/>
                          <a:tailEnd type="none" w="med" len="med"/>
                        </a:ln>
                      </wps:spPr>
                      <wps:bodyPr/>
                    </wps:wsp>
                  </a:graphicData>
                </a:graphic>
              </wp:anchor>
            </w:drawing>
          </mc:Choice>
          <mc:Fallback>
            <w:pict>
              <v:shape id="五角星 14" o:spid="_x0000_s1026" style="position:absolute;left:0pt;margin-left:193.45pt;margin-top:245.2pt;height:7pt;width:7.75pt;z-index:251659264;mso-width-relative:page;mso-height-relative:page;" fillcolor="#FF0000" filled="t" stroked="t" coordsize="98425,88900" o:gfxdata="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mnqGvZAAAACwEAAA8AAAAAAAAAAQAgAAAAIgAAAGRycy9kb3ducmV2&#10;LnhtbFBLAQIUABQAAAAIAIdO4kDVcdKM+wEAABcEAAAOAAAAAAAAAAEAIAAAACgBAABkcnMvZTJv&#10;RG9jLnhtbFBLBQYAAAAABgAGAFkBAACVBQAAAAA=&#10;" path="m0,33956l37595,33956,49212,0,60829,33956,98424,33956,68009,54942,79627,88899,49212,67913,18797,88899,30415,54942xe">
                <v:path o:connectlocs="49212,0;0,33956;18797,88899;79627,88899;98424,33956" o:connectangles="247,164,82,82,0"/>
                <v:fill on="t" focussize="0,0"/>
                <v:stroke color="#000000" joinstyle="miter"/>
                <v:imagedata o:title=""/>
                <o:lock v:ext="edit" aspectratio="f"/>
              </v:shape>
            </w:pict>
          </mc:Fallback>
        </mc:AlternateContent>
      </w:r>
      <w:r>
        <w:rPr>
          <w:rFonts w:hint="eastAsia" w:ascii="宋体" w:hAnsi="宋体" w:eastAsia="宋体" w:cs="宋体"/>
          <w:b w:val="0"/>
          <w:i w:val="0"/>
          <w:caps w:val="0"/>
          <w:color w:val="000000"/>
          <w:spacing w:val="0"/>
          <w:kern w:val="0"/>
          <w:sz w:val="27"/>
          <w:szCs w:val="27"/>
          <w:lang w:val="en-US" w:eastAsia="zh-CN"/>
        </w:rPr>
        <w:drawing>
          <wp:inline distT="0" distB="0" distL="0" distR="0">
            <wp:extent cx="7426325" cy="5265420"/>
            <wp:effectExtent l="0" t="0" r="2540" b="11430"/>
            <wp:docPr id="1053" name="图片 28" descr="IMG_256"/>
            <wp:cNvGraphicFramePr/>
            <a:graphic xmlns:a="http://schemas.openxmlformats.org/drawingml/2006/main">
              <a:graphicData uri="http://schemas.openxmlformats.org/drawingml/2006/picture">
                <pic:pic xmlns:pic="http://schemas.openxmlformats.org/drawingml/2006/picture">
                  <pic:nvPicPr>
                    <pic:cNvPr id="1053" name="图片 28" descr="IMG_256"/>
                    <pic:cNvPicPr/>
                  </pic:nvPicPr>
                  <pic:blipFill>
                    <a:blip r:embed="rId34" cstate="print"/>
                    <a:srcRect/>
                    <a:stretch>
                      <a:fillRect/>
                    </a:stretch>
                  </pic:blipFill>
                  <pic:spPr>
                    <a:xfrm>
                      <a:off x="0" y="0"/>
                      <a:ext cx="7426325" cy="5265420"/>
                    </a:xfrm>
                    <a:prstGeom prst="rect">
                      <a:avLst/>
                    </a:prstGeom>
                    <a:ln>
                      <a:noFill/>
                    </a:ln>
                  </pic:spPr>
                </pic:pic>
              </a:graphicData>
            </a:graphic>
          </wp:inline>
        </w:drawing>
      </w:r>
    </w:p>
    <w:p>
      <w:pPr>
        <w:spacing w:line="360" w:lineRule="auto"/>
        <w:jc w:val="both"/>
        <w:outlineLvl w:val="0"/>
        <w:rPr>
          <w:rFonts w:hint="eastAsia" w:ascii="Times New Roman" w:hAnsi="Times New Roman" w:eastAsia="宋体" w:cs="宋体"/>
          <w:b/>
          <w:bCs/>
          <w:i w:val="0"/>
          <w:caps w:val="0"/>
          <w:color w:val="000000"/>
          <w:spacing w:val="0"/>
          <w:kern w:val="0"/>
          <w:sz w:val="24"/>
          <w:szCs w:val="27"/>
          <w:lang w:val="en-US" w:eastAsia="zh-CN"/>
        </w:rPr>
      </w:pPr>
      <w:r>
        <w:rPr>
          <w:rFonts w:hint="eastAsia" w:ascii="宋体" w:hAnsi="宋体" w:eastAsia="宋体" w:cs="宋体"/>
          <w:b w:val="0"/>
          <w:i w:val="0"/>
          <w:caps w:val="0"/>
          <w:color w:val="000000"/>
          <w:spacing w:val="0"/>
          <w:kern w:val="0"/>
          <w:sz w:val="27"/>
          <w:szCs w:val="27"/>
          <w:lang w:val="en-US" w:eastAsia="zh-CN"/>
        </w:rPr>
        <w:br w:type="page"/>
      </w:r>
      <w:bookmarkStart w:id="17" w:name="_Toc8595"/>
      <w:r>
        <w:rPr>
          <w:rFonts w:hint="eastAsia" w:ascii="Times New Roman" w:hAnsi="Times New Roman" w:eastAsia="宋体" w:cs="宋体"/>
          <w:b/>
          <w:bCs/>
          <w:i w:val="0"/>
          <w:caps w:val="0"/>
          <w:color w:val="000000"/>
          <w:spacing w:val="0"/>
          <w:kern w:val="0"/>
          <w:sz w:val="24"/>
          <w:szCs w:val="27"/>
          <w:lang w:val="en-US" w:eastAsia="zh-CN"/>
        </w:rPr>
        <w:t>附图2 项目</w:t>
      </w:r>
      <w:r>
        <w:rPr>
          <w:rFonts w:hint="eastAsia" w:ascii="Times New Roman" w:hAnsi="Times New Roman" w:cs="宋体"/>
          <w:b/>
          <w:bCs/>
          <w:i w:val="0"/>
          <w:caps w:val="0"/>
          <w:color w:val="000000"/>
          <w:spacing w:val="0"/>
          <w:kern w:val="0"/>
          <w:sz w:val="24"/>
          <w:szCs w:val="27"/>
          <w:lang w:val="en-US" w:eastAsia="zh-CN"/>
        </w:rPr>
        <w:t>平面布置</w:t>
      </w:r>
      <w:r>
        <w:rPr>
          <w:rFonts w:hint="eastAsia" w:ascii="Times New Roman" w:hAnsi="Times New Roman" w:eastAsia="宋体" w:cs="宋体"/>
          <w:b/>
          <w:bCs/>
          <w:i w:val="0"/>
          <w:caps w:val="0"/>
          <w:color w:val="000000"/>
          <w:spacing w:val="0"/>
          <w:kern w:val="0"/>
          <w:sz w:val="24"/>
          <w:szCs w:val="27"/>
          <w:lang w:val="en-US" w:eastAsia="zh-CN"/>
        </w:rPr>
        <w:t>图</w:t>
      </w:r>
      <w:bookmarkEnd w:id="17"/>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宋体"/>
          <w:b/>
          <w:bCs/>
          <w:i w:val="0"/>
          <w:caps w:val="0"/>
          <w:color w:val="000000"/>
          <w:spacing w:val="0"/>
          <w:kern w:val="0"/>
          <w:sz w:val="24"/>
          <w:szCs w:val="27"/>
          <w:lang w:val="en-US" w:eastAsia="zh-CN"/>
        </w:rPr>
      </w:pPr>
      <w:r>
        <w:rPr>
          <w:rFonts w:hint="eastAsia" w:ascii="Times New Roman" w:hAnsi="Times New Roman" w:eastAsia="宋体" w:cs="宋体"/>
          <w:b/>
          <w:bCs/>
          <w:i w:val="0"/>
          <w:caps w:val="0"/>
          <w:color w:val="000000"/>
          <w:spacing w:val="0"/>
          <w:kern w:val="0"/>
          <w:sz w:val="24"/>
          <w:szCs w:val="27"/>
          <w:lang w:val="en-US" w:eastAsia="zh-CN"/>
        </w:rPr>
        <w:drawing>
          <wp:inline distT="0" distB="0" distL="0" distR="0">
            <wp:extent cx="7469505" cy="5156200"/>
            <wp:effectExtent l="0" t="0" r="16510" b="6350"/>
            <wp:docPr id="1054" name="图片 3" descr="平面布置图"/>
            <wp:cNvGraphicFramePr/>
            <a:graphic xmlns:a="http://schemas.openxmlformats.org/drawingml/2006/main">
              <a:graphicData uri="http://schemas.openxmlformats.org/drawingml/2006/picture">
                <pic:pic xmlns:pic="http://schemas.openxmlformats.org/drawingml/2006/picture">
                  <pic:nvPicPr>
                    <pic:cNvPr id="1054" name="图片 3" descr="平面布置图"/>
                    <pic:cNvPicPr/>
                  </pic:nvPicPr>
                  <pic:blipFill>
                    <a:blip r:embed="rId35" cstate="print"/>
                    <a:srcRect/>
                    <a:stretch>
                      <a:fillRect/>
                    </a:stretch>
                  </pic:blipFill>
                  <pic:spPr>
                    <a:xfrm>
                      <a:off x="0" y="0"/>
                      <a:ext cx="7470139" cy="5156200"/>
                    </a:xfrm>
                    <a:prstGeom prst="rect">
                      <a:avLst/>
                    </a:prstGeom>
                  </pic:spPr>
                </pic:pic>
              </a:graphicData>
            </a:graphic>
          </wp:inline>
        </w:drawing>
      </w:r>
    </w:p>
    <w:p>
      <w:pPr>
        <w:spacing w:line="360" w:lineRule="auto"/>
        <w:jc w:val="both"/>
        <w:rPr>
          <w:rFonts w:hint="eastAsia" w:ascii="宋体" w:hAnsi="宋体" w:eastAsia="宋体" w:cs="宋体"/>
          <w:b w:val="0"/>
          <w:i w:val="0"/>
          <w:caps w:val="0"/>
          <w:color w:val="000000"/>
          <w:spacing w:val="0"/>
          <w:kern w:val="0"/>
          <w:sz w:val="27"/>
          <w:szCs w:val="27"/>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jc w:val="both"/>
        <w:outlineLvl w:val="0"/>
        <w:rPr>
          <w:rFonts w:hint="default" w:ascii="Times New Roman" w:hAnsi="Times New Roman" w:eastAsia="宋体" w:cs="宋体"/>
          <w:b/>
          <w:bCs/>
          <w:i w:val="0"/>
          <w:caps w:val="0"/>
          <w:color w:val="000000"/>
          <w:spacing w:val="0"/>
          <w:kern w:val="0"/>
          <w:sz w:val="24"/>
          <w:szCs w:val="27"/>
          <w:lang w:val="en-US" w:eastAsia="zh-CN"/>
        </w:rPr>
      </w:pPr>
      <w:bookmarkStart w:id="18" w:name="_Toc17540"/>
      <w:r>
        <w:rPr>
          <w:rFonts w:hint="eastAsia" w:ascii="Times New Roman" w:hAnsi="Times New Roman" w:eastAsia="宋体" w:cs="宋体"/>
          <w:b/>
          <w:bCs/>
          <w:i w:val="0"/>
          <w:caps w:val="0"/>
          <w:color w:val="000000"/>
          <w:spacing w:val="0"/>
          <w:kern w:val="0"/>
          <w:sz w:val="24"/>
          <w:szCs w:val="27"/>
          <w:lang w:val="en-US" w:eastAsia="zh-CN"/>
        </w:rPr>
        <w:t>附图</w:t>
      </w:r>
      <w:r>
        <w:rPr>
          <w:rFonts w:hint="eastAsia" w:cs="宋体"/>
          <w:b/>
          <w:bCs/>
          <w:i w:val="0"/>
          <w:caps w:val="0"/>
          <w:color w:val="000000"/>
          <w:spacing w:val="0"/>
          <w:kern w:val="0"/>
          <w:sz w:val="24"/>
          <w:szCs w:val="27"/>
          <w:lang w:val="en-US" w:eastAsia="zh-CN"/>
        </w:rPr>
        <w:t>3</w:t>
      </w:r>
      <w:r>
        <w:rPr>
          <w:rFonts w:hint="eastAsia" w:ascii="Times New Roman" w:hAnsi="Times New Roman" w:eastAsia="宋体" w:cs="宋体"/>
          <w:b/>
          <w:bCs/>
          <w:i w:val="0"/>
          <w:caps w:val="0"/>
          <w:color w:val="000000"/>
          <w:spacing w:val="0"/>
          <w:kern w:val="0"/>
          <w:sz w:val="24"/>
          <w:szCs w:val="27"/>
          <w:lang w:val="en-US" w:eastAsia="zh-CN"/>
        </w:rPr>
        <w:t xml:space="preserve"> </w:t>
      </w:r>
      <w:r>
        <w:rPr>
          <w:rFonts w:hint="eastAsia" w:cs="宋体"/>
          <w:b/>
          <w:bCs/>
          <w:i w:val="0"/>
          <w:caps w:val="0"/>
          <w:color w:val="000000"/>
          <w:spacing w:val="0"/>
          <w:kern w:val="0"/>
          <w:sz w:val="24"/>
          <w:szCs w:val="27"/>
          <w:lang w:val="en-US" w:eastAsia="zh-CN"/>
        </w:rPr>
        <w:t>七台河市声功能区划图</w:t>
      </w:r>
      <w:bookmarkEnd w:id="18"/>
    </w:p>
    <w:p>
      <w:pPr>
        <w:pStyle w:val="15"/>
        <w:jc w:val="center"/>
        <w:rPr>
          <w:rFonts w:hint="default"/>
          <w:lang w:val="en-US" w:eastAsia="zh-CN"/>
        </w:rPr>
      </w:pPr>
      <w:r>
        <w:rPr>
          <w:color w:val="auto"/>
          <w:sz w:val="28"/>
        </w:rPr>
        <mc:AlternateContent>
          <mc:Choice Requires="wps">
            <w:drawing>
              <wp:anchor distT="0" distB="0" distL="0" distR="0" simplePos="0" relativeHeight="251659264" behindDoc="0" locked="0" layoutInCell="1" allowOverlap="1">
                <wp:simplePos x="0" y="0"/>
                <wp:positionH relativeFrom="column">
                  <wp:posOffset>862965</wp:posOffset>
                </wp:positionH>
                <wp:positionV relativeFrom="paragraph">
                  <wp:posOffset>2210435</wp:posOffset>
                </wp:positionV>
                <wp:extent cx="847090" cy="374650"/>
                <wp:effectExtent l="4445" t="4445" r="5715" b="497205"/>
                <wp:wrapNone/>
                <wp:docPr id="1055" name="自选图形 27"/>
                <wp:cNvGraphicFramePr/>
                <a:graphic xmlns:a="http://schemas.openxmlformats.org/drawingml/2006/main">
                  <a:graphicData uri="http://schemas.microsoft.com/office/word/2010/wordprocessingShape">
                    <wps:wsp>
                      <wps:cNvSpPr/>
                      <wps:spPr>
                        <a:xfrm>
                          <a:off x="0" y="0"/>
                          <a:ext cx="847089" cy="374650"/>
                        </a:xfrm>
                        <a:prstGeom prst="wedgeRoundRectCallout">
                          <a:avLst>
                            <a:gd name="adj1" fmla="val 14606"/>
                            <a:gd name="adj2" fmla="val 172880"/>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项目位置</w:t>
                            </w:r>
                          </w:p>
                        </w:txbxContent>
                      </wps:txbx>
                      <wps:bodyPr wrap="square" upright="1"/>
                    </wps:wsp>
                  </a:graphicData>
                </a:graphic>
              </wp:anchor>
            </w:drawing>
          </mc:Choice>
          <mc:Fallback>
            <w:pict>
              <v:shape id="自选图形 27" o:spid="_x0000_s1026" o:spt="62" type="#_x0000_t62" style="position:absolute;left:0pt;margin-left:67.95pt;margin-top:174.05pt;height:29.5pt;width:66.7pt;z-index:251659264;mso-width-relative:page;mso-height-relative:page;" fillcolor="#FFFFFF" filled="t" stroked="t" coordsize="21600,21600" o:gfxdata="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LjJotoA&#10;AAALAQAADwAAAAAAAAABACAAAAAiAAAAZHJzL2Rvd25yZXYueG1sUEsBAhQAFAAAAAgAh07iQHTk&#10;pp5WAgAAxwQAAA4AAAAAAAAAAQAgAAAAKQEAAGRycy9lMm9Eb2MueG1sUEsFBgAAAAAGAAYAWQEA&#10;APEFAAAAAA==&#10;" adj="13955,48142,1440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项目位置</w:t>
                      </w:r>
                    </w:p>
                  </w:txbxContent>
                </v:textbox>
              </v:shape>
            </w:pict>
          </mc:Fallback>
        </mc:AlternateContent>
      </w:r>
      <w:r>
        <w:rPr>
          <w:rFonts w:hint="default" w:ascii="Times New Roman" w:hAnsi="Times New Roman" w:cs="Times New Roman"/>
          <w:color w:val="auto"/>
          <w:sz w:val="24"/>
        </w:rPr>
        <mc:AlternateContent>
          <mc:Choice Requires="wps">
            <w:drawing>
              <wp:anchor distT="0" distB="0" distL="0" distR="0" simplePos="0" relativeHeight="251659264" behindDoc="0" locked="0" layoutInCell="1" allowOverlap="1">
                <wp:simplePos x="0" y="0"/>
                <wp:positionH relativeFrom="column">
                  <wp:posOffset>1285240</wp:posOffset>
                </wp:positionH>
                <wp:positionV relativeFrom="paragraph">
                  <wp:posOffset>3085465</wp:posOffset>
                </wp:positionV>
                <wp:extent cx="98425" cy="88900"/>
                <wp:effectExtent l="15240" t="14605" r="19685" b="29845"/>
                <wp:wrapNone/>
                <wp:docPr id="1056" name="五角星 13"/>
                <wp:cNvGraphicFramePr/>
                <a:graphic xmlns:a="http://schemas.openxmlformats.org/drawingml/2006/main">
                  <a:graphicData uri="http://schemas.microsoft.com/office/word/2010/wordprocessingShape">
                    <wps:wsp>
                      <wps:cNvSpPr/>
                      <wps:spPr>
                        <a:xfrm>
                          <a:off x="0" y="0"/>
                          <a:ext cx="98425" cy="88900"/>
                        </a:xfrm>
                        <a:prstGeom prst="star5">
                          <a:avLst/>
                        </a:prstGeom>
                        <a:solidFill>
                          <a:srgbClr val="FF0000"/>
                        </a:solidFill>
                        <a:ln w="9525" cap="flat" cmpd="sng">
                          <a:solidFill>
                            <a:srgbClr val="000000"/>
                          </a:solidFill>
                          <a:prstDash val="solid"/>
                          <a:miter/>
                          <a:headEnd type="none" w="med" len="med"/>
                          <a:tailEnd type="none" w="med" len="med"/>
                        </a:ln>
                      </wps:spPr>
                      <wps:bodyPr/>
                    </wps:wsp>
                  </a:graphicData>
                </a:graphic>
              </wp:anchor>
            </w:drawing>
          </mc:Choice>
          <mc:Fallback>
            <w:pict>
              <v:shape id="五角星 13" o:spid="_x0000_s1026" style="position:absolute;left:0pt;margin-left:101.2pt;margin-top:242.95pt;height:7pt;width:7.75pt;z-index:251659264;mso-width-relative:page;mso-height-relative:page;" fillcolor="#FF0000" filled="t" stroked="t" coordsize="98425,88900" o:gfxdata="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LTxHdgAAAALAQAADwAAAAAAAAABACAAAAAiAAAAZHJzL2Rvd25yZXYu&#10;eG1sUEsBAhQAFAAAAAgAh07iQG3ivk/7AQAAFwQAAA4AAAAAAAAAAQAgAAAAJwEAAGRycy9lMm9E&#10;b2MueG1sUEsFBgAAAAAGAAYAWQEAAJQFAAAAAA==&#10;" path="m0,33956l37595,33956,49212,0,60829,33956,98424,33956,68009,54942,79627,88899,49212,67913,18797,88899,30415,54942xe">
                <v:path o:connectlocs="49212,0;0,33956;18797,88899;79627,88899;98424,33956" o:connectangles="247,164,82,82,0"/>
                <v:fill on="t" focussize="0,0"/>
                <v:stroke color="#000000" joinstyle="miter"/>
                <v:imagedata o:title=""/>
                <o:lock v:ext="edit" aspectratio="f"/>
              </v:shape>
            </w:pict>
          </mc:Fallback>
        </mc:AlternateContent>
      </w:r>
      <w:r>
        <w:rPr>
          <w:rFonts w:hint="default"/>
          <w:lang w:val="en-US" w:eastAsia="zh-CN"/>
        </w:rPr>
        <w:drawing>
          <wp:inline distT="0" distB="0" distL="0" distR="0">
            <wp:extent cx="8466455" cy="5189220"/>
            <wp:effectExtent l="0" t="0" r="10795" b="11430"/>
            <wp:docPr id="1057" name="图片 11" descr="七台河声功能区划"/>
            <wp:cNvGraphicFramePr/>
            <a:graphic xmlns:a="http://schemas.openxmlformats.org/drawingml/2006/main">
              <a:graphicData uri="http://schemas.openxmlformats.org/drawingml/2006/picture">
                <pic:pic xmlns:pic="http://schemas.openxmlformats.org/drawingml/2006/picture">
                  <pic:nvPicPr>
                    <pic:cNvPr id="1057" name="图片 11" descr="七台河声功能区划"/>
                    <pic:cNvPicPr/>
                  </pic:nvPicPr>
                  <pic:blipFill>
                    <a:blip r:embed="rId36" cstate="print"/>
                    <a:srcRect/>
                    <a:stretch>
                      <a:fillRect/>
                    </a:stretch>
                  </pic:blipFill>
                  <pic:spPr>
                    <a:xfrm>
                      <a:off x="0" y="0"/>
                      <a:ext cx="8466455" cy="5189220"/>
                    </a:xfrm>
                    <a:prstGeom prst="rect">
                      <a:avLst/>
                    </a:prstGeom>
                  </pic:spPr>
                </pic:pic>
              </a:graphicData>
            </a:graphic>
          </wp:inline>
        </w:drawing>
      </w:r>
    </w:p>
    <w:p>
      <w:pPr>
        <w:pStyle w:val="15"/>
        <w:spacing w:line="360" w:lineRule="auto"/>
        <w:jc w:val="both"/>
        <w:outlineLvl w:val="0"/>
        <w:rPr>
          <w:rFonts w:hint="default" w:eastAsia="宋体"/>
          <w:b/>
          <w:bCs/>
          <w:spacing w:val="-6"/>
          <w:sz w:val="24"/>
          <w:lang w:val="en-US" w:eastAsia="zh-CN"/>
        </w:rPr>
      </w:pPr>
      <w:r>
        <w:rPr>
          <w:rFonts w:hint="default"/>
          <w:lang w:val="en-US" w:eastAsia="zh-CN"/>
        </w:rPr>
        <w:br w:type="page"/>
      </w:r>
      <w:bookmarkStart w:id="19" w:name="_Toc25824"/>
      <w:r>
        <w:rPr>
          <w:rFonts w:hint="eastAsia" w:eastAsia="宋体"/>
          <w:b/>
          <w:bCs/>
          <w:spacing w:val="-6"/>
          <w:sz w:val="24"/>
          <w:lang w:val="en-US" w:eastAsia="zh-CN"/>
        </w:rPr>
        <w:t>附图4 项目位置图</w:t>
      </w:r>
      <w:bookmarkEnd w:id="19"/>
    </w:p>
    <w:p>
      <w:pPr>
        <w:pStyle w:val="15"/>
        <w:jc w:val="center"/>
        <w:rPr>
          <w:rFonts w:hint="default" w:eastAsia="宋体"/>
          <w:b/>
          <w:bCs/>
          <w:spacing w:val="-6"/>
          <w:sz w:val="24"/>
          <w:lang w:val="en-US" w:eastAsia="zh-CN"/>
        </w:rPr>
      </w:pPr>
      <w:r>
        <w:rPr>
          <w:color w:val="auto"/>
          <w:sz w:val="28"/>
        </w:rPr>
        <mc:AlternateContent>
          <mc:Choice Requires="wps">
            <w:drawing>
              <wp:anchor distT="0" distB="0" distL="0" distR="0" simplePos="0" relativeHeight="251659264" behindDoc="0" locked="0" layoutInCell="1" allowOverlap="1">
                <wp:simplePos x="0" y="0"/>
                <wp:positionH relativeFrom="column">
                  <wp:posOffset>4358640</wp:posOffset>
                </wp:positionH>
                <wp:positionV relativeFrom="paragraph">
                  <wp:posOffset>975360</wp:posOffset>
                </wp:positionV>
                <wp:extent cx="847090" cy="374650"/>
                <wp:effectExtent l="4445" t="4445" r="5715" b="497205"/>
                <wp:wrapNone/>
                <wp:docPr id="1058" name="自选图形 27"/>
                <wp:cNvGraphicFramePr/>
                <a:graphic xmlns:a="http://schemas.openxmlformats.org/drawingml/2006/main">
                  <a:graphicData uri="http://schemas.microsoft.com/office/word/2010/wordprocessingShape">
                    <wps:wsp>
                      <wps:cNvSpPr/>
                      <wps:spPr>
                        <a:xfrm>
                          <a:off x="0" y="0"/>
                          <a:ext cx="847090" cy="374650"/>
                        </a:xfrm>
                        <a:prstGeom prst="wedgeRoundRectCallout">
                          <a:avLst>
                            <a:gd name="adj1" fmla="val 14606"/>
                            <a:gd name="adj2" fmla="val 172880"/>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项目位置</w:t>
                            </w:r>
                          </w:p>
                        </w:txbxContent>
                      </wps:txbx>
                      <wps:bodyPr wrap="square" upright="1"/>
                    </wps:wsp>
                  </a:graphicData>
                </a:graphic>
              </wp:anchor>
            </w:drawing>
          </mc:Choice>
          <mc:Fallback>
            <w:pict>
              <v:shape id="自选图形 27" o:spid="_x0000_s1026" o:spt="62" type="#_x0000_t62" style="position:absolute;left:0pt;margin-left:343.2pt;margin-top:76.8pt;height:29.5pt;width:66.7pt;z-index:251659264;mso-width-relative:page;mso-height-relative:page;" fillcolor="#FFFFFF" filled="t" stroked="t" coordsize="21600,21600" o:gfxdata="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y+8I52QAA&#10;AAsBAAAPAAAAAAAAAAEAIAAAACIAAABkcnMvZG93bnJldi54bWxQSwECFAAUAAAACACHTuJAhTgI&#10;6lYCAADHBAAADgAAAAAAAAABACAAAAAoAQAAZHJzL2Uyb0RvYy54bWxQSwUGAAAAAAYABgBZAQAA&#10;8AUAAAAA&#10;" adj="13955,48142,1440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项目位置</w:t>
                      </w:r>
                    </w:p>
                  </w:txbxContent>
                </v:textbox>
              </v:shape>
            </w:pict>
          </mc:Fallback>
        </mc:AlternateContent>
      </w:r>
      <w:r>
        <w:rPr>
          <w:rFonts w:hint="default"/>
          <w:lang w:val="en-US" w:eastAsia="zh-CN"/>
        </w:rPr>
        <w:drawing>
          <wp:anchor distT="0" distB="0" distL="114300" distR="114300" simplePos="0" relativeHeight="251659264" behindDoc="0" locked="0" layoutInCell="1" allowOverlap="1">
            <wp:simplePos x="0" y="0"/>
            <wp:positionH relativeFrom="column">
              <wp:posOffset>7504430</wp:posOffset>
            </wp:positionH>
            <wp:positionV relativeFrom="paragraph">
              <wp:posOffset>287020</wp:posOffset>
            </wp:positionV>
            <wp:extent cx="676275" cy="581025"/>
            <wp:effectExtent l="0" t="0" r="9525" b="9525"/>
            <wp:wrapSquare wrapText="bothSides"/>
            <wp:docPr id="1059" name="图片 4" descr="图片1"/>
            <wp:cNvGraphicFramePr/>
            <a:graphic xmlns:a="http://schemas.openxmlformats.org/drawingml/2006/main">
              <a:graphicData uri="http://schemas.openxmlformats.org/drawingml/2006/picture">
                <pic:pic xmlns:pic="http://schemas.openxmlformats.org/drawingml/2006/picture">
                  <pic:nvPicPr>
                    <pic:cNvPr id="1059" name="图片 4" descr="图片1"/>
                    <pic:cNvPicPr/>
                  </pic:nvPicPr>
                  <pic:blipFill>
                    <a:blip r:embed="rId37" cstate="print"/>
                    <a:srcRect/>
                    <a:stretch>
                      <a:fillRect/>
                    </a:stretch>
                  </pic:blipFill>
                  <pic:spPr>
                    <a:xfrm>
                      <a:off x="0" y="0"/>
                      <a:ext cx="676275" cy="581025"/>
                    </a:xfrm>
                    <a:prstGeom prst="rect">
                      <a:avLst/>
                    </a:prstGeom>
                  </pic:spPr>
                </pic:pic>
              </a:graphicData>
            </a:graphic>
          </wp:anchor>
        </w:drawing>
      </w:r>
      <w:r>
        <w:rPr>
          <w:rFonts w:hint="default" w:eastAsia="宋体"/>
          <w:b/>
          <w:bCs/>
          <w:spacing w:val="-6"/>
          <w:sz w:val="24"/>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24875" cy="5048885"/>
            <wp:effectExtent l="0" t="0" r="9525" b="18415"/>
            <wp:wrapSquare wrapText="bothSides"/>
            <wp:docPr id="1060" name="图片 3" descr="位置图"/>
            <wp:cNvGraphicFramePr/>
            <a:graphic xmlns:a="http://schemas.openxmlformats.org/drawingml/2006/main">
              <a:graphicData uri="http://schemas.openxmlformats.org/drawingml/2006/picture">
                <pic:pic xmlns:pic="http://schemas.openxmlformats.org/drawingml/2006/picture">
                  <pic:nvPicPr>
                    <pic:cNvPr id="1060" name="图片 3" descr="位置图"/>
                    <pic:cNvPicPr/>
                  </pic:nvPicPr>
                  <pic:blipFill>
                    <a:blip r:embed="rId38" cstate="print"/>
                    <a:srcRect/>
                    <a:stretch>
                      <a:fillRect/>
                    </a:stretch>
                  </pic:blipFill>
                  <pic:spPr>
                    <a:xfrm>
                      <a:off x="0" y="0"/>
                      <a:ext cx="8524875" cy="5048885"/>
                    </a:xfrm>
                    <a:prstGeom prst="rect">
                      <a:avLst/>
                    </a:prstGeom>
                  </pic:spPr>
                </pic:pic>
              </a:graphicData>
            </a:graphic>
          </wp:anchor>
        </w:drawing>
      </w:r>
    </w:p>
    <w:p>
      <w:pPr>
        <w:bidi w:val="0"/>
        <w:spacing w:line="360" w:lineRule="auto"/>
        <w:outlineLvl w:val="0"/>
        <w:rPr>
          <w:rFonts w:hint="eastAsia"/>
          <w:b/>
          <w:bCs/>
          <w:spacing w:val="-6"/>
          <w:sz w:val="24"/>
          <w:highlight w:val="none"/>
          <w:lang w:val="en-US" w:eastAsia="zh-CN"/>
        </w:rPr>
      </w:pPr>
      <w:bookmarkStart w:id="20" w:name="_Toc5614"/>
      <w:r>
        <w:rPr>
          <w:rFonts w:hint="eastAsia" w:eastAsia="宋体"/>
          <w:b/>
          <w:bCs/>
          <w:spacing w:val="-6"/>
          <w:sz w:val="24"/>
          <w:highlight w:val="none"/>
          <w:lang w:val="en-US" w:eastAsia="zh-CN"/>
        </w:rPr>
        <w:t>附图</w:t>
      </w:r>
      <w:r>
        <w:rPr>
          <w:rFonts w:hint="eastAsia"/>
          <w:b/>
          <w:bCs/>
          <w:spacing w:val="-6"/>
          <w:sz w:val="24"/>
          <w:highlight w:val="none"/>
          <w:lang w:val="en-US" w:eastAsia="zh-CN"/>
        </w:rPr>
        <w:t>5</w:t>
      </w:r>
      <w:r>
        <w:rPr>
          <w:rFonts w:hint="eastAsia" w:eastAsia="宋体"/>
          <w:b/>
          <w:bCs/>
          <w:spacing w:val="-6"/>
          <w:sz w:val="24"/>
          <w:highlight w:val="none"/>
          <w:lang w:val="en-US" w:eastAsia="zh-CN"/>
        </w:rPr>
        <w:t xml:space="preserve"> </w:t>
      </w:r>
      <w:r>
        <w:rPr>
          <w:rFonts w:hint="eastAsia"/>
          <w:b/>
          <w:bCs/>
          <w:spacing w:val="-6"/>
          <w:sz w:val="24"/>
          <w:highlight w:val="none"/>
          <w:lang w:val="en-US" w:eastAsia="zh-CN"/>
        </w:rPr>
        <w:t>环境保护目标分布</w:t>
      </w:r>
      <w:bookmarkEnd w:id="20"/>
    </w:p>
    <w:p>
      <w:pPr>
        <w:bidi w:val="0"/>
        <w:spacing w:line="360" w:lineRule="auto"/>
        <w:jc w:val="center"/>
        <w:rPr>
          <w:rFonts w:hint="default"/>
          <w:b/>
          <w:bCs/>
          <w:spacing w:val="-6"/>
          <w:sz w:val="24"/>
          <w:lang w:val="en-US" w:eastAsia="zh-CN"/>
        </w:rPr>
      </w:pPr>
      <w:r>
        <w:rPr>
          <w:sz w:val="21"/>
        </w:rPr>
        <mc:AlternateContent>
          <mc:Choice Requires="wps">
            <w:drawing>
              <wp:anchor distT="0" distB="0" distL="0" distR="0" simplePos="0" relativeHeight="251659264" behindDoc="0" locked="0" layoutInCell="1" allowOverlap="1">
                <wp:simplePos x="0" y="0"/>
                <wp:positionH relativeFrom="column">
                  <wp:posOffset>6976110</wp:posOffset>
                </wp:positionH>
                <wp:positionV relativeFrom="paragraph">
                  <wp:posOffset>3810635</wp:posOffset>
                </wp:positionV>
                <wp:extent cx="1524000" cy="1219200"/>
                <wp:effectExtent l="4445" t="4445" r="14605" b="14605"/>
                <wp:wrapNone/>
                <wp:docPr id="1061" name="文本框 17"/>
                <wp:cNvGraphicFramePr/>
                <a:graphic xmlns:a="http://schemas.openxmlformats.org/drawingml/2006/main">
                  <a:graphicData uri="http://schemas.microsoft.com/office/word/2010/wordprocessingShape">
                    <wps:wsp>
                      <wps:cNvSpPr/>
                      <wps:spPr>
                        <a:xfrm>
                          <a:off x="0" y="0"/>
                          <a:ext cx="1524000" cy="1219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auto"/>
                              <w:jc w:val="center"/>
                              <w:rPr>
                                <w:rFonts w:hint="eastAsia" w:eastAsia="宋体"/>
                                <w:lang w:val="en-US" w:eastAsia="zh-CN"/>
                              </w:rPr>
                            </w:pPr>
                            <w:r>
                              <w:rPr>
                                <w:rFonts w:hint="eastAsia"/>
                                <w:lang w:val="en-US" w:eastAsia="zh-CN"/>
                              </w:rPr>
                              <w:t>图 例</w:t>
                            </w:r>
                          </w:p>
                          <w:p>
                            <w:pPr>
                              <w:rPr>
                                <w:rFonts w:hint="eastAsia"/>
                                <w:lang w:val="en-US" w:eastAsia="zh-CN"/>
                              </w:rPr>
                            </w:pPr>
                            <w:r>
                              <w:rPr>
                                <w:rFonts w:hint="eastAsia"/>
                                <w:lang w:val="en-US" w:eastAsia="zh-CN"/>
                              </w:rPr>
                              <w:t xml:space="preserve">      项目厂址</w:t>
                            </w:r>
                          </w:p>
                          <w:p>
                            <w:pPr>
                              <w:rPr>
                                <w:rFonts w:hint="default"/>
                                <w:lang w:val="en-US" w:eastAsia="zh-CN"/>
                              </w:rPr>
                            </w:pPr>
                          </w:p>
                          <w:p>
                            <w:pPr>
                              <w:rPr>
                                <w:rFonts w:hint="eastAsia"/>
                                <w:lang w:val="en-US" w:eastAsia="zh-CN"/>
                              </w:rPr>
                            </w:pPr>
                            <w:r>
                              <w:rPr>
                                <w:rFonts w:hint="eastAsia"/>
                                <w:lang w:val="en-US" w:eastAsia="zh-CN"/>
                              </w:rPr>
                              <w:t xml:space="preserve">      声保护范围</w:t>
                            </w:r>
                          </w:p>
                          <w:p>
                            <w:pPr>
                              <w:rPr>
                                <w:rFonts w:hint="eastAsia"/>
                                <w:lang w:val="en-US" w:eastAsia="zh-CN"/>
                              </w:rPr>
                            </w:pPr>
                          </w:p>
                          <w:p>
                            <w:pPr>
                              <w:rPr>
                                <w:rFonts w:hint="default"/>
                                <w:lang w:val="en-US" w:eastAsia="zh-CN"/>
                              </w:rPr>
                            </w:pPr>
                            <w:r>
                              <w:rPr>
                                <w:rFonts w:hint="eastAsia"/>
                                <w:lang w:val="en-US" w:eastAsia="zh-CN"/>
                              </w:rPr>
                              <w:t xml:space="preserve">      大气保护范围</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549.3pt;margin-top:300.05pt;height:96pt;width:120pt;z-index:251659264;mso-width-relative:page;mso-height-relative:page;" fillcolor="#FFFFFF" filled="t" stroked="t" coordsize="21600,21600" o:gfxdata="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CkOpdkAAAANAQAADwAAAAAAAAABACAAAAAiAAAAZHJz&#10;L2Rvd25yZXYueG1sUEsBAhQAFAAAAAgAh07iQEGva9s8AgAAmAQAAA4AAAAAAAAAAQAgAAAAKAEA&#10;AGRycy9lMm9Eb2MueG1sUEsFBgAAAAAGAAYAWQEAANYFAAAAAA==&#10;">
                <v:fill on="t" focussize="0,0"/>
                <v:stroke weight="0.5pt" color="#000000" joinstyle="round"/>
                <v:imagedata o:title=""/>
                <o:lock v:ext="edit" aspectratio="f"/>
                <v:textbox>
                  <w:txbxContent>
                    <w:p>
                      <w:pPr>
                        <w:spacing w:line="360" w:lineRule="auto"/>
                        <w:jc w:val="center"/>
                        <w:rPr>
                          <w:rFonts w:hint="eastAsia" w:eastAsia="宋体"/>
                          <w:lang w:val="en-US" w:eastAsia="zh-CN"/>
                        </w:rPr>
                      </w:pPr>
                      <w:r>
                        <w:rPr>
                          <w:rFonts w:hint="eastAsia"/>
                          <w:lang w:val="en-US" w:eastAsia="zh-CN"/>
                        </w:rPr>
                        <w:t>图 例</w:t>
                      </w:r>
                    </w:p>
                    <w:p>
                      <w:pPr>
                        <w:rPr>
                          <w:rFonts w:hint="eastAsia"/>
                          <w:lang w:val="en-US" w:eastAsia="zh-CN"/>
                        </w:rPr>
                      </w:pPr>
                      <w:r>
                        <w:rPr>
                          <w:rFonts w:hint="eastAsia"/>
                          <w:lang w:val="en-US" w:eastAsia="zh-CN"/>
                        </w:rPr>
                        <w:t xml:space="preserve">      项目厂址</w:t>
                      </w:r>
                    </w:p>
                    <w:p>
                      <w:pPr>
                        <w:rPr>
                          <w:rFonts w:hint="default"/>
                          <w:lang w:val="en-US" w:eastAsia="zh-CN"/>
                        </w:rPr>
                      </w:pPr>
                    </w:p>
                    <w:p>
                      <w:pPr>
                        <w:rPr>
                          <w:rFonts w:hint="eastAsia"/>
                          <w:lang w:val="en-US" w:eastAsia="zh-CN"/>
                        </w:rPr>
                      </w:pPr>
                      <w:r>
                        <w:rPr>
                          <w:rFonts w:hint="eastAsia"/>
                          <w:lang w:val="en-US" w:eastAsia="zh-CN"/>
                        </w:rPr>
                        <w:t xml:space="preserve">      声保护范围</w:t>
                      </w:r>
                    </w:p>
                    <w:p>
                      <w:pPr>
                        <w:rPr>
                          <w:rFonts w:hint="eastAsia"/>
                          <w:lang w:val="en-US" w:eastAsia="zh-CN"/>
                        </w:rPr>
                      </w:pPr>
                    </w:p>
                    <w:p>
                      <w:pPr>
                        <w:rPr>
                          <w:rFonts w:hint="default"/>
                          <w:lang w:val="en-US" w:eastAsia="zh-CN"/>
                        </w:rPr>
                      </w:pPr>
                      <w:r>
                        <w:rPr>
                          <w:rFonts w:hint="eastAsia"/>
                          <w:lang w:val="en-US" w:eastAsia="zh-CN"/>
                        </w:rPr>
                        <w:t xml:space="preserve">      大气保护范围</w:t>
                      </w:r>
                    </w:p>
                  </w:txbxContent>
                </v:textbox>
              </v:rect>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7071360</wp:posOffset>
                </wp:positionH>
                <wp:positionV relativeFrom="paragraph">
                  <wp:posOffset>4465955</wp:posOffset>
                </wp:positionV>
                <wp:extent cx="285750" cy="142875"/>
                <wp:effectExtent l="12700" t="12700" r="25400" b="15875"/>
                <wp:wrapNone/>
                <wp:docPr id="1062" name="矩形 20"/>
                <wp:cNvGraphicFramePr/>
                <a:graphic xmlns:a="http://schemas.openxmlformats.org/drawingml/2006/main">
                  <a:graphicData uri="http://schemas.microsoft.com/office/word/2010/wordprocessingShape">
                    <wps:wsp>
                      <wps:cNvSpPr/>
                      <wps:spPr>
                        <a:xfrm>
                          <a:off x="0" y="0"/>
                          <a:ext cx="285750" cy="142875"/>
                        </a:xfrm>
                        <a:prstGeom prst="rect">
                          <a:avLst/>
                        </a:prstGeom>
                        <a:solidFill>
                          <a:srgbClr val="FFFFFF"/>
                        </a:solidFill>
                        <a:ln w="25400" cap="flat" cmpd="sng">
                          <a:solidFill>
                            <a:srgbClr val="FFFF00"/>
                          </a:solidFill>
                          <a:prstDash val="solid"/>
                          <a:round/>
                          <a:headEnd type="none" w="med" len="med"/>
                          <a:tailEnd type="none" w="med" len="med"/>
                        </a:ln>
                      </wps:spPr>
                      <wps:bodyPr/>
                    </wps:wsp>
                  </a:graphicData>
                </a:graphic>
              </wp:anchor>
            </w:drawing>
          </mc:Choice>
          <mc:Fallback>
            <w:pict>
              <v:rect id="矩形 20" o:spid="_x0000_s1026" o:spt="1" style="position:absolute;left:0pt;margin-left:556.8pt;margin-top:351.65pt;height:11.25pt;width:22.5pt;z-index:251659264;mso-width-relative:page;mso-height-relative:page;" fillcolor="#FFFFFF" filled="t" stroked="t" coordsize="21600,21600" o:gfxdata="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MkFD2wAAAA0BAAAPAAAAAAAAAAEAIAAAACIAAABkcnMvZG93bnJldi54bWxQ&#10;SwECFAAUAAAACACHTuJAZGEpYPQBAAAWBAAADgAAAAAAAAABACAAAAAqAQAAZHJzL2Uyb0RvYy54&#10;bWxQSwUGAAAAAAYABgBZAQAAkAUAAAAA&#10;">
                <v:fill on="t" focussize="0,0"/>
                <v:stroke weight="2pt" color="#FFFF00" joinstyle="round"/>
                <v:imagedata o:title=""/>
                <o:lock v:ext="edit" aspectratio="f"/>
              </v:rect>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7080250</wp:posOffset>
                </wp:positionH>
                <wp:positionV relativeFrom="paragraph">
                  <wp:posOffset>4780915</wp:posOffset>
                </wp:positionV>
                <wp:extent cx="285750" cy="142875"/>
                <wp:effectExtent l="12700" t="12700" r="25400" b="15875"/>
                <wp:wrapNone/>
                <wp:docPr id="1063" name="矩形 21"/>
                <wp:cNvGraphicFramePr/>
                <a:graphic xmlns:a="http://schemas.openxmlformats.org/drawingml/2006/main">
                  <a:graphicData uri="http://schemas.microsoft.com/office/word/2010/wordprocessingShape">
                    <wps:wsp>
                      <wps:cNvSpPr/>
                      <wps:spPr>
                        <a:xfrm>
                          <a:off x="0" y="0"/>
                          <a:ext cx="285750" cy="142875"/>
                        </a:xfrm>
                        <a:prstGeom prst="rect">
                          <a:avLst/>
                        </a:prstGeom>
                        <a:solidFill>
                          <a:srgbClr val="FFFFFF"/>
                        </a:solidFill>
                        <a:ln w="25400" cap="flat" cmpd="sng">
                          <a:solidFill>
                            <a:srgbClr val="0070C0"/>
                          </a:solidFill>
                          <a:prstDash val="solid"/>
                          <a:round/>
                          <a:headEnd type="none" w="med" len="med"/>
                          <a:tailEnd type="none" w="med" len="med"/>
                        </a:ln>
                      </wps:spPr>
                      <wps:bodyPr/>
                    </wps:wsp>
                  </a:graphicData>
                </a:graphic>
              </wp:anchor>
            </w:drawing>
          </mc:Choice>
          <mc:Fallback>
            <w:pict>
              <v:rect id="矩形 21" o:spid="_x0000_s1026" o:spt="1" style="position:absolute;left:0pt;margin-left:557.5pt;margin-top:376.45pt;height:11.25pt;width:22.5pt;z-index:251659264;mso-width-relative:page;mso-height-relative:page;" fillcolor="#FFFFFF" filled="t" stroked="t" coordsize="21600,21600" o:gfxdata="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e9+wtkAAAANAQAADwAAAAAAAAABACAAAAAiAAAAZHJzL2Rvd25yZXYu&#10;eG1sUEsBAhQAFAAAAAgAh07iQKNVLw/6AQAAFgQAAA4AAAAAAAAAAQAgAAAAKAEAAGRycy9lMm9E&#10;b2MueG1sUEsFBgAAAAAGAAYAWQEAAJQFAAAAAA==&#10;">
                <v:fill on="t" focussize="0,0"/>
                <v:stroke weight="2pt" color="#0070C0" joinstyle="round"/>
                <v:imagedata o:title=""/>
                <o:lock v:ext="edit" aspectratio="f"/>
              </v:rect>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7080250</wp:posOffset>
                </wp:positionH>
                <wp:positionV relativeFrom="paragraph">
                  <wp:posOffset>4132580</wp:posOffset>
                </wp:positionV>
                <wp:extent cx="285750" cy="142875"/>
                <wp:effectExtent l="12700" t="12700" r="25400" b="15875"/>
                <wp:wrapNone/>
                <wp:docPr id="1064" name="矩形 18"/>
                <wp:cNvGraphicFramePr/>
                <a:graphic xmlns:a="http://schemas.openxmlformats.org/drawingml/2006/main">
                  <a:graphicData uri="http://schemas.microsoft.com/office/word/2010/wordprocessingShape">
                    <wps:wsp>
                      <wps:cNvSpPr/>
                      <wps:spPr>
                        <a:xfrm>
                          <a:off x="0" y="0"/>
                          <a:ext cx="285750" cy="142875"/>
                        </a:xfrm>
                        <a:prstGeom prst="rect">
                          <a:avLst/>
                        </a:prstGeom>
                        <a:solidFill>
                          <a:srgbClr val="FFFFFF"/>
                        </a:solidFill>
                        <a:ln w="25400" cap="flat" cmpd="sng">
                          <a:solidFill>
                            <a:srgbClr val="D99594"/>
                          </a:solidFill>
                          <a:prstDash val="solid"/>
                          <a:round/>
                          <a:headEnd type="none" w="med" len="med"/>
                          <a:tailEnd type="none" w="med" len="med"/>
                        </a:ln>
                      </wps:spPr>
                      <wps:bodyPr/>
                    </wps:wsp>
                  </a:graphicData>
                </a:graphic>
              </wp:anchor>
            </w:drawing>
          </mc:Choice>
          <mc:Fallback>
            <w:pict>
              <v:rect id="矩形 18" o:spid="_x0000_s1026" o:spt="1" style="position:absolute;left:0pt;margin-left:557.5pt;margin-top:325.4pt;height:11.25pt;width:22.5pt;z-index:251659264;mso-width-relative:page;mso-height-relative:page;" fillcolor="#FFFFFF" filled="t" stroked="t" coordsize="21600,21600" o:gfxdata="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GZn3C2gAAAA0BAAAPAAAAAAAAAAEAIAAAACIAAABkcnMvZG93bnJldi54&#10;bWxQSwECFAAUAAAACACHTuJAQtuMYvgBAAAWBAAADgAAAAAAAAABACAAAAApAQAAZHJzL2Uyb0Rv&#10;Yy54bWxQSwUGAAAAAAYABgBZAQAAkwUAAAAA&#10;">
                <v:fill on="t" focussize="0,0"/>
                <v:stroke weight="2pt" color="#D99594" joinstyle="round"/>
                <v:imagedata o:title=""/>
                <o:lock v:ext="edit" aspectratio="f"/>
              </v:rect>
            </w:pict>
          </mc:Fallback>
        </mc:AlternateContent>
      </w:r>
      <w:r>
        <w:rPr>
          <w:rFonts w:hint="default"/>
          <w:lang w:val="en-US" w:eastAsia="zh-CN"/>
        </w:rPr>
        <w:drawing>
          <wp:anchor distT="0" distB="0" distL="114300" distR="114300" simplePos="0" relativeHeight="251659264" behindDoc="0" locked="0" layoutInCell="1" allowOverlap="1">
            <wp:simplePos x="0" y="0"/>
            <wp:positionH relativeFrom="column">
              <wp:posOffset>7504430</wp:posOffset>
            </wp:positionH>
            <wp:positionV relativeFrom="paragraph">
              <wp:posOffset>287020</wp:posOffset>
            </wp:positionV>
            <wp:extent cx="676275" cy="581025"/>
            <wp:effectExtent l="0" t="0" r="9525" b="9525"/>
            <wp:wrapSquare wrapText="bothSides"/>
            <wp:docPr id="1065" name="图片 16" descr="图片1"/>
            <wp:cNvGraphicFramePr/>
            <a:graphic xmlns:a="http://schemas.openxmlformats.org/drawingml/2006/main">
              <a:graphicData uri="http://schemas.openxmlformats.org/drawingml/2006/picture">
                <pic:pic xmlns:pic="http://schemas.openxmlformats.org/drawingml/2006/picture">
                  <pic:nvPicPr>
                    <pic:cNvPr id="1065" name="图片 16" descr="图片1"/>
                    <pic:cNvPicPr/>
                  </pic:nvPicPr>
                  <pic:blipFill>
                    <a:blip r:embed="rId37" cstate="print"/>
                    <a:srcRect/>
                    <a:stretch>
                      <a:fillRect/>
                    </a:stretch>
                  </pic:blipFill>
                  <pic:spPr>
                    <a:xfrm>
                      <a:off x="0" y="0"/>
                      <a:ext cx="676275" cy="581025"/>
                    </a:xfrm>
                    <a:prstGeom prst="rect">
                      <a:avLst/>
                    </a:prstGeom>
                  </pic:spPr>
                </pic:pic>
              </a:graphicData>
            </a:graphic>
          </wp:anchor>
        </w:drawing>
      </w:r>
      <w:r>
        <w:rPr>
          <w:rFonts w:hint="default"/>
          <w:b/>
          <w:bCs/>
          <w:spacing w:val="-6"/>
          <w:sz w:val="24"/>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24875" cy="5029200"/>
            <wp:effectExtent l="0" t="0" r="9525" b="0"/>
            <wp:wrapSquare wrapText="bothSides"/>
            <wp:docPr id="1066" name="图片 10" descr="环境保护目标分布图"/>
            <wp:cNvGraphicFramePr/>
            <a:graphic xmlns:a="http://schemas.openxmlformats.org/drawingml/2006/main">
              <a:graphicData uri="http://schemas.openxmlformats.org/drawingml/2006/picture">
                <pic:pic xmlns:pic="http://schemas.openxmlformats.org/drawingml/2006/picture">
                  <pic:nvPicPr>
                    <pic:cNvPr id="1066" name="图片 10" descr="环境保护目标分布图"/>
                    <pic:cNvPicPr/>
                  </pic:nvPicPr>
                  <pic:blipFill>
                    <a:blip r:embed="rId39" cstate="print"/>
                    <a:srcRect/>
                    <a:stretch>
                      <a:fillRect/>
                    </a:stretch>
                  </pic:blipFill>
                  <pic:spPr>
                    <a:xfrm>
                      <a:off x="0" y="0"/>
                      <a:ext cx="8524875" cy="5029200"/>
                    </a:xfrm>
                    <a:prstGeom prst="rect">
                      <a:avLst/>
                    </a:prstGeom>
                  </pic:spPr>
                </pic:pic>
              </a:graphicData>
            </a:graphic>
          </wp:anchor>
        </w:drawing>
      </w:r>
    </w:p>
    <w:p>
      <w:pPr>
        <w:bidi w:val="0"/>
        <w:jc w:val="center"/>
        <w:rPr>
          <w:rFonts w:hint="default"/>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bidi w:val="0"/>
        <w:jc w:val="both"/>
        <w:outlineLvl w:val="0"/>
        <w:rPr>
          <w:rFonts w:hint="eastAsia"/>
          <w:b/>
          <w:bCs/>
          <w:sz w:val="24"/>
          <w:lang w:val="en-US" w:eastAsia="zh-CN"/>
        </w:rPr>
      </w:pPr>
      <w:bookmarkStart w:id="21" w:name="_Toc850"/>
      <w:r>
        <w:rPr>
          <w:rFonts w:hint="eastAsia"/>
          <w:b/>
          <w:bCs/>
          <w:sz w:val="24"/>
          <w:lang w:val="en-US" w:eastAsia="zh-CN"/>
        </w:rPr>
        <w:t>附图6 现状监测点位置</w:t>
      </w:r>
      <w:bookmarkEnd w:id="21"/>
    </w:p>
    <w:p>
      <w:pPr>
        <w:bidi w:val="0"/>
        <w:jc w:val="both"/>
        <w:rPr>
          <w:rFonts w:hint="default"/>
          <w:b/>
          <w:bCs/>
          <w:sz w:val="24"/>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7034530</wp:posOffset>
                </wp:positionH>
                <wp:positionV relativeFrom="paragraph">
                  <wp:posOffset>4044950</wp:posOffset>
                </wp:positionV>
                <wp:extent cx="1361440" cy="932815"/>
                <wp:effectExtent l="5080" t="4445" r="5080" b="15240"/>
                <wp:wrapSquare wrapText="bothSides"/>
                <wp:docPr id="1067" name="文本框 25"/>
                <wp:cNvGraphicFramePr/>
                <a:graphic xmlns:a="http://schemas.openxmlformats.org/drawingml/2006/main">
                  <a:graphicData uri="http://schemas.microsoft.com/office/word/2010/wordprocessingShape">
                    <wps:wsp>
                      <wps:cNvSpPr/>
                      <wps:spPr>
                        <a:xfrm>
                          <a:off x="0" y="0"/>
                          <a:ext cx="1361440" cy="9328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auto"/>
                              <w:jc w:val="center"/>
                              <w:rPr>
                                <w:rFonts w:hint="eastAsia"/>
                                <w:lang w:val="en-US" w:eastAsia="zh-CN"/>
                              </w:rPr>
                            </w:pPr>
                            <w:r>
                              <w:rPr>
                                <w:rFonts w:hint="eastAsia"/>
                                <w:lang w:val="en-US" w:eastAsia="zh-CN"/>
                              </w:rPr>
                              <w:t>图 例</w:t>
                            </w:r>
                          </w:p>
                          <w:p>
                            <w:pPr>
                              <w:spacing w:line="240" w:lineRule="auto"/>
                              <w:jc w:val="both"/>
                              <w:rPr>
                                <w:rFonts w:hint="eastAsia"/>
                                <w:lang w:val="en-US" w:eastAsia="zh-CN"/>
                              </w:rPr>
                            </w:pPr>
                            <w:r>
                              <w:rPr>
                                <w:rFonts w:hint="eastAsia"/>
                                <w:lang w:val="en-US" w:eastAsia="zh-CN"/>
                              </w:rPr>
                              <w:t>厂界：</w:t>
                            </w:r>
                          </w:p>
                          <w:p>
                            <w:pPr>
                              <w:spacing w:line="240" w:lineRule="auto"/>
                              <w:jc w:val="both"/>
                              <w:rPr>
                                <w:rFonts w:hint="eastAsia"/>
                                <w:lang w:val="en-US" w:eastAsia="zh-CN"/>
                              </w:rPr>
                            </w:pPr>
                            <w:r>
                              <w:rPr>
                                <w:rFonts w:hint="eastAsia"/>
                                <w:lang w:val="en-US" w:eastAsia="zh-CN"/>
                              </w:rPr>
                              <w:t>厂址：</w:t>
                            </w:r>
                          </w:p>
                          <w:p>
                            <w:pPr>
                              <w:spacing w:line="240" w:lineRule="auto"/>
                              <w:jc w:val="both"/>
                              <w:rPr>
                                <w:rFonts w:hint="default"/>
                                <w:lang w:val="en-US" w:eastAsia="zh-CN"/>
                              </w:rPr>
                            </w:pPr>
                            <w:r>
                              <w:rPr>
                                <w:rFonts w:hint="eastAsia"/>
                                <w:lang w:val="en-US" w:eastAsia="zh-CN"/>
                              </w:rPr>
                              <w:t>监测点位：</w:t>
                            </w:r>
                          </w:p>
                        </w:txbxContent>
                      </wps:txbx>
                      <wps:bodyPr vert="horz" wrap="square" lIns="91440" tIns="45720" rIns="91440" bIns="45720" anchor="t">
                        <a:noAutofit/>
                      </wps:bodyPr>
                    </wps:wsp>
                  </a:graphicData>
                </a:graphic>
              </wp:anchor>
            </w:drawing>
          </mc:Choice>
          <mc:Fallback>
            <w:pict>
              <v:rect id="文本框 25" o:spid="_x0000_s1026" o:spt="1" style="position:absolute;left:0pt;margin-left:553.9pt;margin-top:318.5pt;height:73.45pt;width:107.2pt;mso-wrap-distance-bottom:0pt;mso-wrap-distance-left:9pt;mso-wrap-distance-right:9pt;mso-wrap-distance-top:0pt;z-index:251659264;mso-width-relative:page;mso-height-relative:page;" fillcolor="#FFFFFF" filled="t" stroked="t" coordsize="21600,21600" o:gfxdata="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HQqTs2gAAAA0BAAAPAAAAAAAAAAEAIAAAACIAAABkcnMv&#10;ZG93bnJldi54bWxQSwECFAAUAAAACACHTuJAHhKQkDoCAACXBAAADgAAAAAAAAABACAAAAApAQAA&#10;ZHJzL2Uyb0RvYy54bWxQSwUGAAAAAAYABgBZAQAA1QUAAAAA&#10;">
                <v:fill on="t" focussize="0,0"/>
                <v:stroke weight="0.5pt" color="#000000" joinstyle="round"/>
                <v:imagedata o:title=""/>
                <o:lock v:ext="edit" aspectratio="f"/>
                <v:textbox>
                  <w:txbxContent>
                    <w:p>
                      <w:pPr>
                        <w:spacing w:line="360" w:lineRule="auto"/>
                        <w:jc w:val="center"/>
                        <w:rPr>
                          <w:rFonts w:hint="eastAsia"/>
                          <w:lang w:val="en-US" w:eastAsia="zh-CN"/>
                        </w:rPr>
                      </w:pPr>
                      <w:r>
                        <w:rPr>
                          <w:rFonts w:hint="eastAsia"/>
                          <w:lang w:val="en-US" w:eastAsia="zh-CN"/>
                        </w:rPr>
                        <w:t>图 例</w:t>
                      </w:r>
                    </w:p>
                    <w:p>
                      <w:pPr>
                        <w:spacing w:line="240" w:lineRule="auto"/>
                        <w:jc w:val="both"/>
                        <w:rPr>
                          <w:rFonts w:hint="eastAsia"/>
                          <w:lang w:val="en-US" w:eastAsia="zh-CN"/>
                        </w:rPr>
                      </w:pPr>
                      <w:r>
                        <w:rPr>
                          <w:rFonts w:hint="eastAsia"/>
                          <w:lang w:val="en-US" w:eastAsia="zh-CN"/>
                        </w:rPr>
                        <w:t>厂界：</w:t>
                      </w:r>
                    </w:p>
                    <w:p>
                      <w:pPr>
                        <w:spacing w:line="240" w:lineRule="auto"/>
                        <w:jc w:val="both"/>
                        <w:rPr>
                          <w:rFonts w:hint="eastAsia"/>
                          <w:lang w:val="en-US" w:eastAsia="zh-CN"/>
                        </w:rPr>
                      </w:pPr>
                      <w:r>
                        <w:rPr>
                          <w:rFonts w:hint="eastAsia"/>
                          <w:lang w:val="en-US" w:eastAsia="zh-CN"/>
                        </w:rPr>
                        <w:t>厂址：</w:t>
                      </w:r>
                    </w:p>
                    <w:p>
                      <w:pPr>
                        <w:spacing w:line="240" w:lineRule="auto"/>
                        <w:jc w:val="both"/>
                        <w:rPr>
                          <w:rFonts w:hint="default"/>
                          <w:lang w:val="en-US" w:eastAsia="zh-CN"/>
                        </w:rPr>
                      </w:pPr>
                      <w:r>
                        <w:rPr>
                          <w:rFonts w:hint="eastAsia"/>
                          <w:lang w:val="en-US" w:eastAsia="zh-CN"/>
                        </w:rPr>
                        <w:t>监测点位：</w:t>
                      </w:r>
                    </w:p>
                  </w:txbxContent>
                </v:textbox>
                <w10:wrap type="square"/>
              </v:rect>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7604760</wp:posOffset>
                </wp:positionH>
                <wp:positionV relativeFrom="paragraph">
                  <wp:posOffset>4509135</wp:posOffset>
                </wp:positionV>
                <wp:extent cx="133350" cy="124460"/>
                <wp:effectExtent l="0" t="0" r="0" b="8890"/>
                <wp:wrapSquare wrapText="bothSides"/>
                <wp:docPr id="1068" name="等腰三角形 32"/>
                <wp:cNvGraphicFramePr/>
                <a:graphic xmlns:a="http://schemas.openxmlformats.org/drawingml/2006/main">
                  <a:graphicData uri="http://schemas.microsoft.com/office/word/2010/wordprocessingShape">
                    <wps:wsp>
                      <wps:cNvSpPr/>
                      <wps:spPr>
                        <a:xfrm>
                          <a:off x="0" y="0"/>
                          <a:ext cx="133350" cy="124459"/>
                        </a:xfrm>
                        <a:prstGeom prst="triangle">
                          <a:avLst/>
                        </a:prstGeom>
                        <a:solidFill>
                          <a:srgbClr val="FFFF00"/>
                        </a:solidFill>
                        <a:ln>
                          <a:noFill/>
                        </a:ln>
                      </wps:spPr>
                      <wps:bodyPr/>
                    </wps:wsp>
                  </a:graphicData>
                </a:graphic>
              </wp:anchor>
            </w:drawing>
          </mc:Choice>
          <mc:Fallback>
            <w:pict>
              <v:shape id="等腰三角形 32" o:spid="_x0000_s1026" o:spt="5" type="#_x0000_t5" style="position:absolute;left:0pt;margin-left:598.8pt;margin-top:355.05pt;height:9.8pt;width:10.5pt;mso-wrap-distance-bottom:0pt;mso-wrap-distance-left:9pt;mso-wrap-distance-right:9pt;mso-wrap-distance-top:0pt;z-index:251659264;mso-width-relative:page;mso-height-relative:page;" fillcolor="#FFFF00" filled="t" stroked="f" coordsize="21600,21600" o:gfxdata="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HbHqb1wAAAA0BAAAPAAAAAAAAAAEAIAAAACIAAABkcnMvZG93bnJldi54&#10;bWxQSwECFAAUAAAACACHTuJAw9AUVcIBAABjAwAADgAAAAAAAAABACAAAAAmAQAAZHJzL2Uyb0Rv&#10;Yy54bWxQSwUGAAAAAAYABgBZAQAAWgUAAAAA&#10;" adj="10800">
                <v:fill on="t" focussize="0,0"/>
                <v:stroke on="f"/>
                <v:imagedata o:title=""/>
                <o:lock v:ext="edit" aspectratio="f"/>
                <w10:wrap type="square"/>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2823210</wp:posOffset>
                </wp:positionH>
                <wp:positionV relativeFrom="paragraph">
                  <wp:posOffset>641985</wp:posOffset>
                </wp:positionV>
                <wp:extent cx="200025" cy="180975"/>
                <wp:effectExtent l="12700" t="12700" r="15875" b="15875"/>
                <wp:wrapSquare wrapText="bothSides"/>
                <wp:docPr id="1069" name="等腰三角形 31"/>
                <wp:cNvGraphicFramePr/>
                <a:graphic xmlns:a="http://schemas.openxmlformats.org/drawingml/2006/main">
                  <a:graphicData uri="http://schemas.microsoft.com/office/word/2010/wordprocessingShape">
                    <wps:wsp>
                      <wps:cNvSpPr/>
                      <wps:spPr>
                        <a:xfrm>
                          <a:off x="0" y="0"/>
                          <a:ext cx="200025" cy="180975"/>
                        </a:xfrm>
                        <a:prstGeom prst="triangle">
                          <a:avLst/>
                        </a:prstGeom>
                        <a:solidFill>
                          <a:srgbClr val="FFFF00"/>
                        </a:solidFill>
                        <a:ln>
                          <a:noFill/>
                        </a:ln>
                      </wps:spPr>
                      <wps:bodyPr/>
                    </wps:wsp>
                  </a:graphicData>
                </a:graphic>
              </wp:anchor>
            </w:drawing>
          </mc:Choice>
          <mc:Fallback>
            <w:pict>
              <v:shape id="等腰三角形 31" o:spid="_x0000_s1026" o:spt="5" type="#_x0000_t5" style="position:absolute;left:0pt;margin-left:222.3pt;margin-top:50.55pt;height:14.25pt;width:15.75pt;mso-wrap-distance-bottom:0pt;mso-wrap-distance-left:9pt;mso-wrap-distance-right:9pt;mso-wrap-distance-top:0pt;z-index:251659264;mso-width-relative:page;mso-height-relative:page;" fillcolor="#FFFF00" filled="t" stroked="f" coordsize="21600,21600" o:gfxdata="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B0oY1wAAAAsBAAAPAAAAAAAAAAEAIAAAACIAAABkcnMvZG93bnJldi54&#10;bWxQSwECFAAUAAAACACHTuJAj3+MXcIBAABjAwAADgAAAAAAAAABACAAAAAmAQAAZHJzL2Uyb0Rv&#10;Yy54bWxQSwUGAAAAAAYABgBZAQAAWgUAAAAA&#10;" adj="10800">
                <v:fill on="t" focussize="0,0"/>
                <v:stroke on="f"/>
                <v:imagedata o:title=""/>
                <o:lock v:ext="edit" aspectratio="f"/>
                <w10:wrap type="square"/>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7776210</wp:posOffset>
                </wp:positionH>
                <wp:positionV relativeFrom="paragraph">
                  <wp:posOffset>4699635</wp:posOffset>
                </wp:positionV>
                <wp:extent cx="133350" cy="133350"/>
                <wp:effectExtent l="0" t="0" r="0" b="0"/>
                <wp:wrapSquare wrapText="bothSides"/>
                <wp:docPr id="1070" name="等腰三角形 29"/>
                <wp:cNvGraphicFramePr/>
                <a:graphic xmlns:a="http://schemas.openxmlformats.org/drawingml/2006/main">
                  <a:graphicData uri="http://schemas.microsoft.com/office/word/2010/wordprocessingShape">
                    <wps:wsp>
                      <wps:cNvSpPr/>
                      <wps:spPr>
                        <a:xfrm>
                          <a:off x="0" y="0"/>
                          <a:ext cx="133350" cy="133350"/>
                        </a:xfrm>
                        <a:prstGeom prst="triangle">
                          <a:avLst/>
                        </a:prstGeom>
                        <a:solidFill>
                          <a:srgbClr val="FF0000"/>
                        </a:solidFill>
                        <a:ln>
                          <a:noFill/>
                        </a:ln>
                      </wps:spPr>
                      <wps:bodyPr/>
                    </wps:wsp>
                  </a:graphicData>
                </a:graphic>
              </wp:anchor>
            </w:drawing>
          </mc:Choice>
          <mc:Fallback>
            <w:pict>
              <v:shape id="等腰三角形 29" o:spid="_x0000_s1026" o:spt="5" type="#_x0000_t5" style="position:absolute;left:0pt;margin-left:612.3pt;margin-top:370.05pt;height:10.5pt;width:10.5pt;mso-wrap-distance-bottom:0pt;mso-wrap-distance-left:9pt;mso-wrap-distance-right:9pt;mso-wrap-distance-top:0pt;z-index:251659264;mso-width-relative:page;mso-height-relative:page;" fillcolor="#FF0000" filled="t" stroked="f" coordsize="21600,21600" o:gfxdata="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SE0ztoAAAANAQAADwAAAAAAAAABACAAAAAiAAAAZHJzL2Rvd25yZXYueG1s&#10;UEsBAhQAFAAAAAgAh07iQA60Mt29AQAAYwMAAA4AAAAAAAAAAQAgAAAAKQEAAGRycy9lMm9Eb2Mu&#10;eG1sUEsFBgAAAAAGAAYAWQEAAFgFAAAAAA==&#10;" adj="10800">
                <v:fill on="t" focussize="0,0"/>
                <v:stroke on="f"/>
                <v:imagedata o:title=""/>
                <o:lock v:ext="edit" aspectratio="f"/>
                <w10:wrap type="square"/>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7394575</wp:posOffset>
                </wp:positionH>
                <wp:positionV relativeFrom="paragraph">
                  <wp:posOffset>2327910</wp:posOffset>
                </wp:positionV>
                <wp:extent cx="200025" cy="180975"/>
                <wp:effectExtent l="0" t="0" r="9525" b="9525"/>
                <wp:wrapSquare wrapText="bothSides"/>
                <wp:docPr id="1071" name="等腰三角形 28"/>
                <wp:cNvGraphicFramePr/>
                <a:graphic xmlns:a="http://schemas.openxmlformats.org/drawingml/2006/main">
                  <a:graphicData uri="http://schemas.microsoft.com/office/word/2010/wordprocessingShape">
                    <wps:wsp>
                      <wps:cNvSpPr/>
                      <wps:spPr>
                        <a:xfrm>
                          <a:off x="0" y="0"/>
                          <a:ext cx="200025" cy="180975"/>
                        </a:xfrm>
                        <a:prstGeom prst="triangle">
                          <a:avLst/>
                        </a:prstGeom>
                        <a:solidFill>
                          <a:srgbClr val="FF0000"/>
                        </a:solidFill>
                        <a:ln>
                          <a:noFill/>
                        </a:ln>
                      </wps:spPr>
                      <wps:bodyPr/>
                    </wps:wsp>
                  </a:graphicData>
                </a:graphic>
              </wp:anchor>
            </w:drawing>
          </mc:Choice>
          <mc:Fallback>
            <w:pict>
              <v:shape id="等腰三角形 28" o:spid="_x0000_s1026" o:spt="5" type="#_x0000_t5" style="position:absolute;left:0pt;margin-left:582.25pt;margin-top:183.3pt;height:14.25pt;width:15.75pt;mso-wrap-distance-bottom:0pt;mso-wrap-distance-left:9pt;mso-wrap-distance-right:9pt;mso-wrap-distance-top:0pt;z-index:251659264;mso-width-relative:page;mso-height-relative:page;" fillcolor="#FF0000" filled="t" stroked="f" coordsize="21600,21600" o:gfxdata="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tJlk9sAAAANAQAADwAAAAAAAAABACAAAAAiAAAAZHJzL2Rvd25y&#10;ZXYueG1sUEsBAhQAFAAAAAgAh07iQD+kiP/CAQAAYwMAAA4AAAAAAAAAAQAgAAAAKgEAAGRycy9l&#10;Mm9Eb2MueG1sUEsFBgAAAAAGAAYAWQEAAF4FAAAAAA==&#10;" adj="10800">
                <v:fill on="t" focussize="0,0"/>
                <v:stroke on="f"/>
                <v:imagedata o:title=""/>
                <o:lock v:ext="edit" aspectratio="f"/>
                <w10:wrap type="square"/>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6195060</wp:posOffset>
                </wp:positionH>
                <wp:positionV relativeFrom="paragraph">
                  <wp:posOffset>4347210</wp:posOffset>
                </wp:positionV>
                <wp:extent cx="200025" cy="180975"/>
                <wp:effectExtent l="0" t="0" r="9525" b="9525"/>
                <wp:wrapSquare wrapText="bothSides"/>
                <wp:docPr id="1072" name="等腰三角形 27"/>
                <wp:cNvGraphicFramePr/>
                <a:graphic xmlns:a="http://schemas.openxmlformats.org/drawingml/2006/main">
                  <a:graphicData uri="http://schemas.microsoft.com/office/word/2010/wordprocessingShape">
                    <wps:wsp>
                      <wps:cNvSpPr/>
                      <wps:spPr>
                        <a:xfrm>
                          <a:off x="0" y="0"/>
                          <a:ext cx="200025" cy="180975"/>
                        </a:xfrm>
                        <a:prstGeom prst="triangle">
                          <a:avLst/>
                        </a:prstGeom>
                        <a:solidFill>
                          <a:srgbClr val="FF0000"/>
                        </a:solidFill>
                        <a:ln>
                          <a:noFill/>
                        </a:ln>
                      </wps:spPr>
                      <wps:bodyPr/>
                    </wps:wsp>
                  </a:graphicData>
                </a:graphic>
              </wp:anchor>
            </w:drawing>
          </mc:Choice>
          <mc:Fallback>
            <w:pict>
              <v:shape id="等腰三角形 27" o:spid="_x0000_s1026" o:spt="5" type="#_x0000_t5" style="position:absolute;left:0pt;margin-left:487.8pt;margin-top:342.3pt;height:14.25pt;width:15.75pt;mso-wrap-distance-bottom:0pt;mso-wrap-distance-left:9pt;mso-wrap-distance-right:9pt;mso-wrap-distance-top:0pt;z-index:251659264;mso-width-relative:page;mso-height-relative:page;" fillcolor="#FF0000" filled="t" stroked="f" coordsize="21600,21600" o:gfxdata="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frunt2wAAAAwBAAAPAAAAAAAAAAEAIAAAACIAAABkcnMvZG93bnJl&#10;di54bWxQSwECFAAUAAAACACHTuJAXXV/oMEBAABjAwAADgAAAAAAAAABACAAAAAqAQAAZHJzL2Uy&#10;b0RvYy54bWxQSwUGAAAAAAYABgBZAQAAXQUAAAAA&#10;" adj="10800">
                <v:fill on="t" focussize="0,0"/>
                <v:stroke on="f"/>
                <v:imagedata o:title=""/>
                <o:lock v:ext="edit" aspectratio="f"/>
                <w10:wrap type="square"/>
              </v:shap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7585710</wp:posOffset>
                </wp:positionH>
                <wp:positionV relativeFrom="paragraph">
                  <wp:posOffset>4421505</wp:posOffset>
                </wp:positionV>
                <wp:extent cx="228600" cy="9525"/>
                <wp:effectExtent l="0" t="0" r="0" b="0"/>
                <wp:wrapNone/>
                <wp:docPr id="1073" name="直接连接符 26"/>
                <wp:cNvGraphicFramePr/>
                <a:graphic xmlns:a="http://schemas.openxmlformats.org/drawingml/2006/main">
                  <a:graphicData uri="http://schemas.microsoft.com/office/word/2010/wordprocessingShape">
                    <wps:wsp>
                      <wps:cNvCnPr/>
                      <wps:spPr>
                        <a:xfrm flipV="1">
                          <a:off x="0" y="0"/>
                          <a:ext cx="228600" cy="9525"/>
                        </a:xfrm>
                        <a:prstGeom prst="line">
                          <a:avLst/>
                        </a:prstGeom>
                        <a:ln w="25400" cap="flat" cmpd="sng">
                          <a:solidFill>
                            <a:srgbClr val="C0504D"/>
                          </a:solidFill>
                          <a:prstDash val="solid"/>
                          <a:round/>
                          <a:headEnd type="none" w="med" len="med"/>
                          <a:tailEnd type="none" w="med" len="med"/>
                        </a:ln>
                      </wps:spPr>
                      <wps:bodyPr/>
                    </wps:wsp>
                  </a:graphicData>
                </a:graphic>
              </wp:anchor>
            </w:drawing>
          </mc:Choice>
          <mc:Fallback>
            <w:pict>
              <v:line id="直接连接符 26" o:spid="_x0000_s1026" o:spt="20" style="position:absolute;left:0pt;flip:y;margin-left:597.3pt;margin-top:348.15pt;height:0.75pt;width:18pt;z-index:251659264;mso-width-relative:page;mso-height-relative:page;" filled="f" stroked="t" coordsize="21600,21600" o:gfxdata="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wvn2NgAAAANAQAADwAAAAAAAAABACAAAAAiAAAAZHJzL2Rvd25y&#10;ZXYueG1sUEsBAhQAFAAAAAgAh07iQINvUCD+AQAA8wMAAA4AAAAAAAAAAQAgAAAAJwEAAGRycy9l&#10;Mm9Eb2MueG1sUEsFBgAAAAAGAAYAWQEAAJcFAAAAAA==&#10;">
                <v:fill on="f" focussize="0,0"/>
                <v:stroke weight="2pt" color="#C0504D" joinstyle="round"/>
                <v:imagedata o:title=""/>
                <o:lock v:ext="edit" aspectratio="f"/>
              </v:line>
            </w:pict>
          </mc:Fallback>
        </mc:AlternateContent>
      </w:r>
      <w:r>
        <w:rPr>
          <w:rFonts w:hint="default"/>
          <w:lang w:val="en-US" w:eastAsia="zh-CN"/>
        </w:rPr>
        <w:drawing>
          <wp:anchor distT="0" distB="0" distL="114300" distR="114300" simplePos="0" relativeHeight="251659264" behindDoc="0" locked="0" layoutInCell="1" allowOverlap="1">
            <wp:simplePos x="0" y="0"/>
            <wp:positionH relativeFrom="column">
              <wp:posOffset>7504430</wp:posOffset>
            </wp:positionH>
            <wp:positionV relativeFrom="paragraph">
              <wp:posOffset>385445</wp:posOffset>
            </wp:positionV>
            <wp:extent cx="676275" cy="581025"/>
            <wp:effectExtent l="0" t="0" r="9525" b="9525"/>
            <wp:wrapSquare wrapText="bothSides"/>
            <wp:docPr id="1074" name="图片 24" descr="图片1"/>
            <wp:cNvGraphicFramePr/>
            <a:graphic xmlns:a="http://schemas.openxmlformats.org/drawingml/2006/main">
              <a:graphicData uri="http://schemas.openxmlformats.org/drawingml/2006/picture">
                <pic:pic xmlns:pic="http://schemas.openxmlformats.org/drawingml/2006/picture">
                  <pic:nvPicPr>
                    <pic:cNvPr id="1074" name="图片 24" descr="图片1"/>
                    <pic:cNvPicPr/>
                  </pic:nvPicPr>
                  <pic:blipFill>
                    <a:blip r:embed="rId37" cstate="print"/>
                    <a:srcRect/>
                    <a:stretch>
                      <a:fillRect/>
                    </a:stretch>
                  </pic:blipFill>
                  <pic:spPr>
                    <a:xfrm>
                      <a:off x="0" y="0"/>
                      <a:ext cx="676275" cy="581025"/>
                    </a:xfrm>
                    <a:prstGeom prst="rect">
                      <a:avLst/>
                    </a:prstGeom>
                  </pic:spPr>
                </pic:pic>
              </a:graphicData>
            </a:graphic>
          </wp:anchor>
        </w:drawing>
      </w:r>
      <w:r>
        <w:rPr>
          <w:rFonts w:hint="default"/>
          <w:b/>
          <w:bCs/>
          <w:sz w:val="24"/>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24875" cy="5029200"/>
            <wp:effectExtent l="0" t="0" r="9525" b="0"/>
            <wp:wrapSquare wrapText="bothSides"/>
            <wp:docPr id="1075" name="图片 22" descr="大气现状监测"/>
            <wp:cNvGraphicFramePr/>
            <a:graphic xmlns:a="http://schemas.openxmlformats.org/drawingml/2006/main">
              <a:graphicData uri="http://schemas.openxmlformats.org/drawingml/2006/picture">
                <pic:pic xmlns:pic="http://schemas.openxmlformats.org/drawingml/2006/picture">
                  <pic:nvPicPr>
                    <pic:cNvPr id="1075" name="图片 22" descr="大气现状监测"/>
                    <pic:cNvPicPr/>
                  </pic:nvPicPr>
                  <pic:blipFill>
                    <a:blip r:embed="rId40" cstate="print"/>
                    <a:srcRect/>
                    <a:stretch>
                      <a:fillRect/>
                    </a:stretch>
                  </pic:blipFill>
                  <pic:spPr>
                    <a:xfrm>
                      <a:off x="0" y="0"/>
                      <a:ext cx="8524875" cy="5029200"/>
                    </a:xfrm>
                    <a:prstGeom prst="rect">
                      <a:avLst/>
                    </a:prstGeom>
                  </pic:spPr>
                </pic:pic>
              </a:graphicData>
            </a:graphic>
          </wp:anchor>
        </w:drawing>
      </w:r>
    </w:p>
    <w:p>
      <w:pPr>
        <w:bidi w:val="0"/>
        <w:jc w:val="both"/>
        <w:rPr>
          <w:rFonts w:hint="default"/>
          <w:lang w:val="en-US" w:eastAsia="zh-CN"/>
        </w:rPr>
      </w:pPr>
    </w:p>
    <w:p>
      <w:pPr>
        <w:bidi w:val="0"/>
        <w:jc w:val="both"/>
        <w:rPr>
          <w:rFonts w:hint="default"/>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bidi w:val="0"/>
        <w:jc w:val="both"/>
        <w:outlineLvl w:val="0"/>
        <w:rPr>
          <w:rFonts w:hint="default"/>
          <w:b/>
          <w:bCs/>
          <w:sz w:val="24"/>
          <w:lang w:val="en-US" w:eastAsia="zh-CN"/>
        </w:rPr>
      </w:pPr>
      <w:bookmarkStart w:id="22" w:name="_Toc21679"/>
      <w:r>
        <w:rPr>
          <w:rFonts w:hint="eastAsia"/>
          <w:b/>
          <w:bCs/>
          <w:sz w:val="24"/>
          <w:lang w:val="en-US" w:eastAsia="zh-CN"/>
        </w:rPr>
        <w:t>附图7 地下水监测井位置</w:t>
      </w:r>
      <w:bookmarkEnd w:id="22"/>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sz w:val="21"/>
        </w:rPr>
        <mc:AlternateContent>
          <mc:Choice Requires="wps">
            <w:drawing>
              <wp:anchor distT="0" distB="0" distL="0" distR="0" simplePos="0" relativeHeight="251659264" behindDoc="0" locked="0" layoutInCell="1" allowOverlap="1">
                <wp:simplePos x="0" y="0"/>
                <wp:positionH relativeFrom="column">
                  <wp:posOffset>4271010</wp:posOffset>
                </wp:positionH>
                <wp:positionV relativeFrom="paragraph">
                  <wp:posOffset>591820</wp:posOffset>
                </wp:positionV>
                <wp:extent cx="114300" cy="104775"/>
                <wp:effectExtent l="0" t="0" r="0" b="9525"/>
                <wp:wrapNone/>
                <wp:docPr id="1076" name="等腰三角形 40"/>
                <wp:cNvGraphicFramePr/>
                <a:graphic xmlns:a="http://schemas.openxmlformats.org/drawingml/2006/main">
                  <a:graphicData uri="http://schemas.microsoft.com/office/word/2010/wordprocessingShape">
                    <wps:wsp>
                      <wps:cNvSpPr/>
                      <wps:spPr>
                        <a:xfrm>
                          <a:off x="0" y="0"/>
                          <a:ext cx="114300" cy="104775"/>
                        </a:xfrm>
                        <a:prstGeom prst="triangle">
                          <a:avLst/>
                        </a:prstGeom>
                        <a:solidFill>
                          <a:srgbClr val="FF0000"/>
                        </a:solidFill>
                        <a:ln>
                          <a:noFill/>
                        </a:ln>
                      </wps:spPr>
                      <wps:bodyPr/>
                    </wps:wsp>
                  </a:graphicData>
                </a:graphic>
              </wp:anchor>
            </w:drawing>
          </mc:Choice>
          <mc:Fallback>
            <w:pict>
              <v:shape id="等腰三角形 40" o:spid="_x0000_s1026" o:spt="5" type="#_x0000_t5" style="position:absolute;left:0pt;margin-left:336.3pt;margin-top:46.6pt;height:8.25pt;width:9pt;z-index:251659264;mso-width-relative:page;mso-height-relative:page;" fillcolor="#FF0000" filled="t" stroked="f" coordsize="21600,21600" o:gfxdata="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BL8uHZAAAACgEAAA8AAAAAAAAAAQAgAAAAIgAAAGRycy9kb3ducmV2Lnht&#10;bFBLAQIUABQAAAAIAIdO4kCpJFu9vwEAAGMDAAAOAAAAAAAAAAEAIAAAACgBAABkcnMvZTJvRG9j&#10;LnhtbFBLBQYAAAAABgAGAFkBAABZBQAAAAA=&#10;" adj="10800">
                <v:fill on="t" focussize="0,0"/>
                <v:stroke on="f"/>
                <v:imagedata o:title=""/>
                <o:lock v:ext="edit" aspectratio="f"/>
              </v:shap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2600325</wp:posOffset>
                </wp:positionH>
                <wp:positionV relativeFrom="paragraph">
                  <wp:posOffset>2562225</wp:posOffset>
                </wp:positionV>
                <wp:extent cx="114300" cy="104775"/>
                <wp:effectExtent l="0" t="0" r="0" b="9525"/>
                <wp:wrapNone/>
                <wp:docPr id="1077" name="等腰三角形 42"/>
                <wp:cNvGraphicFramePr/>
                <a:graphic xmlns:a="http://schemas.openxmlformats.org/drawingml/2006/main">
                  <a:graphicData uri="http://schemas.microsoft.com/office/word/2010/wordprocessingShape">
                    <wps:wsp>
                      <wps:cNvSpPr/>
                      <wps:spPr>
                        <a:xfrm>
                          <a:off x="0" y="0"/>
                          <a:ext cx="114300" cy="104775"/>
                        </a:xfrm>
                        <a:prstGeom prst="triangle">
                          <a:avLst/>
                        </a:prstGeom>
                        <a:solidFill>
                          <a:srgbClr val="FF0000"/>
                        </a:solidFill>
                        <a:ln>
                          <a:noFill/>
                        </a:ln>
                      </wps:spPr>
                      <wps:bodyPr/>
                    </wps:wsp>
                  </a:graphicData>
                </a:graphic>
              </wp:anchor>
            </w:drawing>
          </mc:Choice>
          <mc:Fallback>
            <w:pict>
              <v:shape id="等腰三角形 42" o:spid="_x0000_s1026" o:spt="5" type="#_x0000_t5" style="position:absolute;left:0pt;margin-left:204.75pt;margin-top:201.75pt;height:8.25pt;width:9pt;z-index:251659264;mso-width-relative:page;mso-height-relative:page;" fillcolor="#FF0000" filled="t" stroked="f" coordsize="21600,21600" o:gfxdata="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979edcAAAALAQAADwAAAAAAAAABACAAAAAiAAAAZHJzL2Rvd25yZXYueG1s&#10;UEsBAhQAFAAAAAgAh07iQMHQOx/AAQAAYwMAAA4AAAAAAAAAAQAgAAAAJgEAAGRycy9lMm9Eb2Mu&#10;eG1sUEsFBgAAAAAGAAYAWQEAAFgFAAAAAA==&#10;" adj="10800">
                <v:fill on="t" focussize="0,0"/>
                <v:stroke on="f"/>
                <v:imagedata o:title=""/>
                <o:lock v:ext="edit" aspectratio="f"/>
              </v:shap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3651885</wp:posOffset>
                </wp:positionH>
                <wp:positionV relativeFrom="paragraph">
                  <wp:posOffset>4374515</wp:posOffset>
                </wp:positionV>
                <wp:extent cx="114300" cy="104775"/>
                <wp:effectExtent l="0" t="0" r="0" b="9525"/>
                <wp:wrapNone/>
                <wp:docPr id="1078" name="等腰三角形 45"/>
                <wp:cNvGraphicFramePr/>
                <a:graphic xmlns:a="http://schemas.openxmlformats.org/drawingml/2006/main">
                  <a:graphicData uri="http://schemas.microsoft.com/office/word/2010/wordprocessingShape">
                    <wps:wsp>
                      <wps:cNvSpPr/>
                      <wps:spPr>
                        <a:xfrm>
                          <a:off x="0" y="0"/>
                          <a:ext cx="114300" cy="104775"/>
                        </a:xfrm>
                        <a:prstGeom prst="triangle">
                          <a:avLst/>
                        </a:prstGeom>
                        <a:solidFill>
                          <a:srgbClr val="FF0000"/>
                        </a:solidFill>
                        <a:ln>
                          <a:noFill/>
                        </a:ln>
                      </wps:spPr>
                      <wps:bodyPr/>
                    </wps:wsp>
                  </a:graphicData>
                </a:graphic>
              </wp:anchor>
            </w:drawing>
          </mc:Choice>
          <mc:Fallback>
            <w:pict>
              <v:shape id="等腰三角形 45" o:spid="_x0000_s1026" o:spt="5" type="#_x0000_t5" style="position:absolute;left:0pt;margin-left:287.55pt;margin-top:344.45pt;height:8.25pt;width:9pt;z-index:251659264;mso-width-relative:page;mso-height-relative:page;" fillcolor="#FF0000" filled="t" stroked="f" coordsize="21600,21600" o:gfxdata="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fI9AJ3AAAAAsBAAAPAAAAAAAAAAEAIAAAACIAAABkcnMvZG93bnJl&#10;di54bWxQSwECFAAUAAAACACHTuJASBDk3sABAABjAwAADgAAAAAAAAABACAAAAArAQAAZHJzL2Uy&#10;b0RvYy54bWxQSwUGAAAAAAYABgBZAQAAXQUAAAAA&#10;" adj="10800">
                <v:fill on="t" focussize="0,0"/>
                <v:stroke on="f"/>
                <v:imagedata o:title=""/>
                <o:lock v:ext="edit" aspectratio="f"/>
              </v:shap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4895850</wp:posOffset>
                </wp:positionH>
                <wp:positionV relativeFrom="paragraph">
                  <wp:posOffset>2889885</wp:posOffset>
                </wp:positionV>
                <wp:extent cx="114300" cy="104775"/>
                <wp:effectExtent l="0" t="0" r="0" b="9525"/>
                <wp:wrapNone/>
                <wp:docPr id="1079" name="等腰三角形 44"/>
                <wp:cNvGraphicFramePr/>
                <a:graphic xmlns:a="http://schemas.openxmlformats.org/drawingml/2006/main">
                  <a:graphicData uri="http://schemas.microsoft.com/office/word/2010/wordprocessingShape">
                    <wps:wsp>
                      <wps:cNvSpPr/>
                      <wps:spPr>
                        <a:xfrm>
                          <a:off x="0" y="0"/>
                          <a:ext cx="114300" cy="104775"/>
                        </a:xfrm>
                        <a:prstGeom prst="triangle">
                          <a:avLst/>
                        </a:prstGeom>
                        <a:solidFill>
                          <a:srgbClr val="FF0000"/>
                        </a:solidFill>
                        <a:ln>
                          <a:noFill/>
                        </a:ln>
                      </wps:spPr>
                      <wps:bodyPr/>
                    </wps:wsp>
                  </a:graphicData>
                </a:graphic>
              </wp:anchor>
            </w:drawing>
          </mc:Choice>
          <mc:Fallback>
            <w:pict>
              <v:shape id="等腰三角形 44" o:spid="_x0000_s1026" o:spt="5" type="#_x0000_t5" style="position:absolute;left:0pt;margin-left:385.5pt;margin-top:227.55pt;height:8.25pt;width:9pt;z-index:251659264;mso-width-relative:page;mso-height-relative:page;" fillcolor="#FF0000" filled="t" stroked="f" coordsize="21600,21600" o:gfxdata="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rRCYdoAAAALAQAADwAAAAAAAAABACAAAAAiAAAAZHJzL2Rvd25yZXYu&#10;eG1sUEsBAhQAFAAAAAgAh07iQKV8iGrAAQAAYwMAAA4AAAAAAAAAAQAgAAAAKQEAAGRycy9lMm9E&#10;b2MueG1sUEsFBgAAAAAGAAYAWQEAAFsFAAAAAA==&#10;" adj="10800">
                <v:fill on="t" focussize="0,0"/>
                <v:stroke on="f"/>
                <v:imagedata o:title=""/>
                <o:lock v:ext="edit" aspectratio="f"/>
              </v:shap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3498850</wp:posOffset>
                </wp:positionH>
                <wp:positionV relativeFrom="paragraph">
                  <wp:posOffset>1639570</wp:posOffset>
                </wp:positionV>
                <wp:extent cx="114300" cy="104775"/>
                <wp:effectExtent l="0" t="0" r="0" b="9525"/>
                <wp:wrapNone/>
                <wp:docPr id="1080" name="等腰三角形 43"/>
                <wp:cNvGraphicFramePr/>
                <a:graphic xmlns:a="http://schemas.openxmlformats.org/drawingml/2006/main">
                  <a:graphicData uri="http://schemas.microsoft.com/office/word/2010/wordprocessingShape">
                    <wps:wsp>
                      <wps:cNvSpPr/>
                      <wps:spPr>
                        <a:xfrm>
                          <a:off x="0" y="0"/>
                          <a:ext cx="114300" cy="104775"/>
                        </a:xfrm>
                        <a:prstGeom prst="triangle">
                          <a:avLst/>
                        </a:prstGeom>
                        <a:solidFill>
                          <a:srgbClr val="FF0000"/>
                        </a:solidFill>
                        <a:ln>
                          <a:noFill/>
                        </a:ln>
                      </wps:spPr>
                      <wps:bodyPr/>
                    </wps:wsp>
                  </a:graphicData>
                </a:graphic>
              </wp:anchor>
            </w:drawing>
          </mc:Choice>
          <mc:Fallback>
            <w:pict>
              <v:shape id="等腰三角形 43" o:spid="_x0000_s1026" o:spt="5" type="#_x0000_t5" style="position:absolute;left:0pt;margin-left:275.5pt;margin-top:129.1pt;height:8.25pt;width:9pt;z-index:251659264;mso-width-relative:page;mso-height-relative:page;" fillcolor="#FF0000" filled="t" stroked="f" coordsize="21600,21600" o:gfxdata="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h7Dk9oAAAALAQAADwAAAAAAAAABACAAAAAiAAAAZHJzL2Rvd25yZXYu&#10;eG1sUEsBAhQAFAAAAAgAh07iQHMr9T7AAQAAYwMAAA4AAAAAAAAAAQAgAAAAKQEAAGRycy9lMm9E&#10;b2MueG1sUEsFBgAAAAAGAAYAWQEAAFsFAAAAAA==&#10;" adj="10800">
                <v:fill on="t" focussize="0,0"/>
                <v:stroke on="f"/>
                <v:imagedata o:title=""/>
                <o:lock v:ext="edit" aspectratio="f"/>
              </v:shap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4347210</wp:posOffset>
                </wp:positionH>
                <wp:positionV relativeFrom="paragraph">
                  <wp:posOffset>991870</wp:posOffset>
                </wp:positionV>
                <wp:extent cx="114300" cy="104775"/>
                <wp:effectExtent l="0" t="0" r="0" b="9525"/>
                <wp:wrapNone/>
                <wp:docPr id="1081" name="等腰三角形 40"/>
                <wp:cNvGraphicFramePr/>
                <a:graphic xmlns:a="http://schemas.openxmlformats.org/drawingml/2006/main">
                  <a:graphicData uri="http://schemas.microsoft.com/office/word/2010/wordprocessingShape">
                    <wps:wsp>
                      <wps:cNvSpPr/>
                      <wps:spPr>
                        <a:xfrm>
                          <a:off x="0" y="0"/>
                          <a:ext cx="114300" cy="104775"/>
                        </a:xfrm>
                        <a:prstGeom prst="triangle">
                          <a:avLst/>
                        </a:prstGeom>
                        <a:solidFill>
                          <a:srgbClr val="FF0000"/>
                        </a:solidFill>
                        <a:ln>
                          <a:noFill/>
                        </a:ln>
                      </wps:spPr>
                      <wps:bodyPr/>
                    </wps:wsp>
                  </a:graphicData>
                </a:graphic>
              </wp:anchor>
            </w:drawing>
          </mc:Choice>
          <mc:Fallback>
            <w:pict>
              <v:shape id="等腰三角形 40" o:spid="_x0000_s1026" o:spt="5" type="#_x0000_t5" style="position:absolute;left:0pt;margin-left:342.3pt;margin-top:78.1pt;height:8.25pt;width:9pt;z-index:251659264;mso-width-relative:page;mso-height-relative:page;" fillcolor="#FF0000" filled="t" stroked="f" coordsize="21600,21600" o:gfxdata="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toScnZAAAACwEAAA8AAAAAAAAAAQAgAAAAIgAAAGRycy9kb3ducmV2Lnht&#10;bFBLAQIUABQAAAAIAIdO4kCnqr4nvwEAAGMDAAAOAAAAAAAAAAEAIAAAACgBAABkcnMvZTJvRG9j&#10;LnhtbFBLBQYAAAAABgAGAFkBAABZBQAAAAA=&#10;" adj="10800">
                <v:fill on="t" focussize="0,0"/>
                <v:stroke on="f"/>
                <v:imagedata o:title=""/>
                <o:lock v:ext="edit" aspectratio="f"/>
              </v:shap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3661410</wp:posOffset>
                </wp:positionH>
                <wp:positionV relativeFrom="paragraph">
                  <wp:posOffset>2753995</wp:posOffset>
                </wp:positionV>
                <wp:extent cx="209550" cy="209550"/>
                <wp:effectExtent l="0" t="0" r="0" b="0"/>
                <wp:wrapNone/>
                <wp:docPr id="1082" name="等腰三角形 38"/>
                <wp:cNvGraphicFramePr/>
                <a:graphic xmlns:a="http://schemas.openxmlformats.org/drawingml/2006/main">
                  <a:graphicData uri="http://schemas.microsoft.com/office/word/2010/wordprocessingShape">
                    <wps:wsp>
                      <wps:cNvSpPr/>
                      <wps:spPr>
                        <a:xfrm>
                          <a:off x="0" y="0"/>
                          <a:ext cx="209550" cy="209550"/>
                        </a:xfrm>
                        <a:prstGeom prst="triangle">
                          <a:avLst/>
                        </a:prstGeom>
                        <a:solidFill>
                          <a:srgbClr val="FFFF00"/>
                        </a:solidFill>
                        <a:ln>
                          <a:noFill/>
                        </a:ln>
                      </wps:spPr>
                      <wps:bodyPr/>
                    </wps:wsp>
                  </a:graphicData>
                </a:graphic>
              </wp:anchor>
            </w:drawing>
          </mc:Choice>
          <mc:Fallback>
            <w:pict>
              <v:shape id="等腰三角形 38" o:spid="_x0000_s1026" o:spt="5" type="#_x0000_t5" style="position:absolute;left:0pt;margin-left:288.3pt;margin-top:216.85pt;height:16.5pt;width:16.5pt;z-index:251659264;mso-width-relative:page;mso-height-relative:page;" fillcolor="#FFFF00" filled="t" stroked="f" coordsize="21600,21600" o:gfxdata="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cBndnXAAAACwEAAA8AAAAAAAAAAQAgAAAAIgAAAGRycy9kb3ducmV2LnhtbFBL&#10;AQIUABQAAAAIAIdO4kAZSGRVvgEAAGMDAAAOAAAAAAAAAAEAIAAAACYBAABkcnMvZTJvRG9jLnht&#10;bFBLBQYAAAAABgAGAFkBAABWBQAAAAA=&#10;" adj="10800">
                <v:fill on="t" focussize="0,0"/>
                <v:stroke on="f"/>
                <v:imagedata o:title=""/>
                <o:lock v:ext="edit" aspectratio="f"/>
              </v:shap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7575550</wp:posOffset>
                </wp:positionH>
                <wp:positionV relativeFrom="paragraph">
                  <wp:posOffset>4506595</wp:posOffset>
                </wp:positionV>
                <wp:extent cx="161290" cy="142875"/>
                <wp:effectExtent l="0" t="0" r="10160" b="9525"/>
                <wp:wrapNone/>
                <wp:docPr id="1083" name="等腰三角形 46"/>
                <wp:cNvGraphicFramePr/>
                <a:graphic xmlns:a="http://schemas.openxmlformats.org/drawingml/2006/main">
                  <a:graphicData uri="http://schemas.microsoft.com/office/word/2010/wordprocessingShape">
                    <wps:wsp>
                      <wps:cNvSpPr/>
                      <wps:spPr>
                        <a:xfrm>
                          <a:off x="0" y="0"/>
                          <a:ext cx="161290" cy="142875"/>
                        </a:xfrm>
                        <a:prstGeom prst="triangle">
                          <a:avLst/>
                        </a:prstGeom>
                        <a:solidFill>
                          <a:srgbClr val="FF0000"/>
                        </a:solidFill>
                        <a:ln>
                          <a:noFill/>
                        </a:ln>
                      </wps:spPr>
                      <wps:bodyPr/>
                    </wps:wsp>
                  </a:graphicData>
                </a:graphic>
              </wp:anchor>
            </w:drawing>
          </mc:Choice>
          <mc:Fallback>
            <w:pict>
              <v:shape id="等腰三角形 46" o:spid="_x0000_s1026" o:spt="5" type="#_x0000_t5" style="position:absolute;left:0pt;margin-left:596.5pt;margin-top:354.85pt;height:11.25pt;width:12.7pt;z-index:251659264;mso-width-relative:page;mso-height-relative:page;" fillcolor="#FF0000" filled="t" stroked="f" coordsize="21600,21600" o:gfxdata="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FPin3AAAAA0BAAAPAAAAAAAAAAEAIAAAACIAAABkcnMvZG93bnJl&#10;di54bWxQSwECFAAUAAAACACHTuJA04qfpsABAABjAwAADgAAAAAAAAABACAAAAArAQAAZHJzL2Uy&#10;b0RvYy54bWxQSwUGAAAAAAYABgBZAQAAXQUAAAAA&#10;" adj="10800">
                <v:fill on="t" focussize="0,0"/>
                <v:stroke on="f"/>
                <v:imagedata o:title=""/>
                <o:lock v:ext="edit" aspectratio="f"/>
              </v:shap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7347585</wp:posOffset>
                </wp:positionH>
                <wp:positionV relativeFrom="paragraph">
                  <wp:posOffset>4220845</wp:posOffset>
                </wp:positionV>
                <wp:extent cx="161925" cy="143510"/>
                <wp:effectExtent l="0" t="0" r="9525" b="8890"/>
                <wp:wrapNone/>
                <wp:docPr id="1084" name="等腰三角形 39"/>
                <wp:cNvGraphicFramePr/>
                <a:graphic xmlns:a="http://schemas.openxmlformats.org/drawingml/2006/main">
                  <a:graphicData uri="http://schemas.microsoft.com/office/word/2010/wordprocessingShape">
                    <wps:wsp>
                      <wps:cNvSpPr/>
                      <wps:spPr>
                        <a:xfrm>
                          <a:off x="0" y="0"/>
                          <a:ext cx="161925" cy="143509"/>
                        </a:xfrm>
                        <a:prstGeom prst="triangle">
                          <a:avLst/>
                        </a:prstGeom>
                        <a:solidFill>
                          <a:srgbClr val="FFFF00"/>
                        </a:solidFill>
                        <a:ln>
                          <a:noFill/>
                        </a:ln>
                      </wps:spPr>
                      <wps:bodyPr/>
                    </wps:wsp>
                  </a:graphicData>
                </a:graphic>
              </wp:anchor>
            </w:drawing>
          </mc:Choice>
          <mc:Fallback>
            <w:pict>
              <v:shape id="等腰三角形 39" o:spid="_x0000_s1026" o:spt="5" type="#_x0000_t5" style="position:absolute;left:0pt;margin-left:578.55pt;margin-top:332.35pt;height:11.3pt;width:12.75pt;z-index:251659264;mso-width-relative:page;mso-height-relative:page;" fillcolor="#FFFF00" filled="t" stroked="f" coordsize="21600,21600" o:gfxdata="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9TvJ7YAAAADQEAAA8AAAAAAAAAAQAgAAAAIgAAAGRycy9kb3ducmV2&#10;LnhtbFBLAQIUABQAAAAIAIdO4kCfZM7uwwEAAGMDAAAOAAAAAAAAAAEAIAAAACcBAABkcnMvZTJv&#10;RG9jLnhtbFBLBQYAAAAABgAGAFkBAABcBQAAAAA=&#10;" adj="10800">
                <v:fill on="t" focussize="0,0"/>
                <v:stroke on="f"/>
                <v:imagedata o:title=""/>
                <o:lock v:ext="edit" aspectratio="f"/>
              </v:shap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7347585</wp:posOffset>
                </wp:positionH>
                <wp:positionV relativeFrom="paragraph">
                  <wp:posOffset>4068445</wp:posOffset>
                </wp:positionV>
                <wp:extent cx="361950" cy="0"/>
                <wp:effectExtent l="0" t="12700" r="0" b="15875"/>
                <wp:wrapNone/>
                <wp:docPr id="1085" name="直接连接符 37"/>
                <wp:cNvGraphicFramePr/>
                <a:graphic xmlns:a="http://schemas.openxmlformats.org/drawingml/2006/main">
                  <a:graphicData uri="http://schemas.microsoft.com/office/word/2010/wordprocessingShape">
                    <wps:wsp>
                      <wps:cNvCnPr/>
                      <wps:spPr>
                        <a:xfrm>
                          <a:off x="0" y="0"/>
                          <a:ext cx="361950" cy="0"/>
                        </a:xfrm>
                        <a:prstGeom prst="line">
                          <a:avLst/>
                        </a:prstGeom>
                        <a:ln w="25400" cap="flat" cmpd="sng">
                          <a:solidFill>
                            <a:srgbClr val="4F81BD"/>
                          </a:solidFill>
                          <a:prstDash val="solid"/>
                          <a:round/>
                          <a:headEnd type="none" w="med" len="med"/>
                          <a:tailEnd type="none" w="med" len="med"/>
                        </a:ln>
                      </wps:spPr>
                      <wps:bodyPr/>
                    </wps:wsp>
                  </a:graphicData>
                </a:graphic>
              </wp:anchor>
            </w:drawing>
          </mc:Choice>
          <mc:Fallback>
            <w:pict>
              <v:line id="直接连接符 37" o:spid="_x0000_s1026" o:spt="20" style="position:absolute;left:0pt;margin-left:578.55pt;margin-top:320.35pt;height:0pt;width:28.5pt;z-index:251659264;mso-width-relative:page;mso-height-relative:page;" filled="f" stroked="t" coordsize="21600,21600" o:gfxdata="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y8rgL1gAAAA0BAAAPAAAAAAAAAAEAIAAAACIAAABkcnMvZG93bnJldi54bWxQ&#10;SwECFAAUAAAACACHTuJASw00LPkBAADmAwAADgAAAAAAAAABACAAAAAlAQAAZHJzL2Uyb0RvYy54&#10;bWxQSwUGAAAAAAYABgBZAQAAkAUAAAAA&#10;">
                <v:fill on="f" focussize="0,0"/>
                <v:stroke weight="2pt" color="#4F81BD" joinstyle="round"/>
                <v:imagedata o:title=""/>
                <o:lock v:ext="edit" aspectratio="f"/>
              </v:lin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6798945</wp:posOffset>
                </wp:positionH>
                <wp:positionV relativeFrom="paragraph">
                  <wp:posOffset>3678555</wp:posOffset>
                </wp:positionV>
                <wp:extent cx="1552575" cy="1057275"/>
                <wp:effectExtent l="4445" t="4445" r="5080" b="5080"/>
                <wp:wrapNone/>
                <wp:docPr id="1086" name="文本框 36"/>
                <wp:cNvGraphicFramePr/>
                <a:graphic xmlns:a="http://schemas.openxmlformats.org/drawingml/2006/main">
                  <a:graphicData uri="http://schemas.microsoft.com/office/word/2010/wordprocessingShape">
                    <wps:wsp>
                      <wps:cNvSpPr/>
                      <wps:spPr>
                        <a:xfrm>
                          <a:off x="0" y="0"/>
                          <a:ext cx="1552575" cy="10572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auto"/>
                              <w:jc w:val="center"/>
                              <w:rPr>
                                <w:rFonts w:hint="eastAsia"/>
                                <w:lang w:val="en-US" w:eastAsia="zh-CN"/>
                              </w:rPr>
                            </w:pPr>
                            <w:r>
                              <w:rPr>
                                <w:rFonts w:hint="eastAsia"/>
                                <w:lang w:val="en-US" w:eastAsia="zh-CN"/>
                              </w:rPr>
                              <w:t>图 例</w:t>
                            </w:r>
                          </w:p>
                          <w:p>
                            <w:pPr>
                              <w:spacing w:line="360" w:lineRule="auto"/>
                              <w:jc w:val="both"/>
                              <w:rPr>
                                <w:rFonts w:hint="eastAsia"/>
                                <w:lang w:val="en-US" w:eastAsia="zh-CN"/>
                              </w:rPr>
                            </w:pPr>
                            <w:r>
                              <w:rPr>
                                <w:rFonts w:hint="eastAsia"/>
                                <w:lang w:val="en-US" w:eastAsia="zh-CN"/>
                              </w:rPr>
                              <w:t>厂界：</w:t>
                            </w:r>
                          </w:p>
                          <w:p>
                            <w:pPr>
                              <w:spacing w:line="360" w:lineRule="auto"/>
                              <w:jc w:val="both"/>
                              <w:rPr>
                                <w:rFonts w:hint="eastAsia"/>
                                <w:lang w:val="en-US" w:eastAsia="zh-CN"/>
                              </w:rPr>
                            </w:pPr>
                            <w:r>
                              <w:rPr>
                                <w:rFonts w:hint="eastAsia"/>
                                <w:lang w:val="en-US" w:eastAsia="zh-CN"/>
                              </w:rPr>
                              <w:t>厂址：</w:t>
                            </w:r>
                          </w:p>
                          <w:p>
                            <w:pPr>
                              <w:spacing w:line="360" w:lineRule="auto"/>
                              <w:jc w:val="both"/>
                              <w:rPr>
                                <w:rFonts w:hint="default"/>
                                <w:lang w:val="en-US" w:eastAsia="zh-CN"/>
                              </w:rPr>
                            </w:pPr>
                            <w:r>
                              <w:rPr>
                                <w:rFonts w:hint="eastAsia"/>
                                <w:lang w:val="en-US" w:eastAsia="zh-CN"/>
                              </w:rPr>
                              <w:t>监测点位：</w:t>
                            </w:r>
                          </w:p>
                        </w:txbxContent>
                      </wps:txbx>
                      <wps:bodyPr vert="horz" wrap="square" lIns="91440" tIns="45720" rIns="91440" bIns="45720" anchor="t">
                        <a:noAutofit/>
                      </wps:bodyPr>
                    </wps:wsp>
                  </a:graphicData>
                </a:graphic>
              </wp:anchor>
            </w:drawing>
          </mc:Choice>
          <mc:Fallback>
            <w:pict>
              <v:rect id="文本框 36" o:spid="_x0000_s1026" o:spt="1" style="position:absolute;left:0pt;margin-left:535.35pt;margin-top:289.65pt;height:83.25pt;width:122.25pt;z-index:251659264;mso-width-relative:page;mso-height-relative:page;" fillcolor="#FFFFFF" filled="t" stroked="t" coordsize="21600,21600" o:gfxdata="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rdbzPbAAAADQEAAA8AAAAAAAAAAQAgAAAAIgAAAGRy&#10;cy9kb3ducmV2LnhtbFBLAQIUABQAAAAIAIdO4kCIt6V8OwIAAJgEAAAOAAAAAAAAAAEAIAAAACoB&#10;AABkcnMvZTJvRG9jLnhtbFBLBQYAAAAABgAGAFkBAADXBQAAAAA=&#10;">
                <v:fill on="t" focussize="0,0"/>
                <v:stroke weight="0.5pt" color="#000000" joinstyle="round"/>
                <v:imagedata o:title=""/>
                <o:lock v:ext="edit" aspectratio="f"/>
                <v:textbox>
                  <w:txbxContent>
                    <w:p>
                      <w:pPr>
                        <w:spacing w:line="360" w:lineRule="auto"/>
                        <w:jc w:val="center"/>
                        <w:rPr>
                          <w:rFonts w:hint="eastAsia"/>
                          <w:lang w:val="en-US" w:eastAsia="zh-CN"/>
                        </w:rPr>
                      </w:pPr>
                      <w:r>
                        <w:rPr>
                          <w:rFonts w:hint="eastAsia"/>
                          <w:lang w:val="en-US" w:eastAsia="zh-CN"/>
                        </w:rPr>
                        <w:t>图 例</w:t>
                      </w:r>
                    </w:p>
                    <w:p>
                      <w:pPr>
                        <w:spacing w:line="360" w:lineRule="auto"/>
                        <w:jc w:val="both"/>
                        <w:rPr>
                          <w:rFonts w:hint="eastAsia"/>
                          <w:lang w:val="en-US" w:eastAsia="zh-CN"/>
                        </w:rPr>
                      </w:pPr>
                      <w:r>
                        <w:rPr>
                          <w:rFonts w:hint="eastAsia"/>
                          <w:lang w:val="en-US" w:eastAsia="zh-CN"/>
                        </w:rPr>
                        <w:t>厂界：</w:t>
                      </w:r>
                    </w:p>
                    <w:p>
                      <w:pPr>
                        <w:spacing w:line="360" w:lineRule="auto"/>
                        <w:jc w:val="both"/>
                        <w:rPr>
                          <w:rFonts w:hint="eastAsia"/>
                          <w:lang w:val="en-US" w:eastAsia="zh-CN"/>
                        </w:rPr>
                      </w:pPr>
                      <w:r>
                        <w:rPr>
                          <w:rFonts w:hint="eastAsia"/>
                          <w:lang w:val="en-US" w:eastAsia="zh-CN"/>
                        </w:rPr>
                        <w:t>厂址：</w:t>
                      </w:r>
                    </w:p>
                    <w:p>
                      <w:pPr>
                        <w:spacing w:line="360" w:lineRule="auto"/>
                        <w:jc w:val="both"/>
                        <w:rPr>
                          <w:rFonts w:hint="default"/>
                          <w:lang w:val="en-US" w:eastAsia="zh-CN"/>
                        </w:rPr>
                      </w:pPr>
                      <w:r>
                        <w:rPr>
                          <w:rFonts w:hint="eastAsia"/>
                          <w:lang w:val="en-US" w:eastAsia="zh-CN"/>
                        </w:rPr>
                        <w:t>监测点位：</w:t>
                      </w:r>
                    </w:p>
                  </w:txbxContent>
                </v:textbox>
              </v:rect>
            </w:pict>
          </mc:Fallback>
        </mc:AlternateContent>
      </w:r>
      <w:r>
        <w:rPr>
          <w:rFonts w:hint="default"/>
          <w:lang w:val="en-US" w:eastAsia="zh-CN"/>
        </w:rPr>
        <w:drawing>
          <wp:anchor distT="0" distB="0" distL="114300" distR="114300" simplePos="0" relativeHeight="251659264" behindDoc="0" locked="0" layoutInCell="1" allowOverlap="1">
            <wp:simplePos x="0" y="0"/>
            <wp:positionH relativeFrom="column">
              <wp:posOffset>7504430</wp:posOffset>
            </wp:positionH>
            <wp:positionV relativeFrom="paragraph">
              <wp:posOffset>385445</wp:posOffset>
            </wp:positionV>
            <wp:extent cx="676275" cy="581025"/>
            <wp:effectExtent l="0" t="0" r="9525" b="9525"/>
            <wp:wrapSquare wrapText="bothSides"/>
            <wp:docPr id="1087" name="图片 34" descr="图片1"/>
            <wp:cNvGraphicFramePr/>
            <a:graphic xmlns:a="http://schemas.openxmlformats.org/drawingml/2006/main">
              <a:graphicData uri="http://schemas.openxmlformats.org/drawingml/2006/picture">
                <pic:pic xmlns:pic="http://schemas.openxmlformats.org/drawingml/2006/picture">
                  <pic:nvPicPr>
                    <pic:cNvPr id="1087" name="图片 34" descr="图片1"/>
                    <pic:cNvPicPr/>
                  </pic:nvPicPr>
                  <pic:blipFill>
                    <a:blip r:embed="rId37" cstate="print"/>
                    <a:srcRect/>
                    <a:stretch>
                      <a:fillRect/>
                    </a:stretch>
                  </pic:blipFill>
                  <pic:spPr>
                    <a:xfrm>
                      <a:off x="0" y="0"/>
                      <a:ext cx="676275" cy="581025"/>
                    </a:xfrm>
                    <a:prstGeom prst="rect">
                      <a:avLst/>
                    </a:prstGeom>
                  </pic:spPr>
                </pic:pic>
              </a:graphicData>
            </a:graphic>
          </wp:anchor>
        </w:drawing>
      </w:r>
      <w:r>
        <w:rPr>
          <w:rFonts w:hint="default"/>
          <w:b/>
          <w:bCs/>
          <w:sz w:val="24"/>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24875" cy="4903470"/>
            <wp:effectExtent l="0" t="0" r="9525" b="11430"/>
            <wp:wrapSquare wrapText="bothSides"/>
            <wp:docPr id="1088" name="图片 15" descr="监测井"/>
            <wp:cNvGraphicFramePr/>
            <a:graphic xmlns:a="http://schemas.openxmlformats.org/drawingml/2006/main">
              <a:graphicData uri="http://schemas.openxmlformats.org/drawingml/2006/picture">
                <pic:pic xmlns:pic="http://schemas.openxmlformats.org/drawingml/2006/picture">
                  <pic:nvPicPr>
                    <pic:cNvPr id="1088" name="图片 15" descr="监测井"/>
                    <pic:cNvPicPr/>
                  </pic:nvPicPr>
                  <pic:blipFill>
                    <a:blip r:embed="rId41" cstate="print"/>
                    <a:srcRect/>
                    <a:stretch>
                      <a:fillRect/>
                    </a:stretch>
                  </pic:blipFill>
                  <pic:spPr>
                    <a:xfrm>
                      <a:off x="0" y="0"/>
                      <a:ext cx="8524875" cy="49034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bidi w:val="0"/>
        <w:jc w:val="both"/>
        <w:outlineLvl w:val="0"/>
        <w:rPr>
          <w:rFonts w:hint="default"/>
          <w:b/>
          <w:bCs/>
          <w:sz w:val="24"/>
          <w:lang w:val="en-US" w:eastAsia="zh-CN"/>
        </w:rPr>
      </w:pPr>
      <w:bookmarkStart w:id="23" w:name="_Toc620"/>
      <w:r>
        <w:rPr>
          <w:rFonts w:hint="eastAsia"/>
          <w:b/>
          <w:bCs/>
          <w:sz w:val="24"/>
          <w:lang w:val="en-US" w:eastAsia="zh-CN"/>
        </w:rPr>
        <w:t>附件1 营业执照</w:t>
      </w:r>
      <w:bookmarkEnd w:id="23"/>
    </w:p>
    <w:p>
      <w:pPr>
        <w:spacing w:before="78" w:line="360" w:lineRule="auto"/>
        <w:ind w:left="41"/>
        <w:jc w:val="center"/>
        <w:outlineLvl w:val="9"/>
        <w:rPr>
          <w:rFonts w:hint="eastAsia" w:cs="新宋体"/>
          <w:b/>
          <w:bCs/>
          <w:spacing w:val="-3"/>
          <w:position w:val="21"/>
          <w:sz w:val="24"/>
          <w:szCs w:val="24"/>
          <w:lang w:val="en-US" w:eastAsia="zh-CN"/>
        </w:rPr>
      </w:pPr>
      <w:r>
        <w:rPr>
          <w:rFonts w:hint="eastAsia" w:cs="新宋体"/>
          <w:b/>
          <w:bCs/>
          <w:spacing w:val="-3"/>
          <w:position w:val="21"/>
          <w:sz w:val="24"/>
          <w:szCs w:val="24"/>
          <w:lang w:val="en-US" w:eastAsia="zh-CN"/>
        </w:rPr>
        <w:drawing>
          <wp:inline distT="0" distB="0" distL="114300" distR="114300">
            <wp:extent cx="5609590" cy="3973830"/>
            <wp:effectExtent l="0" t="0" r="3810" b="1270"/>
            <wp:docPr id="2" name="图片 2"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营业执照"/>
                    <pic:cNvPicPr>
                      <a:picLocks noChangeAspect="1"/>
                    </pic:cNvPicPr>
                  </pic:nvPicPr>
                  <pic:blipFill>
                    <a:blip r:embed="rId42"/>
                    <a:stretch>
                      <a:fillRect/>
                    </a:stretch>
                  </pic:blipFill>
                  <pic:spPr>
                    <a:xfrm>
                      <a:off x="0" y="0"/>
                      <a:ext cx="5609590" cy="3973830"/>
                    </a:xfrm>
                    <a:prstGeom prst="rect">
                      <a:avLst/>
                    </a:prstGeom>
                  </pic:spPr>
                </pic:pic>
              </a:graphicData>
            </a:graphic>
          </wp:inline>
        </w:drawing>
      </w:r>
    </w:p>
    <w:p>
      <w:pPr>
        <w:spacing w:before="78" w:line="360" w:lineRule="auto"/>
        <w:ind w:left="41"/>
        <w:outlineLvl w:val="9"/>
        <w:rPr>
          <w:rFonts w:hint="eastAsia" w:cs="新宋体"/>
          <w:b/>
          <w:bCs/>
          <w:spacing w:val="-3"/>
          <w:position w:val="21"/>
          <w:sz w:val="24"/>
          <w:szCs w:val="24"/>
          <w:lang w:val="en-US" w:eastAsia="zh-CN"/>
        </w:rPr>
      </w:pPr>
    </w:p>
    <w:p>
      <w:pPr>
        <w:spacing w:before="78" w:line="360" w:lineRule="auto"/>
        <w:ind w:left="41"/>
        <w:outlineLvl w:val="0"/>
        <w:rPr>
          <w:rFonts w:hint="eastAsia" w:cs="新宋体"/>
          <w:b/>
          <w:bCs/>
          <w:spacing w:val="-3"/>
          <w:position w:val="21"/>
          <w:sz w:val="24"/>
          <w:szCs w:val="24"/>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bidi w:val="0"/>
        <w:jc w:val="both"/>
        <w:outlineLvl w:val="0"/>
        <w:rPr>
          <w:rFonts w:hint="default"/>
          <w:b/>
          <w:bCs/>
          <w:sz w:val="24"/>
          <w:lang w:val="en-US" w:eastAsia="zh-CN"/>
        </w:rPr>
      </w:pPr>
      <w:bookmarkStart w:id="24" w:name="_Toc2151"/>
      <w:r>
        <w:rPr>
          <w:rFonts w:hint="eastAsia"/>
          <w:b/>
          <w:bCs/>
          <w:sz w:val="24"/>
          <w:lang w:val="en-US" w:eastAsia="zh-CN"/>
        </w:rPr>
        <w:t>附件2 建设项目用地预审与选址意见书</w:t>
      </w:r>
      <w:bookmarkEnd w:id="24"/>
    </w:p>
    <w:p>
      <w:pPr>
        <w:spacing w:before="78" w:line="360" w:lineRule="auto"/>
        <w:ind w:left="41"/>
        <w:jc w:val="center"/>
        <w:outlineLvl w:val="9"/>
        <w:rPr>
          <w:rFonts w:hint="eastAsia" w:cs="新宋体"/>
          <w:b/>
          <w:bCs/>
          <w:spacing w:val="-3"/>
          <w:position w:val="21"/>
          <w:sz w:val="24"/>
          <w:szCs w:val="24"/>
          <w:lang w:val="en-US" w:eastAsia="zh-CN"/>
        </w:rPr>
      </w:pPr>
      <w:r>
        <w:rPr>
          <w:rFonts w:hint="eastAsia" w:cs="新宋体"/>
          <w:b/>
          <w:bCs/>
          <w:spacing w:val="-3"/>
          <w:position w:val="21"/>
          <w:sz w:val="24"/>
          <w:szCs w:val="24"/>
          <w:lang w:val="en-US" w:eastAsia="zh-CN"/>
        </w:rPr>
        <w:drawing>
          <wp:inline distT="0" distB="0" distL="114300" distR="114300">
            <wp:extent cx="5606415" cy="7993380"/>
            <wp:effectExtent l="0" t="0" r="6985" b="762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3"/>
                    <a:stretch>
                      <a:fillRect/>
                    </a:stretch>
                  </pic:blipFill>
                  <pic:spPr>
                    <a:xfrm>
                      <a:off x="0" y="0"/>
                      <a:ext cx="5606415" cy="7993380"/>
                    </a:xfrm>
                    <a:prstGeom prst="rect">
                      <a:avLst/>
                    </a:prstGeom>
                  </pic:spPr>
                </pic:pic>
              </a:graphicData>
            </a:graphic>
          </wp:inline>
        </w:drawing>
      </w:r>
    </w:p>
    <w:p>
      <w:pPr>
        <w:spacing w:before="78" w:line="360" w:lineRule="auto"/>
        <w:ind w:left="41"/>
        <w:jc w:val="center"/>
        <w:outlineLvl w:val="9"/>
        <w:rPr>
          <w:rFonts w:hint="eastAsia" w:cs="新宋体"/>
          <w:b/>
          <w:bCs/>
          <w:spacing w:val="-3"/>
          <w:position w:val="21"/>
          <w:sz w:val="24"/>
          <w:szCs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cs="新宋体"/>
          <w:b/>
          <w:bCs/>
          <w:spacing w:val="-3"/>
          <w:position w:val="21"/>
          <w:sz w:val="24"/>
          <w:szCs w:val="24"/>
          <w:lang w:val="en-US" w:eastAsia="zh-CN"/>
        </w:rPr>
        <w:drawing>
          <wp:inline distT="0" distB="0" distL="114300" distR="114300">
            <wp:extent cx="5481955" cy="8530590"/>
            <wp:effectExtent l="0" t="0" r="4445" b="381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44"/>
                    <a:stretch>
                      <a:fillRect/>
                    </a:stretch>
                  </pic:blipFill>
                  <pic:spPr>
                    <a:xfrm>
                      <a:off x="0" y="0"/>
                      <a:ext cx="5481955" cy="8530590"/>
                    </a:xfrm>
                    <a:prstGeom prst="rect">
                      <a:avLst/>
                    </a:prstGeom>
                  </pic:spPr>
                </pic:pic>
              </a:graphicData>
            </a:graphic>
          </wp:inline>
        </w:drawing>
      </w:r>
    </w:p>
    <w:p>
      <w:pPr>
        <w:spacing w:before="78" w:line="360" w:lineRule="auto"/>
        <w:ind w:left="41"/>
        <w:outlineLvl w:val="0"/>
        <w:rPr>
          <w:rFonts w:hint="default" w:ascii="Times New Roman" w:hAnsi="Times New Roman" w:eastAsia="宋体" w:cs="新宋体"/>
          <w:b/>
          <w:bCs/>
          <w:spacing w:val="-3"/>
          <w:position w:val="21"/>
          <w:sz w:val="24"/>
          <w:szCs w:val="24"/>
          <w:lang w:val="en-US" w:eastAsia="zh-CN"/>
        </w:rPr>
      </w:pPr>
      <w:bookmarkStart w:id="25" w:name="_Toc10966"/>
      <w:r>
        <w:rPr>
          <w:rFonts w:hint="eastAsia" w:cs="新宋体"/>
          <w:b/>
          <w:bCs/>
          <w:spacing w:val="-3"/>
          <w:position w:val="21"/>
          <w:sz w:val="24"/>
          <w:szCs w:val="24"/>
          <w:lang w:val="en-US" w:eastAsia="zh-CN"/>
        </w:rPr>
        <w:t>附件3 黑龙江省七台河市废旧钢铁再造矿山25万吨设备铸件项目环境质量现状监测报告</w:t>
      </w:r>
      <w:bookmarkEnd w:id="25"/>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3"/>
        </w:rPr>
        <w:drawing>
          <wp:inline distT="0" distB="0" distL="0" distR="0">
            <wp:extent cx="5273675" cy="7426325"/>
            <wp:effectExtent l="0" t="0" r="3175" b="3175"/>
            <wp:docPr id="1089" name="IM 1368"/>
            <wp:cNvGraphicFramePr/>
            <a:graphic xmlns:a="http://schemas.openxmlformats.org/drawingml/2006/main">
              <a:graphicData uri="http://schemas.openxmlformats.org/drawingml/2006/picture">
                <pic:pic xmlns:pic="http://schemas.openxmlformats.org/drawingml/2006/picture">
                  <pic:nvPicPr>
                    <pic:cNvPr id="1089" name="IM 1368"/>
                    <pic:cNvPicPr/>
                  </pic:nvPicPr>
                  <pic:blipFill>
                    <a:blip r:embed="rId45" cstate="print"/>
                    <a:srcRect/>
                    <a:stretch>
                      <a:fillRect/>
                    </a:stretch>
                  </pic:blipFill>
                  <pic:spPr>
                    <a:xfrm>
                      <a:off x="0" y="0"/>
                      <a:ext cx="5273675" cy="74263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5"/>
        </w:rPr>
        <w:drawing>
          <wp:inline distT="0" distB="0" distL="0" distR="0">
            <wp:extent cx="5273675" cy="7480300"/>
            <wp:effectExtent l="0" t="0" r="3175" b="6350"/>
            <wp:docPr id="1090" name="IM 1370"/>
            <wp:cNvGraphicFramePr/>
            <a:graphic xmlns:a="http://schemas.openxmlformats.org/drawingml/2006/main">
              <a:graphicData uri="http://schemas.openxmlformats.org/drawingml/2006/picture">
                <pic:pic xmlns:pic="http://schemas.openxmlformats.org/drawingml/2006/picture">
                  <pic:nvPicPr>
                    <pic:cNvPr id="1090" name="IM 1370"/>
                    <pic:cNvPicPr/>
                  </pic:nvPicPr>
                  <pic:blipFill>
                    <a:blip r:embed="rId46" cstate="print"/>
                    <a:srcRect/>
                    <a:stretch>
                      <a:fillRect/>
                    </a:stretch>
                  </pic:blipFill>
                  <pic:spPr>
                    <a:xfrm>
                      <a:off x="0" y="0"/>
                      <a:ext cx="5273675" cy="7480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4"/>
        </w:rPr>
        <w:drawing>
          <wp:inline distT="0" distB="0" distL="0" distR="0">
            <wp:extent cx="5273675" cy="7432675"/>
            <wp:effectExtent l="0" t="0" r="3175" b="15875"/>
            <wp:docPr id="1091" name="IM 1372"/>
            <wp:cNvGraphicFramePr/>
            <a:graphic xmlns:a="http://schemas.openxmlformats.org/drawingml/2006/main">
              <a:graphicData uri="http://schemas.openxmlformats.org/drawingml/2006/picture">
                <pic:pic xmlns:pic="http://schemas.openxmlformats.org/drawingml/2006/picture">
                  <pic:nvPicPr>
                    <pic:cNvPr id="1091" name="IM 1372"/>
                    <pic:cNvPicPr/>
                  </pic:nvPicPr>
                  <pic:blipFill>
                    <a:blip r:embed="rId47" cstate="print"/>
                    <a:srcRect/>
                    <a:stretch>
                      <a:fillRect/>
                    </a:stretch>
                  </pic:blipFill>
                  <pic:spPr>
                    <a:xfrm>
                      <a:off x="0" y="0"/>
                      <a:ext cx="5273675" cy="7432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1"/>
        </w:rPr>
        <w:drawing>
          <wp:inline distT="0" distB="0" distL="0" distR="0">
            <wp:extent cx="5273675" cy="7355205"/>
            <wp:effectExtent l="0" t="0" r="3175" b="17145"/>
            <wp:docPr id="1092" name="IM 1374"/>
            <wp:cNvGraphicFramePr/>
            <a:graphic xmlns:a="http://schemas.openxmlformats.org/drawingml/2006/main">
              <a:graphicData uri="http://schemas.openxmlformats.org/drawingml/2006/picture">
                <pic:pic xmlns:pic="http://schemas.openxmlformats.org/drawingml/2006/picture">
                  <pic:nvPicPr>
                    <pic:cNvPr id="1092" name="IM 1374"/>
                    <pic:cNvPicPr/>
                  </pic:nvPicPr>
                  <pic:blipFill>
                    <a:blip r:embed="rId48" cstate="print"/>
                    <a:srcRect/>
                    <a:stretch>
                      <a:fillRect/>
                    </a:stretch>
                  </pic:blipFill>
                  <pic:spPr>
                    <a:xfrm>
                      <a:off x="0" y="0"/>
                      <a:ext cx="5273675" cy="7355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3"/>
        </w:rPr>
        <w:drawing>
          <wp:inline distT="0" distB="0" distL="0" distR="0">
            <wp:extent cx="5273675" cy="7400925"/>
            <wp:effectExtent l="0" t="0" r="3175" b="9525"/>
            <wp:docPr id="1093" name="IM 1376"/>
            <wp:cNvGraphicFramePr/>
            <a:graphic xmlns:a="http://schemas.openxmlformats.org/drawingml/2006/main">
              <a:graphicData uri="http://schemas.openxmlformats.org/drawingml/2006/picture">
                <pic:pic xmlns:pic="http://schemas.openxmlformats.org/drawingml/2006/picture">
                  <pic:nvPicPr>
                    <pic:cNvPr id="1093" name="IM 1376"/>
                    <pic:cNvPicPr/>
                  </pic:nvPicPr>
                  <pic:blipFill>
                    <a:blip r:embed="rId49" cstate="print"/>
                    <a:srcRect/>
                    <a:stretch>
                      <a:fillRect/>
                    </a:stretch>
                  </pic:blipFill>
                  <pic:spPr>
                    <a:xfrm>
                      <a:off x="0" y="0"/>
                      <a:ext cx="5273675" cy="7400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3"/>
        </w:rPr>
        <w:drawing>
          <wp:inline distT="0" distB="0" distL="0" distR="0">
            <wp:extent cx="5273675" cy="7405370"/>
            <wp:effectExtent l="0" t="0" r="3175" b="5080"/>
            <wp:docPr id="1094" name="IM 1378"/>
            <wp:cNvGraphicFramePr/>
            <a:graphic xmlns:a="http://schemas.openxmlformats.org/drawingml/2006/main">
              <a:graphicData uri="http://schemas.openxmlformats.org/drawingml/2006/picture">
                <pic:pic xmlns:pic="http://schemas.openxmlformats.org/drawingml/2006/picture">
                  <pic:nvPicPr>
                    <pic:cNvPr id="1094" name="IM 1378"/>
                    <pic:cNvPicPr/>
                  </pic:nvPicPr>
                  <pic:blipFill>
                    <a:blip r:embed="rId50" cstate="print"/>
                    <a:srcRect/>
                    <a:stretch>
                      <a:fillRect/>
                    </a:stretch>
                  </pic:blipFill>
                  <pic:spPr>
                    <a:xfrm>
                      <a:off x="0" y="0"/>
                      <a:ext cx="5273675" cy="7405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1"/>
        </w:rPr>
        <w:drawing>
          <wp:inline distT="0" distB="0" distL="0" distR="0">
            <wp:extent cx="5275580" cy="7362190"/>
            <wp:effectExtent l="0" t="0" r="1270" b="10160"/>
            <wp:docPr id="1095" name="IM 1380"/>
            <wp:cNvGraphicFramePr/>
            <a:graphic xmlns:a="http://schemas.openxmlformats.org/drawingml/2006/main">
              <a:graphicData uri="http://schemas.openxmlformats.org/drawingml/2006/picture">
                <pic:pic xmlns:pic="http://schemas.openxmlformats.org/drawingml/2006/picture">
                  <pic:nvPicPr>
                    <pic:cNvPr id="1095" name="IM 1380"/>
                    <pic:cNvPicPr/>
                  </pic:nvPicPr>
                  <pic:blipFill>
                    <a:blip r:embed="rId51" cstate="print"/>
                    <a:srcRect/>
                    <a:stretch>
                      <a:fillRect/>
                    </a:stretch>
                  </pic:blipFill>
                  <pic:spPr>
                    <a:xfrm>
                      <a:off x="0" y="0"/>
                      <a:ext cx="5275580" cy="7362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4"/>
        </w:rPr>
        <w:drawing>
          <wp:inline distT="0" distB="0" distL="0" distR="0">
            <wp:extent cx="5273675" cy="7432675"/>
            <wp:effectExtent l="0" t="0" r="3175" b="15875"/>
            <wp:docPr id="1096" name="IM 1382"/>
            <wp:cNvGraphicFramePr/>
            <a:graphic xmlns:a="http://schemas.openxmlformats.org/drawingml/2006/main">
              <a:graphicData uri="http://schemas.openxmlformats.org/drawingml/2006/picture">
                <pic:pic xmlns:pic="http://schemas.openxmlformats.org/drawingml/2006/picture">
                  <pic:nvPicPr>
                    <pic:cNvPr id="1096" name="IM 1382"/>
                    <pic:cNvPicPr/>
                  </pic:nvPicPr>
                  <pic:blipFill>
                    <a:blip r:embed="rId52" cstate="print"/>
                    <a:srcRect/>
                    <a:stretch>
                      <a:fillRect/>
                    </a:stretch>
                  </pic:blipFill>
                  <pic:spPr>
                    <a:xfrm>
                      <a:off x="0" y="0"/>
                      <a:ext cx="5273675" cy="7432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4"/>
        </w:rPr>
        <w:drawing>
          <wp:inline distT="0" distB="0" distL="0" distR="0">
            <wp:extent cx="5273675" cy="7454265"/>
            <wp:effectExtent l="0" t="0" r="3175" b="13334"/>
            <wp:docPr id="1097" name="IM 1384"/>
            <wp:cNvGraphicFramePr/>
            <a:graphic xmlns:a="http://schemas.openxmlformats.org/drawingml/2006/main">
              <a:graphicData uri="http://schemas.openxmlformats.org/drawingml/2006/picture">
                <pic:pic xmlns:pic="http://schemas.openxmlformats.org/drawingml/2006/picture">
                  <pic:nvPicPr>
                    <pic:cNvPr id="1097" name="IM 1384"/>
                    <pic:cNvPicPr/>
                  </pic:nvPicPr>
                  <pic:blipFill>
                    <a:blip r:embed="rId53" cstate="print"/>
                    <a:srcRect/>
                    <a:stretch>
                      <a:fillRect/>
                    </a:stretch>
                  </pic:blipFill>
                  <pic:spPr>
                    <a:xfrm>
                      <a:off x="0" y="0"/>
                      <a:ext cx="5273675" cy="74542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2"/>
        </w:rPr>
        <w:drawing>
          <wp:inline distT="0" distB="0" distL="0" distR="0">
            <wp:extent cx="5273675" cy="7372985"/>
            <wp:effectExtent l="0" t="0" r="3175" b="18415"/>
            <wp:docPr id="1098" name="IM 1386"/>
            <wp:cNvGraphicFramePr/>
            <a:graphic xmlns:a="http://schemas.openxmlformats.org/drawingml/2006/main">
              <a:graphicData uri="http://schemas.openxmlformats.org/drawingml/2006/picture">
                <pic:pic xmlns:pic="http://schemas.openxmlformats.org/drawingml/2006/picture">
                  <pic:nvPicPr>
                    <pic:cNvPr id="1098" name="IM 1386"/>
                    <pic:cNvPicPr/>
                  </pic:nvPicPr>
                  <pic:blipFill>
                    <a:blip r:embed="rId54" cstate="print"/>
                    <a:srcRect/>
                    <a:stretch>
                      <a:fillRect/>
                    </a:stretch>
                  </pic:blipFill>
                  <pic:spPr>
                    <a:xfrm>
                      <a:off x="0" y="0"/>
                      <a:ext cx="5273675" cy="7372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2"/>
        </w:rPr>
        <w:drawing>
          <wp:inline distT="0" distB="0" distL="0" distR="0">
            <wp:extent cx="5273675" cy="7367270"/>
            <wp:effectExtent l="0" t="0" r="3175" b="5080"/>
            <wp:docPr id="1099" name="IM 1388"/>
            <wp:cNvGraphicFramePr/>
            <a:graphic xmlns:a="http://schemas.openxmlformats.org/drawingml/2006/main">
              <a:graphicData uri="http://schemas.openxmlformats.org/drawingml/2006/picture">
                <pic:pic xmlns:pic="http://schemas.openxmlformats.org/drawingml/2006/picture">
                  <pic:nvPicPr>
                    <pic:cNvPr id="1099" name="IM 1388"/>
                    <pic:cNvPicPr/>
                  </pic:nvPicPr>
                  <pic:blipFill>
                    <a:blip r:embed="rId55" cstate="print"/>
                    <a:srcRect/>
                    <a:stretch>
                      <a:fillRect/>
                    </a:stretch>
                  </pic:blipFill>
                  <pic:spPr>
                    <a:xfrm>
                      <a:off x="0" y="0"/>
                      <a:ext cx="5273675" cy="7367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4"/>
        </w:rPr>
        <w:drawing>
          <wp:inline distT="0" distB="0" distL="0" distR="0">
            <wp:extent cx="5273675" cy="7435850"/>
            <wp:effectExtent l="0" t="0" r="3175" b="12700"/>
            <wp:docPr id="1100" name="IM 1390"/>
            <wp:cNvGraphicFramePr/>
            <a:graphic xmlns:a="http://schemas.openxmlformats.org/drawingml/2006/main">
              <a:graphicData uri="http://schemas.openxmlformats.org/drawingml/2006/picture">
                <pic:pic xmlns:pic="http://schemas.openxmlformats.org/drawingml/2006/picture">
                  <pic:nvPicPr>
                    <pic:cNvPr id="1100" name="IM 1390"/>
                    <pic:cNvPicPr/>
                  </pic:nvPicPr>
                  <pic:blipFill>
                    <a:blip r:embed="rId56" cstate="print"/>
                    <a:srcRect/>
                    <a:stretch>
                      <a:fillRect/>
                    </a:stretch>
                  </pic:blipFill>
                  <pic:spPr>
                    <a:xfrm>
                      <a:off x="0" y="0"/>
                      <a:ext cx="5273675" cy="7435850"/>
                    </a:xfrm>
                    <a:prstGeom prst="rect">
                      <a:avLst/>
                    </a:prstGeom>
                  </pic:spPr>
                </pic:pic>
              </a:graphicData>
            </a:graphic>
          </wp:inline>
        </w:drawing>
      </w:r>
      <w:bookmarkStart w:id="26" w:name="_GoBack"/>
      <w:bookmarkEnd w:id="26"/>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1"/>
        </w:rPr>
        <w:drawing>
          <wp:inline distT="0" distB="0" distL="0" distR="0">
            <wp:extent cx="5273675" cy="7359015"/>
            <wp:effectExtent l="0" t="0" r="3175" b="13334"/>
            <wp:docPr id="1101" name="IM 1392"/>
            <wp:cNvGraphicFramePr/>
            <a:graphic xmlns:a="http://schemas.openxmlformats.org/drawingml/2006/main">
              <a:graphicData uri="http://schemas.openxmlformats.org/drawingml/2006/picture">
                <pic:pic xmlns:pic="http://schemas.openxmlformats.org/drawingml/2006/picture">
                  <pic:nvPicPr>
                    <pic:cNvPr id="1101" name="IM 1392"/>
                    <pic:cNvPicPr/>
                  </pic:nvPicPr>
                  <pic:blipFill>
                    <a:blip r:embed="rId57" cstate="print"/>
                    <a:srcRect/>
                    <a:stretch>
                      <a:fillRect/>
                    </a:stretch>
                  </pic:blipFill>
                  <pic:spPr>
                    <a:xfrm>
                      <a:off x="0" y="0"/>
                      <a:ext cx="5273675" cy="7359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1"/>
        </w:rPr>
        <w:drawing>
          <wp:inline distT="0" distB="0" distL="0" distR="0">
            <wp:extent cx="5273675" cy="7355205"/>
            <wp:effectExtent l="0" t="0" r="3175" b="17145"/>
            <wp:docPr id="1102" name="IM 1394"/>
            <wp:cNvGraphicFramePr/>
            <a:graphic xmlns:a="http://schemas.openxmlformats.org/drawingml/2006/main">
              <a:graphicData uri="http://schemas.openxmlformats.org/drawingml/2006/picture">
                <pic:pic xmlns:pic="http://schemas.openxmlformats.org/drawingml/2006/picture">
                  <pic:nvPicPr>
                    <pic:cNvPr id="1102" name="IM 1394"/>
                    <pic:cNvPicPr/>
                  </pic:nvPicPr>
                  <pic:blipFill>
                    <a:blip r:embed="rId58" cstate="print"/>
                    <a:srcRect/>
                    <a:stretch>
                      <a:fillRect/>
                    </a:stretch>
                  </pic:blipFill>
                  <pic:spPr>
                    <a:xfrm>
                      <a:off x="0" y="0"/>
                      <a:ext cx="5273675" cy="7355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1"/>
        </w:rPr>
        <w:drawing>
          <wp:inline distT="0" distB="0" distL="0" distR="0">
            <wp:extent cx="5274310" cy="7343140"/>
            <wp:effectExtent l="0" t="0" r="2540" b="10160"/>
            <wp:docPr id="1103" name="IM 1396"/>
            <wp:cNvGraphicFramePr/>
            <a:graphic xmlns:a="http://schemas.openxmlformats.org/drawingml/2006/main">
              <a:graphicData uri="http://schemas.openxmlformats.org/drawingml/2006/picture">
                <pic:pic xmlns:pic="http://schemas.openxmlformats.org/drawingml/2006/picture">
                  <pic:nvPicPr>
                    <pic:cNvPr id="1103" name="IM 1396"/>
                    <pic:cNvPicPr/>
                  </pic:nvPicPr>
                  <pic:blipFill>
                    <a:blip r:embed="rId59" cstate="print"/>
                    <a:srcRect/>
                    <a:stretch>
                      <a:fillRect/>
                    </a:stretch>
                  </pic:blipFill>
                  <pic:spPr>
                    <a:xfrm>
                      <a:off x="0" y="0"/>
                      <a:ext cx="5274310" cy="7343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2"/>
        </w:rPr>
        <w:drawing>
          <wp:inline distT="0" distB="0" distL="0" distR="0">
            <wp:extent cx="5273675" cy="7394575"/>
            <wp:effectExtent l="0" t="0" r="3175" b="15875"/>
            <wp:docPr id="1104" name="IM 1398"/>
            <wp:cNvGraphicFramePr/>
            <a:graphic xmlns:a="http://schemas.openxmlformats.org/drawingml/2006/main">
              <a:graphicData uri="http://schemas.openxmlformats.org/drawingml/2006/picture">
                <pic:pic xmlns:pic="http://schemas.openxmlformats.org/drawingml/2006/picture">
                  <pic:nvPicPr>
                    <pic:cNvPr id="1104" name="IM 1398"/>
                    <pic:cNvPicPr/>
                  </pic:nvPicPr>
                  <pic:blipFill>
                    <a:blip r:embed="rId60" cstate="print"/>
                    <a:srcRect/>
                    <a:stretch>
                      <a:fillRect/>
                    </a:stretch>
                  </pic:blipFill>
                  <pic:spPr>
                    <a:xfrm>
                      <a:off x="0" y="0"/>
                      <a:ext cx="5273675" cy="73945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4"/>
        </w:rPr>
        <w:drawing>
          <wp:inline distT="0" distB="0" distL="0" distR="0">
            <wp:extent cx="5271770" cy="7447915"/>
            <wp:effectExtent l="0" t="0" r="5080" b="635"/>
            <wp:docPr id="1105" name="IM 1400"/>
            <wp:cNvGraphicFramePr/>
            <a:graphic xmlns:a="http://schemas.openxmlformats.org/drawingml/2006/main">
              <a:graphicData uri="http://schemas.openxmlformats.org/drawingml/2006/picture">
                <pic:pic xmlns:pic="http://schemas.openxmlformats.org/drawingml/2006/picture">
                  <pic:nvPicPr>
                    <pic:cNvPr id="1105" name="IM 1400"/>
                    <pic:cNvPicPr/>
                  </pic:nvPicPr>
                  <pic:blipFill>
                    <a:blip r:embed="rId61" cstate="print"/>
                    <a:srcRect/>
                    <a:stretch>
                      <a:fillRect/>
                    </a:stretch>
                  </pic:blipFill>
                  <pic:spPr>
                    <a:xfrm>
                      <a:off x="0" y="0"/>
                      <a:ext cx="5271770" cy="7447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lang w:val="en-US" w:eastAsia="zh-CN"/>
        </w:rPr>
      </w:pPr>
      <w:r>
        <w:rPr>
          <w:position w:val="-232"/>
        </w:rPr>
        <w:drawing>
          <wp:inline distT="0" distB="0" distL="0" distR="0">
            <wp:extent cx="5273675" cy="7371080"/>
            <wp:effectExtent l="0" t="0" r="3175" b="1270"/>
            <wp:docPr id="1106" name="IM 1402"/>
            <wp:cNvGraphicFramePr/>
            <a:graphic xmlns:a="http://schemas.openxmlformats.org/drawingml/2006/main">
              <a:graphicData uri="http://schemas.openxmlformats.org/drawingml/2006/picture">
                <pic:pic xmlns:pic="http://schemas.openxmlformats.org/drawingml/2006/picture">
                  <pic:nvPicPr>
                    <pic:cNvPr id="1106" name="IM 1402"/>
                    <pic:cNvPicPr/>
                  </pic:nvPicPr>
                  <pic:blipFill>
                    <a:blip r:embed="rId62" cstate="print"/>
                    <a:srcRect/>
                    <a:stretch>
                      <a:fillRect/>
                    </a:stretch>
                  </pic:blipFill>
                  <pic:spPr>
                    <a:xfrm>
                      <a:off x="0" y="0"/>
                      <a:ext cx="5273675" cy="7371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4"/>
          <w:lang w:val="en-US" w:eastAsia="zh-CN"/>
        </w:rPr>
      </w:pP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000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panose1 w:val="02010600040101010101"/>
    <w:charset w:val="7A"/>
    <w:family w:val="auto"/>
    <w:pitch w:val="default"/>
    <w:sig w:usb0="00000287" w:usb1="080F0000" w:usb2="00000000" w:usb3="00000000" w:csb0="0004009F" w:csb1="DFD70000"/>
  </w:font>
  <w:font w:name="仿宋">
    <w:panose1 w:val="02010609060101010101"/>
    <w:charset w:val="7A"/>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30"/>
      </w:rPr>
    </w:pPr>
    <w:r>
      <w:fldChar w:fldCharType="begin"/>
    </w:r>
    <w:r>
      <w:rPr>
        <w:rStyle w:val="30"/>
      </w:rPr>
      <w:instrText xml:space="preserve">PAGE  </w:instrText>
    </w:r>
    <w: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wrap="none" lIns="0" tIns="0" rIns="0" bIns="0" upright="1">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T0m7K8MBAACHAwAADgAAAAAAAAABACAAAAAfAQAAZHJzL2Uyb0RvYy54bWxQ&#10;SwUGAAAAAAYABgBZAQAAVAUAAAAA&#10;">
              <v:fill on="f" focussize="0,0"/>
              <v:stroke on="f"/>
              <v:imagedata o:title=""/>
              <o:lock v:ext="edit" aspectratio="f"/>
              <v:textbox inset="0mm,0mm,0mm,0mm" style="mso-fit-shape-to-text:t;">
                <w:txbxContent>
                  <w:p>
                    <w:pPr>
                      <w:pStyle w:val="1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11</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piiAcMMBAACHAwAADgAAAAAAAAABACAAAAAfAQAAZHJzL2Uyb0RvYy54bWxQ&#10;SwUGAAAAAAYABgBZAQAAVAUAAAAA&#10;">
              <v:fill on="f" focussize="0,0"/>
              <v:stroke on="f"/>
              <v:imagedata o:title=""/>
              <o:lock v:ext="edit" aspectratio="f"/>
              <v:textbox inset="0mm,0mm,0mm,0mm" style="mso-fit-shape-to-text:t;">
                <w:txbxContent>
                  <w:p>
                    <w:pPr>
                      <w:pStyle w:val="1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11</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doNotValidateAgainstSchema/>
  <w:doNotDemarcateInvalidXml/>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wMWZlNDllZjIyNDIzNjEwN2FhZjdiMzQ4MGQxYjMifQ=="/>
  </w:docVars>
  <w:rsids>
    <w:rsidRoot w:val="00000000"/>
    <w:rsid w:val="060317A8"/>
    <w:rsid w:val="0AC92FC0"/>
    <w:rsid w:val="0B8A683F"/>
    <w:rsid w:val="0D5A43A4"/>
    <w:rsid w:val="0F5D461F"/>
    <w:rsid w:val="1122437D"/>
    <w:rsid w:val="119331AA"/>
    <w:rsid w:val="175C51BC"/>
    <w:rsid w:val="1B3501FE"/>
    <w:rsid w:val="1D1F1166"/>
    <w:rsid w:val="1E2D5909"/>
    <w:rsid w:val="1E8A6AB3"/>
    <w:rsid w:val="1F900A1F"/>
    <w:rsid w:val="1FFE1506"/>
    <w:rsid w:val="23AE6D9F"/>
    <w:rsid w:val="272D663D"/>
    <w:rsid w:val="2B193698"/>
    <w:rsid w:val="2BDF65F0"/>
    <w:rsid w:val="2EC456C9"/>
    <w:rsid w:val="2F48454C"/>
    <w:rsid w:val="3038636F"/>
    <w:rsid w:val="316A69FC"/>
    <w:rsid w:val="33B814AB"/>
    <w:rsid w:val="375D490D"/>
    <w:rsid w:val="39072D82"/>
    <w:rsid w:val="3986014B"/>
    <w:rsid w:val="3A0F6392"/>
    <w:rsid w:val="3D141F11"/>
    <w:rsid w:val="3EB05890"/>
    <w:rsid w:val="3FC7326B"/>
    <w:rsid w:val="4ECC61A8"/>
    <w:rsid w:val="5086682B"/>
    <w:rsid w:val="53CC27A6"/>
    <w:rsid w:val="5988716F"/>
    <w:rsid w:val="5AB82A6A"/>
    <w:rsid w:val="5B0373F5"/>
    <w:rsid w:val="5CD11E64"/>
    <w:rsid w:val="5CEE7C31"/>
    <w:rsid w:val="5CF8460C"/>
    <w:rsid w:val="5D301FF8"/>
    <w:rsid w:val="673B7F17"/>
    <w:rsid w:val="67A41618"/>
    <w:rsid w:val="68572B2F"/>
    <w:rsid w:val="698C6808"/>
    <w:rsid w:val="6DFF3A4C"/>
    <w:rsid w:val="70E35B2A"/>
    <w:rsid w:val="766D69B4"/>
    <w:rsid w:val="76C577FD"/>
    <w:rsid w:val="771F2A69"/>
    <w:rsid w:val="797A667D"/>
    <w:rsid w:val="7AC5601E"/>
    <w:rsid w:val="7B0A27F2"/>
    <w:rsid w:val="7CE87DA1"/>
    <w:rsid w:val="7EA321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0"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0"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0"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0"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0"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0"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0"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ascii="Times New Roman" w:hAnsi="Times New Roman" w:eastAsia="黑体" w:cs="Times New Roman"/>
      <w:b/>
      <w:bCs/>
      <w:color w:val="000000"/>
      <w:kern w:val="44"/>
      <w:sz w:val="30"/>
      <w:szCs w:val="30"/>
    </w:rPr>
  </w:style>
  <w:style w:type="character" w:default="1" w:styleId="29">
    <w:name w:val="Default Paragraph Font"/>
    <w:qFormat/>
    <w:uiPriority w:val="0"/>
    <w:rPr>
      <w:rFonts w:ascii="Times New Roman" w:hAnsi="Times New Roman" w:eastAsia="宋体" w:cs="Times New Roman"/>
    </w:rPr>
  </w:style>
  <w:style w:type="table" w:default="1" w:styleId="20">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3">
    <w:name w:val="Normal Indent"/>
    <w:basedOn w:val="1"/>
    <w:next w:val="4"/>
    <w:qFormat/>
    <w:uiPriority w:val="0"/>
    <w:pPr>
      <w:adjustRightInd w:val="0"/>
      <w:snapToGrid w:val="0"/>
      <w:spacing w:line="300" w:lineRule="auto"/>
      <w:ind w:firstLine="200" w:firstLineChars="200"/>
    </w:pPr>
    <w:rPr>
      <w:rFonts w:ascii="仿宋_GB2312" w:hAnsi="Times New Roman" w:eastAsia="仿宋_GB2312" w:cs="Times New Roman"/>
      <w:color w:val="000000"/>
      <w:sz w:val="28"/>
    </w:rPr>
  </w:style>
  <w:style w:type="paragraph" w:styleId="4">
    <w:name w:val="Body Text First Indent 2"/>
    <w:basedOn w:val="5"/>
    <w:next w:val="6"/>
    <w:qFormat/>
    <w:uiPriority w:val="0"/>
    <w:pPr>
      <w:spacing w:after="120"/>
      <w:ind w:left="200" w:leftChars="200" w:firstLine="420"/>
    </w:pPr>
    <w:rPr>
      <w:rFonts w:ascii="Times New Roman" w:hAnsi="Times New Roman" w:eastAsia="宋体" w:cs="Times New Roman"/>
      <w:kern w:val="0"/>
      <w:sz w:val="20"/>
    </w:rPr>
  </w:style>
  <w:style w:type="paragraph" w:styleId="5">
    <w:name w:val="Body Text Indent"/>
    <w:basedOn w:val="1"/>
    <w:link w:val="32"/>
    <w:qFormat/>
    <w:uiPriority w:val="0"/>
    <w:pPr>
      <w:spacing w:after="120"/>
      <w:ind w:left="420" w:leftChars="200"/>
    </w:pPr>
    <w:rPr>
      <w:rFonts w:ascii="Times New Roman" w:hAnsi="Times New Roman" w:eastAsia="宋体" w:cs="Times New Roman"/>
      <w:kern w:val="0"/>
      <w:sz w:val="24"/>
      <w:szCs w:val="20"/>
    </w:rPr>
  </w:style>
  <w:style w:type="paragraph" w:styleId="6">
    <w:name w:val="Body Text"/>
    <w:basedOn w:val="1"/>
    <w:link w:val="33"/>
    <w:qFormat/>
    <w:uiPriority w:val="0"/>
    <w:pPr>
      <w:widowControl/>
      <w:snapToGrid w:val="0"/>
      <w:spacing w:before="60" w:after="160" w:line="259" w:lineRule="auto"/>
      <w:ind w:right="113"/>
    </w:pPr>
    <w:rPr>
      <w:rFonts w:ascii="Times New Roman" w:hAnsi="Times New Roman" w:eastAsia="宋体" w:cs="Times New Roman"/>
      <w:kern w:val="0"/>
      <w:sz w:val="18"/>
      <w:szCs w:val="20"/>
    </w:rPr>
  </w:style>
  <w:style w:type="paragraph" w:styleId="7">
    <w:name w:val="annotation text"/>
    <w:basedOn w:val="1"/>
    <w:link w:val="34"/>
    <w:qFormat/>
    <w:uiPriority w:val="0"/>
    <w:pPr>
      <w:jc w:val="left"/>
    </w:pPr>
    <w:rPr>
      <w:rFonts w:ascii="Times New Roman" w:hAnsi="Times New Roman" w:eastAsia="宋体" w:cs="Times New Roman"/>
      <w:kern w:val="0"/>
      <w:sz w:val="24"/>
      <w:szCs w:val="20"/>
    </w:rPr>
  </w:style>
  <w:style w:type="paragraph" w:styleId="8">
    <w:name w:val="Plain Text"/>
    <w:basedOn w:val="1"/>
    <w:qFormat/>
    <w:uiPriority w:val="0"/>
    <w:pPr>
      <w:widowControl/>
      <w:spacing w:before="100" w:beforeAutospacing="1" w:after="100" w:afterAutospacing="1"/>
      <w:jc w:val="left"/>
    </w:pPr>
    <w:rPr>
      <w:rFonts w:ascii="ˎ̥" w:hAnsi="ˎ̥" w:eastAsia="宋体" w:cs="Times New Roman"/>
      <w:kern w:val="0"/>
      <w:sz w:val="18"/>
      <w:szCs w:val="18"/>
    </w:rPr>
  </w:style>
  <w:style w:type="paragraph" w:styleId="9">
    <w:name w:val="Date"/>
    <w:basedOn w:val="1"/>
    <w:next w:val="1"/>
    <w:link w:val="35"/>
    <w:qFormat/>
    <w:uiPriority w:val="0"/>
    <w:pPr>
      <w:ind w:left="100" w:leftChars="2500"/>
    </w:pPr>
    <w:rPr>
      <w:rFonts w:ascii="Times New Roman" w:hAnsi="Times New Roman" w:eastAsia="宋体" w:cs="Times New Roman"/>
      <w:kern w:val="0"/>
      <w:sz w:val="24"/>
      <w:szCs w:val="20"/>
    </w:rPr>
  </w:style>
  <w:style w:type="paragraph" w:styleId="10">
    <w:name w:val="Balloon Text"/>
    <w:basedOn w:val="1"/>
    <w:link w:val="36"/>
    <w:qFormat/>
    <w:uiPriority w:val="0"/>
    <w:rPr>
      <w:rFonts w:ascii="Times New Roman" w:hAnsi="Times New Roman" w:eastAsia="宋体" w:cs="Times New Roman"/>
      <w:kern w:val="0"/>
      <w:sz w:val="18"/>
      <w:szCs w:val="20"/>
    </w:rPr>
  </w:style>
  <w:style w:type="paragraph" w:styleId="11">
    <w:name w:val="footer"/>
    <w:basedOn w:val="1"/>
    <w:link w:val="37"/>
    <w:qFormat/>
    <w:uiPriority w:val="0"/>
    <w:pPr>
      <w:tabs>
        <w:tab w:val="center" w:pos="4153"/>
        <w:tab w:val="right" w:pos="8306"/>
      </w:tabs>
      <w:snapToGrid w:val="0"/>
      <w:jc w:val="left"/>
    </w:pPr>
    <w:rPr>
      <w:rFonts w:ascii="Times New Roman" w:hAnsi="Times New Roman" w:eastAsia="宋体" w:cs="Times New Roman"/>
      <w:kern w:val="0"/>
      <w:sz w:val="18"/>
      <w:szCs w:val="20"/>
    </w:rPr>
  </w:style>
  <w:style w:type="paragraph" w:styleId="12">
    <w:name w:val="header"/>
    <w:basedOn w:val="1"/>
    <w:link w:val="38"/>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20"/>
    </w:rPr>
  </w:style>
  <w:style w:type="paragraph" w:styleId="13">
    <w:name w:val="toc 1"/>
    <w:basedOn w:val="1"/>
    <w:next w:val="1"/>
    <w:qFormat/>
    <w:uiPriority w:val="0"/>
  </w:style>
  <w:style w:type="paragraph" w:styleId="14">
    <w:name w:val="List"/>
    <w:basedOn w:val="1"/>
    <w:next w:val="1"/>
    <w:qFormat/>
    <w:uiPriority w:val="0"/>
    <w:pPr>
      <w:ind w:left="200" w:hanging="200" w:hangingChars="200"/>
    </w:pPr>
    <w:rPr>
      <w:rFonts w:ascii="Times New Roman" w:hAnsi="Times New Roman" w:eastAsia="宋体" w:cs="Times New Roman"/>
    </w:rPr>
  </w:style>
  <w:style w:type="paragraph" w:styleId="15">
    <w:name w:val="table of figures"/>
    <w:basedOn w:val="1"/>
    <w:qFormat/>
    <w:uiPriority w:val="0"/>
    <w:pPr>
      <w:widowControl w:val="0"/>
      <w:spacing w:after="0"/>
      <w:jc w:val="center"/>
    </w:pPr>
    <w:rPr>
      <w:rFonts w:ascii="Times New Roman" w:hAnsi="Times New Roman" w:eastAsia="楷体_GB2312" w:cs="Times New Roman"/>
      <w:color w:val="000000"/>
      <w:spacing w:val="-4"/>
      <w:kern w:val="2"/>
      <w:sz w:val="21"/>
      <w:szCs w:val="20"/>
      <w:lang w:val="en-US" w:eastAsia="zh-CN" w:bidi="ar-SA"/>
    </w:rPr>
  </w:style>
  <w:style w:type="paragraph" w:styleId="16">
    <w:name w:val="toc 2"/>
    <w:basedOn w:val="1"/>
    <w:next w:val="1"/>
    <w:qFormat/>
    <w:uiPriority w:val="0"/>
    <w:pPr>
      <w:ind w:left="210"/>
      <w:jc w:val="left"/>
    </w:pPr>
    <w:rPr>
      <w:rFonts w:ascii="Times New Roman" w:hAnsi="Times New Roman" w:eastAsia="宋体" w:cs="Times New Roman"/>
      <w:smallCaps/>
      <w:sz w:val="20"/>
      <w:szCs w:val="20"/>
    </w:rPr>
  </w:style>
  <w:style w:type="paragraph" w:styleId="17">
    <w:name w:val="Body Text 2"/>
    <w:basedOn w:val="1"/>
    <w:qFormat/>
    <w:uiPriority w:val="0"/>
    <w:pPr>
      <w:spacing w:after="120" w:line="480" w:lineRule="auto"/>
    </w:pPr>
    <w:rPr>
      <w:rFonts w:ascii="Times New Roman" w:hAnsi="Times New Roman" w:eastAsia="宋体" w:cs="Times New Roman"/>
    </w:rPr>
  </w:style>
  <w:style w:type="paragraph" w:styleId="18">
    <w:name w:val="Normal (Web)"/>
    <w:basedOn w:val="1"/>
    <w:link w:val="39"/>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19">
    <w:name w:val="annotation subject"/>
    <w:basedOn w:val="7"/>
    <w:next w:val="7"/>
    <w:link w:val="40"/>
    <w:qFormat/>
    <w:uiPriority w:val="0"/>
    <w:rPr>
      <w:rFonts w:ascii="Times New Roman" w:hAnsi="Times New Roman" w:eastAsia="宋体" w:cs="Times New Roman"/>
      <w:b/>
      <w:sz w:val="24"/>
      <w:szCs w:val="20"/>
    </w:rPr>
  </w:style>
  <w:style w:type="table" w:styleId="21">
    <w:name w:val="Table Grid"/>
    <w:basedOn w:val="20"/>
    <w:qFormat/>
    <w:uiPriority w:val="0"/>
    <w:rPr>
      <w:rFonts w:ascii="Times New Roman" w:hAnsi="Times New Roman" w:eastAsia="宋体" w:cs="Times New Roman"/>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2">
    <w:name w:val="Medium Grid 3"/>
    <w:basedOn w:val="20"/>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000000"/>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000000"/>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000000"/>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808080"/>
      </w:tcPr>
    </w:tblStylePr>
  </w:style>
  <w:style w:type="table" w:styleId="23">
    <w:name w:val="Medium Grid 3 Accent 1"/>
    <w:basedOn w:val="20"/>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F81BD"/>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F81BD"/>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4F81BD"/>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7BFDE"/>
      </w:tcPr>
    </w:tblStylePr>
  </w:style>
  <w:style w:type="table" w:styleId="24">
    <w:name w:val="Medium Grid 3 Accent 2"/>
    <w:basedOn w:val="20"/>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C0504D"/>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C0504D"/>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C0504D"/>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DFA7A6"/>
      </w:tcPr>
    </w:tblStylePr>
  </w:style>
  <w:style w:type="table" w:styleId="25">
    <w:name w:val="Medium Grid 3 Accent 3"/>
    <w:basedOn w:val="20"/>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9BBB59"/>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9BBB59"/>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9BBB59"/>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CDDDAC"/>
      </w:tcPr>
    </w:tblStylePr>
  </w:style>
  <w:style w:type="table" w:styleId="26">
    <w:name w:val="Medium Grid 3 Accent 4"/>
    <w:basedOn w:val="20"/>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8064A2"/>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8064A2"/>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8064A2"/>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BFB1D0"/>
      </w:tcPr>
    </w:tblStylePr>
  </w:style>
  <w:style w:type="table" w:styleId="27">
    <w:name w:val="Medium Grid 3 Accent 5"/>
    <w:basedOn w:val="20"/>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BACC6"/>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BACC6"/>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4BACC6"/>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5D5E2"/>
      </w:tcPr>
    </w:tblStylePr>
  </w:style>
  <w:style w:type="table" w:styleId="28">
    <w:name w:val="Medium Grid 3 Accent 6"/>
    <w:basedOn w:val="20"/>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F79646"/>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F79646"/>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F79646"/>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FBCAA2"/>
      </w:tcPr>
    </w:tblStylePr>
  </w:style>
  <w:style w:type="character" w:styleId="30">
    <w:name w:val="page number"/>
    <w:basedOn w:val="29"/>
    <w:qFormat/>
    <w:uiPriority w:val="0"/>
    <w:rPr>
      <w:rFonts w:ascii="Times New Roman" w:hAnsi="Times New Roman" w:eastAsia="宋体" w:cs="Times New Roman"/>
    </w:rPr>
  </w:style>
  <w:style w:type="character" w:styleId="31">
    <w:name w:val="annotation reference"/>
    <w:qFormat/>
    <w:uiPriority w:val="0"/>
    <w:rPr>
      <w:rFonts w:ascii="Times New Roman" w:hAnsi="Times New Roman" w:eastAsia="宋体" w:cs="Times New Roman"/>
      <w:sz w:val="21"/>
    </w:rPr>
  </w:style>
  <w:style w:type="character" w:customStyle="1" w:styleId="32">
    <w:name w:val="正文文本缩进 Char"/>
    <w:link w:val="5"/>
    <w:qFormat/>
    <w:uiPriority w:val="0"/>
    <w:rPr>
      <w:rFonts w:ascii="Times New Roman" w:hAnsi="Times New Roman" w:eastAsia="宋体" w:cs="Times New Roman"/>
      <w:sz w:val="24"/>
    </w:rPr>
  </w:style>
  <w:style w:type="character" w:customStyle="1" w:styleId="33">
    <w:name w:val="正文文本 Char"/>
    <w:link w:val="6"/>
    <w:qFormat/>
    <w:uiPriority w:val="0"/>
    <w:rPr>
      <w:rFonts w:ascii="Times New Roman" w:hAnsi="Times New Roman" w:eastAsia="宋体" w:cs="Times New Roman"/>
      <w:sz w:val="18"/>
    </w:rPr>
  </w:style>
  <w:style w:type="character" w:customStyle="1" w:styleId="34">
    <w:name w:val="批注文字 Char"/>
    <w:link w:val="7"/>
    <w:qFormat/>
    <w:uiPriority w:val="0"/>
    <w:rPr>
      <w:rFonts w:ascii="Times New Roman" w:hAnsi="Times New Roman" w:eastAsia="宋体" w:cs="Times New Roman"/>
      <w:sz w:val="24"/>
    </w:rPr>
  </w:style>
  <w:style w:type="character" w:customStyle="1" w:styleId="35">
    <w:name w:val="日期 Char"/>
    <w:link w:val="9"/>
    <w:qFormat/>
    <w:uiPriority w:val="0"/>
    <w:rPr>
      <w:rFonts w:ascii="Times New Roman" w:hAnsi="Times New Roman" w:eastAsia="宋体" w:cs="Times New Roman"/>
      <w:sz w:val="24"/>
    </w:rPr>
  </w:style>
  <w:style w:type="character" w:customStyle="1" w:styleId="36">
    <w:name w:val="批注框文本 Char"/>
    <w:link w:val="10"/>
    <w:qFormat/>
    <w:uiPriority w:val="0"/>
    <w:rPr>
      <w:rFonts w:ascii="Times New Roman" w:hAnsi="Times New Roman" w:eastAsia="宋体" w:cs="Times New Roman"/>
      <w:sz w:val="18"/>
    </w:rPr>
  </w:style>
  <w:style w:type="character" w:customStyle="1" w:styleId="37">
    <w:name w:val="页脚 Char"/>
    <w:link w:val="11"/>
    <w:qFormat/>
    <w:uiPriority w:val="0"/>
    <w:rPr>
      <w:rFonts w:ascii="Times New Roman" w:hAnsi="Times New Roman" w:eastAsia="宋体" w:cs="Times New Roman"/>
      <w:sz w:val="18"/>
    </w:rPr>
  </w:style>
  <w:style w:type="character" w:customStyle="1" w:styleId="38">
    <w:name w:val="页眉 Char"/>
    <w:link w:val="12"/>
    <w:qFormat/>
    <w:uiPriority w:val="0"/>
    <w:rPr>
      <w:rFonts w:ascii="Times New Roman" w:hAnsi="Times New Roman" w:eastAsia="宋体" w:cs="Times New Roman"/>
      <w:sz w:val="18"/>
    </w:rPr>
  </w:style>
  <w:style w:type="character" w:customStyle="1" w:styleId="39">
    <w:name w:val="普通(网站) Char"/>
    <w:link w:val="18"/>
    <w:qFormat/>
    <w:uiPriority w:val="0"/>
    <w:rPr>
      <w:rFonts w:ascii="宋体" w:hAnsi="宋体" w:eastAsia="宋体" w:cs="Times New Roman"/>
      <w:sz w:val="24"/>
    </w:rPr>
  </w:style>
  <w:style w:type="character" w:customStyle="1" w:styleId="40">
    <w:name w:val="批注主题 Char"/>
    <w:link w:val="19"/>
    <w:qFormat/>
    <w:uiPriority w:val="0"/>
    <w:rPr>
      <w:rFonts w:ascii="Times New Roman" w:hAnsi="Times New Roman" w:eastAsia="宋体" w:cs="Times New Roman"/>
      <w:b/>
      <w:kern w:val="2"/>
      <w:sz w:val="24"/>
    </w:rPr>
  </w:style>
  <w:style w:type="paragraph" w:customStyle="1" w:styleId="41">
    <w:name w:val="纯文本1"/>
    <w:basedOn w:val="1"/>
    <w:qFormat/>
    <w:uiPriority w:val="0"/>
    <w:rPr>
      <w:rFonts w:ascii="宋体" w:hAnsi="Courier New" w:eastAsia="宋体" w:cs="Times New Roman"/>
    </w:rPr>
  </w:style>
  <w:style w:type="paragraph" w:customStyle="1" w:styleId="42">
    <w:name w:val="Default"/>
    <w:basedOn w:val="4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rPr>
  </w:style>
  <w:style w:type="character" w:customStyle="1" w:styleId="43">
    <w:name w:val="font61"/>
    <w:basedOn w:val="29"/>
    <w:qFormat/>
    <w:uiPriority w:val="0"/>
    <w:rPr>
      <w:rFonts w:hint="default" w:ascii="Times New Roman" w:hAnsi="Times New Roman" w:eastAsia="宋体" w:cs="Times New Roman"/>
      <w:b/>
      <w:bCs/>
      <w:color w:val="000000"/>
      <w:sz w:val="21"/>
      <w:szCs w:val="21"/>
      <w:u w:val="none"/>
    </w:rPr>
  </w:style>
  <w:style w:type="paragraph" w:customStyle="1" w:styleId="44">
    <w:name w:val="列出段落1"/>
    <w:basedOn w:val="1"/>
    <w:qFormat/>
    <w:uiPriority w:val="0"/>
    <w:pPr>
      <w:ind w:firstLine="420" w:firstLineChars="200"/>
    </w:pPr>
    <w:rPr>
      <w:rFonts w:ascii="Times New Roman" w:hAnsi="Times New Roman" w:eastAsia="宋体" w:cs="Times New Roman"/>
    </w:rPr>
  </w:style>
  <w:style w:type="character" w:customStyle="1" w:styleId="45">
    <w:name w:val="表格 Char"/>
    <w:link w:val="46"/>
    <w:qFormat/>
    <w:uiPriority w:val="0"/>
    <w:rPr>
      <w:rFonts w:ascii="宋体" w:hAnsi="Times New Roman" w:eastAsia="宋体" w:cs="Times New Roman"/>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hAnsi="Times New Roman" w:eastAsia="宋体" w:cs="Times New Roman"/>
      <w:kern w:val="0"/>
      <w:szCs w:val="20"/>
    </w:rPr>
  </w:style>
  <w:style w:type="paragraph" w:customStyle="1" w:styleId="47">
    <w:name w:val="表头"/>
    <w:basedOn w:val="46"/>
    <w:next w:val="1"/>
    <w:qFormat/>
    <w:uiPriority w:val="0"/>
    <w:pPr>
      <w:jc w:val="center"/>
    </w:pPr>
    <w:rPr>
      <w:rFonts w:hint="eastAsia" w:ascii="Times New Roman" w:hAnsi="Times New Roman" w:eastAsia="宋体" w:cs="Times New Roman"/>
      <w:b/>
      <w:bCs/>
      <w:szCs w:val="21"/>
    </w:rPr>
  </w:style>
  <w:style w:type="paragraph" w:customStyle="1" w:styleId="48">
    <w:name w:val="表格标题"/>
    <w:basedOn w:val="47"/>
    <w:qFormat/>
    <w:uiPriority w:val="0"/>
    <w:pPr>
      <w:ind w:firstLine="480"/>
    </w:pPr>
    <w:rPr>
      <w:rFonts w:hint="default" w:ascii="Times New Roman" w:hAnsi="Times New Roman" w:eastAsia="宋体" w:cs="Times New Roman"/>
    </w:rPr>
  </w:style>
  <w:style w:type="paragraph" w:customStyle="1" w:styleId="49">
    <w:name w:val="表格内容1"/>
    <w:basedOn w:val="1"/>
    <w:qFormat/>
    <w:uiPriority w:val="0"/>
    <w:pPr>
      <w:widowControl/>
      <w:jc w:val="center"/>
    </w:pPr>
    <w:rPr>
      <w:rFonts w:ascii="Times New Roman" w:hAnsi="Times New Roman" w:eastAsia="宋体" w:cs="Times New Roman"/>
      <w:color w:val="000000"/>
      <w:kern w:val="0"/>
      <w:szCs w:val="21"/>
    </w:rPr>
  </w:style>
  <w:style w:type="table" w:customStyle="1" w:styleId="50">
    <w:name w:val="Table Normal"/>
    <w:basedOn w:val="20"/>
    <w:qFormat/>
    <w:uiPriority w:val="0"/>
    <w:pPr>
      <w:keepNext w:val="0"/>
      <w:keepLines w:val="0"/>
      <w:widowControl w:val="0"/>
      <w:suppressLineNumbers w:val="0"/>
      <w:spacing w:before="0" w:beforeAutospacing="0" w:after="0" w:afterAutospacing="0"/>
      <w:ind w:left="0" w:right="0"/>
    </w:pPr>
    <w:rPr>
      <w:rFonts w:hint="default" w:ascii="Calibri" w:hAnsi="Calibri" w:eastAsia="宋体" w:cs="Calibri"/>
      <w:sz w:val="22"/>
      <w:szCs w:val="22"/>
      <w:lang w:eastAsia="en-US"/>
    </w:rPr>
    <w:tblPr>
      <w:tblCellMar>
        <w:top w:w="0" w:type="dxa"/>
        <w:left w:w="0" w:type="dxa"/>
        <w:bottom w:w="0" w:type="dxa"/>
        <w:right w:w="0" w:type="dxa"/>
      </w:tblCellMar>
    </w:tblPr>
  </w:style>
  <w:style w:type="character" w:customStyle="1" w:styleId="51">
    <w:name w:val="页脚 字符"/>
    <w:basedOn w:val="29"/>
    <w:qFormat/>
    <w:uiPriority w:val="0"/>
    <w:rPr>
      <w:rFonts w:ascii="Times New Roman" w:hAnsi="Times New Roman" w:eastAsia="宋体" w:cs="Times New Roman"/>
    </w:rPr>
  </w:style>
  <w:style w:type="character" w:customStyle="1" w:styleId="52">
    <w:name w:val="正文文本 字符1"/>
    <w:qFormat/>
    <w:uiPriority w:val="0"/>
    <w:rPr>
      <w:rFonts w:ascii="Times New Roman" w:hAnsi="Times New Roman" w:eastAsia="宋体" w:cs="Times New Roman"/>
      <w:sz w:val="24"/>
    </w:rPr>
  </w:style>
  <w:style w:type="character" w:customStyle="1" w:styleId="53">
    <w:name w:val="日期 字符"/>
    <w:qFormat/>
    <w:uiPriority w:val="0"/>
    <w:rPr>
      <w:rFonts w:ascii="Times New Roman" w:hAnsi="Times New Roman" w:eastAsia="宋体" w:cs="Times New Roman"/>
      <w:sz w:val="24"/>
    </w:rPr>
  </w:style>
  <w:style w:type="character" w:customStyle="1" w:styleId="54">
    <w:name w:val="批注文字 字符1"/>
    <w:qFormat/>
    <w:uiPriority w:val="0"/>
    <w:rPr>
      <w:rFonts w:ascii="Times New Roman" w:hAnsi="Times New Roman" w:eastAsia="宋体" w:cs="Times New Roman"/>
      <w:sz w:val="24"/>
    </w:rPr>
  </w:style>
  <w:style w:type="paragraph" w:customStyle="1" w:styleId="5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普通(网站)2"/>
    <w:basedOn w:val="1"/>
    <w:qFormat/>
    <w:uiPriority w:val="0"/>
    <w:pPr>
      <w:widowControl/>
      <w:spacing w:before="100" w:beforeAutospacing="1" w:after="100" w:afterAutospacing="1"/>
      <w:jc w:val="left"/>
    </w:pPr>
    <w:rPr>
      <w:rFonts w:ascii="宋体" w:hAnsi="宋体" w:eastAsia="宋体" w:cs="Times New Roman"/>
      <w:sz w:val="24"/>
      <w:szCs w:val="20"/>
    </w:rPr>
  </w:style>
  <w:style w:type="paragraph" w:customStyle="1" w:styleId="57">
    <w:name w:val="4.正文"/>
    <w:basedOn w:val="1"/>
    <w:qFormat/>
    <w:uiPriority w:val="0"/>
    <w:pPr>
      <w:spacing w:line="500" w:lineRule="exact"/>
      <w:ind w:firstLine="480"/>
    </w:pPr>
    <w:rPr>
      <w:rFonts w:ascii="Times New Roman" w:hAnsi="Times New Roman" w:eastAsia="宋体" w:cs="宋体"/>
      <w:szCs w:val="20"/>
    </w:rPr>
  </w:style>
  <w:style w:type="paragraph" w:customStyle="1" w:styleId="58">
    <w:name w:val="样式 正文文本缩进 + 行距: 1.5 倍行距"/>
    <w:qFormat/>
    <w:uiPriority w:val="0"/>
    <w:pPr>
      <w:widowControl w:val="0"/>
      <w:spacing w:after="120" w:line="360" w:lineRule="auto"/>
      <w:ind w:left="90" w:leftChars="32" w:firstLine="560" w:firstLineChars="200"/>
      <w:jc w:val="both"/>
    </w:pPr>
    <w:rPr>
      <w:rFonts w:ascii="Times New Roman" w:hAnsi="Times New Roman" w:eastAsia="宋体" w:cs="宋体"/>
      <w:lang w:val="en-US" w:eastAsia="zh-CN" w:bidi="ar-SA"/>
    </w:rPr>
  </w:style>
  <w:style w:type="paragraph" w:customStyle="1" w:styleId="59">
    <w:name w:val="Body Text 21"/>
    <w:basedOn w:val="1"/>
    <w:qFormat/>
    <w:uiPriority w:val="0"/>
    <w:pPr>
      <w:spacing w:after="120" w:line="480" w:lineRule="auto"/>
    </w:pPr>
    <w:rPr>
      <w:rFonts w:ascii="Times New Roman" w:hAnsi="Times New Roman" w:eastAsia="宋体" w:cs="Times New Roman"/>
    </w:rPr>
  </w:style>
  <w:style w:type="paragraph" w:customStyle="1" w:styleId="60">
    <w:name w:val="环评正文"/>
    <w:basedOn w:val="1"/>
    <w:qFormat/>
    <w:uiPriority w:val="0"/>
    <w:pPr>
      <w:autoSpaceDE w:val="0"/>
      <w:autoSpaceDN w:val="0"/>
      <w:adjustRightInd w:val="0"/>
      <w:snapToGrid w:val="0"/>
      <w:spacing w:line="360" w:lineRule="auto"/>
      <w:ind w:firstLine="200" w:firstLineChars="200"/>
    </w:pPr>
    <w:rPr>
      <w:rFonts w:ascii="Times New Roman" w:hAnsi="Times New Roman" w:eastAsia="宋体" w:cs="宋体"/>
      <w:kern w:val="0"/>
      <w:sz w:val="24"/>
      <w:szCs w:val="21"/>
    </w:rPr>
  </w:style>
  <w:style w:type="character" w:customStyle="1" w:styleId="61">
    <w:name w:val="font71"/>
    <w:basedOn w:val="29"/>
    <w:qFormat/>
    <w:uiPriority w:val="0"/>
    <w:rPr>
      <w:rFonts w:hint="default" w:ascii="Times New Roman" w:hAnsi="Times New Roman" w:eastAsia="宋体" w:cs="Times New Roman"/>
      <w:b/>
      <w:bCs/>
      <w:color w:val="000000"/>
      <w:sz w:val="21"/>
      <w:szCs w:val="21"/>
      <w:u w:val="none"/>
    </w:rPr>
  </w:style>
  <w:style w:type="character" w:customStyle="1" w:styleId="62">
    <w:name w:val="font81"/>
    <w:basedOn w:val="29"/>
    <w:qFormat/>
    <w:uiPriority w:val="0"/>
    <w:rPr>
      <w:rFonts w:hint="default" w:ascii="Times New Roman" w:hAnsi="Times New Roman" w:eastAsia="宋体" w:cs="Times New Roman"/>
      <w:b/>
      <w:bCs/>
      <w:color w:val="000000"/>
      <w:sz w:val="21"/>
      <w:szCs w:val="21"/>
      <w:u w:val="none"/>
      <w:vertAlign w:val="superscript"/>
    </w:rPr>
  </w:style>
  <w:style w:type="character" w:customStyle="1" w:styleId="63">
    <w:name w:val="font11"/>
    <w:basedOn w:val="29"/>
    <w:qFormat/>
    <w:uiPriority w:val="0"/>
    <w:rPr>
      <w:rFonts w:hint="eastAsia" w:ascii="宋体" w:hAnsi="宋体" w:eastAsia="宋体" w:cs="宋体"/>
      <w:b/>
      <w:bCs/>
      <w:color w:val="000000"/>
      <w:sz w:val="21"/>
      <w:szCs w:val="21"/>
      <w:u w:val="none"/>
    </w:rPr>
  </w:style>
  <w:style w:type="paragraph" w:customStyle="1" w:styleId="64">
    <w:name w:val="样式 四号 首行缩进:  2 字符"/>
    <w:basedOn w:val="1"/>
    <w:qFormat/>
    <w:uiPriority w:val="0"/>
    <w:pPr>
      <w:spacing w:line="480" w:lineRule="exact"/>
      <w:ind w:firstLine="200" w:firstLineChars="200"/>
    </w:pPr>
    <w:rPr>
      <w:rFonts w:ascii="Times New Roman" w:hAnsi="Times New Roman" w:eastAsia="宋体" w:cs="Times New Roman"/>
      <w:sz w:val="24"/>
    </w:rPr>
  </w:style>
  <w:style w:type="paragraph" w:customStyle="1" w:styleId="65">
    <w:name w:val="Table Text"/>
    <w:basedOn w:val="1"/>
    <w:qFormat/>
    <w:uiPriority w:val="0"/>
    <w:rPr>
      <w:rFonts w:ascii="宋体" w:hAnsi="宋体" w:eastAsia="宋体" w:cs="宋体"/>
      <w:sz w:val="18"/>
      <w:szCs w:val="18"/>
      <w:lang w:val="en-US" w:eastAsia="en-US" w:bidi="ar-SA"/>
    </w:rPr>
  </w:style>
  <w:style w:type="paragraph" w:customStyle="1" w:styleId="66">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2.jpeg"/><Relationship Id="rId61" Type="http://schemas.openxmlformats.org/officeDocument/2006/relationships/image" Target="media/image41.jpeg"/><Relationship Id="rId60" Type="http://schemas.openxmlformats.org/officeDocument/2006/relationships/image" Target="media/image40.jpeg"/><Relationship Id="rId6" Type="http://schemas.openxmlformats.org/officeDocument/2006/relationships/footer" Target="footer3.xml"/><Relationship Id="rId59" Type="http://schemas.openxmlformats.org/officeDocument/2006/relationships/image" Target="media/image39.jpeg"/><Relationship Id="rId58" Type="http://schemas.openxmlformats.org/officeDocument/2006/relationships/image" Target="media/image38.jpeg"/><Relationship Id="rId57" Type="http://schemas.openxmlformats.org/officeDocument/2006/relationships/image" Target="media/image37.jpeg"/><Relationship Id="rId56" Type="http://schemas.openxmlformats.org/officeDocument/2006/relationships/image" Target="media/image36.jpe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image" Target="media/image33.jpe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footer" Target="footer2.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jpeg"/><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wmf"/><Relationship Id="rId32" Type="http://schemas.openxmlformats.org/officeDocument/2006/relationships/oleObject" Target="embeddings/oleObject12.bin"/><Relationship Id="rId31" Type="http://schemas.openxmlformats.org/officeDocument/2006/relationships/image" Target="media/image12.w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10.bin"/><Relationship Id="rId27" Type="http://schemas.openxmlformats.org/officeDocument/2006/relationships/image" Target="media/image10.wmf"/><Relationship Id="rId26" Type="http://schemas.openxmlformats.org/officeDocument/2006/relationships/oleObject" Target="embeddings/oleObject9.bin"/><Relationship Id="rId25" Type="http://schemas.openxmlformats.org/officeDocument/2006/relationships/image" Target="media/image9.wmf"/><Relationship Id="rId24" Type="http://schemas.openxmlformats.org/officeDocument/2006/relationships/oleObject" Target="embeddings/oleObject8.bin"/><Relationship Id="rId23" Type="http://schemas.openxmlformats.org/officeDocument/2006/relationships/image" Target="media/image8.wmf"/><Relationship Id="rId22" Type="http://schemas.openxmlformats.org/officeDocument/2006/relationships/oleObject" Target="embeddings/oleObject7.bin"/><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5.bin"/><Relationship Id="rId17" Type="http://schemas.openxmlformats.org/officeDocument/2006/relationships/image" Target="media/image5.w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Pages>
  <Words>36917</Words>
  <Characters>41211</Characters>
  <Paragraphs>2475</Paragraphs>
  <TotalTime>24</TotalTime>
  <ScaleCrop>false</ScaleCrop>
  <LinksUpToDate>false</LinksUpToDate>
  <CharactersWithSpaces>41527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十七</cp:lastModifiedBy>
  <cp:lastPrinted>2023-08-18T03:00:00Z</cp:lastPrinted>
  <dcterms:modified xsi:type="dcterms:W3CDTF">2023-09-25T00:46:26Z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632916F5497D45E1939B1D3A72C391E7_13</vt:lpwstr>
  </property>
</Properties>
</file>