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pStyle w:val="59"/>
        <w:ind w:firstLine="0" w:firstLineChars="0"/>
        <w:jc w:val="center"/>
        <w:rPr>
          <w:color w:val="auto"/>
        </w:rPr>
      </w:pPr>
      <w:r>
        <w:rPr>
          <w:color w:val="auto"/>
          <w:sz w:val="72"/>
          <w:szCs w:val="72"/>
        </w:rPr>
        <w:t>建设项目环境影响报告表</w:t>
      </w:r>
      <w:r>
        <w:rPr>
          <w:color w:val="auto"/>
          <w:sz w:val="48"/>
          <w:szCs w:val="48"/>
        </w:rPr>
        <w:t>（污染影响类）</w:t>
      </w: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adjustRightInd w:val="0"/>
        <w:snapToGrid w:val="0"/>
        <w:spacing w:line="288" w:lineRule="auto"/>
        <w:ind w:firstLine="843" w:firstLineChars="300"/>
        <w:rPr>
          <w:b/>
          <w:bCs/>
          <w:color w:val="auto"/>
          <w:sz w:val="28"/>
          <w:szCs w:val="28"/>
          <w:u w:val="single"/>
        </w:rPr>
      </w:pPr>
      <w:r>
        <w:rPr>
          <w:b/>
          <w:bCs/>
          <w:color w:val="auto"/>
          <w:sz w:val="28"/>
          <w:szCs w:val="28"/>
        </w:rPr>
        <w:t>项目名称：</w:t>
      </w:r>
      <w:r>
        <w:rPr>
          <w:rFonts w:hint="eastAsia"/>
          <w:b/>
          <w:bCs/>
          <w:color w:val="auto"/>
          <w:sz w:val="28"/>
          <w:szCs w:val="28"/>
          <w:u w:val="single"/>
        </w:rPr>
        <w:t xml:space="preserve"> </w:t>
      </w:r>
      <w:r>
        <w:rPr>
          <w:rFonts w:hint="eastAsia"/>
          <w:b/>
          <w:bCs/>
          <w:color w:val="auto"/>
          <w:sz w:val="28"/>
          <w:szCs w:val="28"/>
          <w:u w:val="single"/>
          <w:lang w:val="en-US" w:eastAsia="zh-CN"/>
        </w:rPr>
        <w:t>1</w:t>
      </w:r>
      <w:r>
        <w:rPr>
          <w:rFonts w:hint="eastAsia"/>
          <w:b/>
          <w:bCs/>
          <w:color w:val="auto"/>
          <w:sz w:val="28"/>
          <w:szCs w:val="28"/>
          <w:u w:val="single"/>
          <w:lang w:eastAsia="zh-CN"/>
        </w:rPr>
        <w:t>000辆/年报废农业机械拆解项目</w:t>
      </w:r>
      <w:r>
        <w:rPr>
          <w:rFonts w:hint="eastAsia"/>
          <w:b/>
          <w:bCs/>
          <w:color w:val="auto"/>
          <w:sz w:val="28"/>
          <w:szCs w:val="28"/>
          <w:u w:val="single"/>
        </w:rPr>
        <w:t xml:space="preserve"> </w:t>
      </w:r>
      <w:r>
        <w:rPr>
          <w:b/>
          <w:bCs/>
          <w:color w:val="auto"/>
          <w:sz w:val="28"/>
          <w:szCs w:val="28"/>
          <w:u w:val="single"/>
        </w:rPr>
        <w:t xml:space="preserve"> </w:t>
      </w:r>
    </w:p>
    <w:p>
      <w:pPr>
        <w:adjustRightInd w:val="0"/>
        <w:snapToGrid w:val="0"/>
        <w:spacing w:line="288" w:lineRule="auto"/>
        <w:ind w:firstLine="843" w:firstLineChars="300"/>
        <w:rPr>
          <w:b/>
          <w:bCs/>
          <w:color w:val="auto"/>
          <w:sz w:val="28"/>
          <w:szCs w:val="28"/>
        </w:rPr>
      </w:pPr>
      <w:r>
        <w:rPr>
          <w:b/>
          <w:bCs/>
          <w:color w:val="auto"/>
          <w:sz w:val="28"/>
          <w:szCs w:val="28"/>
        </w:rPr>
        <w:t>建设单位（盖章）：</w:t>
      </w:r>
      <w:r>
        <w:rPr>
          <w:rFonts w:hint="eastAsia"/>
          <w:b/>
          <w:bCs/>
          <w:color w:val="auto"/>
          <w:sz w:val="28"/>
          <w:szCs w:val="28"/>
          <w:u w:val="single"/>
          <w:lang w:eastAsia="zh-CN"/>
        </w:rPr>
        <w:t>勃利县汇达报废农业机械拆解有限公司</w:t>
      </w:r>
      <w:r>
        <w:rPr>
          <w:b/>
          <w:bCs/>
          <w:color w:val="auto"/>
          <w:sz w:val="28"/>
          <w:szCs w:val="28"/>
          <w:u w:val="single"/>
        </w:rPr>
        <w:t xml:space="preserve">   </w:t>
      </w:r>
    </w:p>
    <w:p>
      <w:pPr>
        <w:adjustRightInd w:val="0"/>
        <w:snapToGrid w:val="0"/>
        <w:spacing w:line="288" w:lineRule="auto"/>
        <w:ind w:firstLine="843" w:firstLineChars="300"/>
        <w:rPr>
          <w:color w:val="auto"/>
          <w:sz w:val="36"/>
          <w:szCs w:val="36"/>
        </w:rPr>
      </w:pPr>
      <w:r>
        <w:rPr>
          <w:b/>
          <w:bCs/>
          <w:color w:val="auto"/>
          <w:sz w:val="28"/>
          <w:szCs w:val="28"/>
        </w:rPr>
        <w:t>编制日期：</w:t>
      </w:r>
      <w:r>
        <w:rPr>
          <w:b/>
          <w:bCs/>
          <w:color w:val="auto"/>
          <w:sz w:val="28"/>
          <w:szCs w:val="28"/>
          <w:u w:val="single"/>
        </w:rPr>
        <w:t xml:space="preserve">            202</w:t>
      </w:r>
      <w:r>
        <w:rPr>
          <w:rFonts w:hint="eastAsia"/>
          <w:b/>
          <w:bCs/>
          <w:color w:val="auto"/>
          <w:sz w:val="28"/>
          <w:szCs w:val="28"/>
          <w:u w:val="single"/>
          <w:lang w:val="en-US" w:eastAsia="zh-CN"/>
        </w:rPr>
        <w:t>4</w:t>
      </w:r>
      <w:r>
        <w:rPr>
          <w:b/>
          <w:bCs/>
          <w:color w:val="auto"/>
          <w:sz w:val="28"/>
          <w:szCs w:val="28"/>
          <w:u w:val="single"/>
        </w:rPr>
        <w:t>年</w:t>
      </w:r>
      <w:r>
        <w:rPr>
          <w:rFonts w:hint="eastAsia"/>
          <w:b/>
          <w:bCs/>
          <w:color w:val="auto"/>
          <w:sz w:val="28"/>
          <w:szCs w:val="28"/>
          <w:u w:val="single"/>
          <w:lang w:val="en-US" w:eastAsia="zh-CN"/>
        </w:rPr>
        <w:t>7</w:t>
      </w:r>
      <w:r>
        <w:rPr>
          <w:b/>
          <w:bCs/>
          <w:color w:val="auto"/>
          <w:sz w:val="28"/>
          <w:szCs w:val="28"/>
          <w:u w:val="single"/>
        </w:rPr>
        <w:t xml:space="preserve">月              </w:t>
      </w:r>
      <w:bookmarkStart w:id="0" w:name="_Hlk57884087"/>
      <w:r>
        <w:rPr>
          <w:b/>
          <w:bCs/>
          <w:color w:val="auto"/>
          <w:sz w:val="28"/>
          <w:szCs w:val="28"/>
          <w:u w:val="single"/>
        </w:rPr>
        <w:t xml:space="preserve">     </w:t>
      </w:r>
    </w:p>
    <w:p>
      <w:pPr>
        <w:ind w:firstLine="880"/>
        <w:rPr>
          <w:color w:val="auto"/>
          <w:sz w:val="44"/>
          <w:szCs w:val="44"/>
        </w:rPr>
      </w:pPr>
    </w:p>
    <w:p>
      <w:pPr>
        <w:ind w:firstLine="880"/>
        <w:rPr>
          <w:color w:val="auto"/>
          <w:sz w:val="44"/>
          <w:szCs w:val="44"/>
        </w:rPr>
      </w:pPr>
    </w:p>
    <w:p>
      <w:pPr>
        <w:ind w:firstLine="880"/>
        <w:rPr>
          <w:color w:val="auto"/>
          <w:sz w:val="44"/>
          <w:szCs w:val="44"/>
        </w:rPr>
      </w:pPr>
    </w:p>
    <w:p>
      <w:pPr>
        <w:rPr>
          <w:color w:val="auto"/>
          <w:sz w:val="44"/>
          <w:szCs w:val="44"/>
        </w:rPr>
      </w:pPr>
    </w:p>
    <w:bookmarkEnd w:id="0"/>
    <w:p>
      <w:pPr>
        <w:adjustRightInd w:val="0"/>
        <w:snapToGrid w:val="0"/>
        <w:spacing w:line="288" w:lineRule="auto"/>
        <w:jc w:val="center"/>
        <w:rPr>
          <w:color w:val="auto"/>
          <w:sz w:val="36"/>
          <w:szCs w:val="36"/>
        </w:rPr>
      </w:pPr>
      <w:r>
        <w:rPr>
          <w:color w:val="auto"/>
          <w:sz w:val="36"/>
          <w:szCs w:val="36"/>
        </w:rPr>
        <w:t>中华人民共和国生态环境部制</w:t>
      </w:r>
    </w:p>
    <w:p>
      <w:pPr>
        <w:rPr>
          <w:b/>
          <w:bCs/>
          <w:color w:val="auto"/>
          <w:sz w:val="32"/>
          <w:szCs w:val="32"/>
        </w:rPr>
      </w:pPr>
      <w:r>
        <w:rPr>
          <w:b/>
          <w:bCs/>
          <w:color w:val="auto"/>
          <w:sz w:val="32"/>
          <w:szCs w:val="32"/>
        </w:rPr>
        <w:br w:type="page"/>
      </w:r>
    </w:p>
    <w:p>
      <w:pPr>
        <w:pStyle w:val="15"/>
        <w:rPr>
          <w:rFonts w:hint="eastAsia" w:eastAsia="宋体"/>
          <w:color w:val="auto"/>
          <w:lang w:eastAsia="zh-CN"/>
        </w:rPr>
      </w:pPr>
    </w:p>
    <w:p>
      <w:pPr>
        <w:rPr>
          <w:rFonts w:hint="eastAsia" w:eastAsia="宋体"/>
          <w:color w:val="auto"/>
          <w:lang w:eastAsia="zh-CN"/>
        </w:rPr>
      </w:pPr>
      <w:r>
        <w:rPr>
          <w:color w:val="auto"/>
        </w:rPr>
        <w:drawing>
          <wp:inline distT="0" distB="0" distL="114300" distR="114300">
            <wp:extent cx="5271135" cy="8329295"/>
            <wp:effectExtent l="0" t="0" r="5715" b="1460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0"/>
                    <a:stretch>
                      <a:fillRect/>
                    </a:stretch>
                  </pic:blipFill>
                  <pic:spPr>
                    <a:xfrm>
                      <a:off x="0" y="0"/>
                      <a:ext cx="5271135" cy="8329295"/>
                    </a:xfrm>
                    <a:prstGeom prst="rect">
                      <a:avLst/>
                    </a:prstGeom>
                    <a:noFill/>
                    <a:ln>
                      <a:noFill/>
                    </a:ln>
                  </pic:spPr>
                </pic:pic>
              </a:graphicData>
            </a:graphic>
          </wp:inline>
        </w:drawing>
      </w:r>
      <w:r>
        <w:rPr>
          <w:rFonts w:hint="eastAsia" w:eastAsia="宋体"/>
          <w:color w:val="auto"/>
          <w:lang w:eastAsia="zh-CN"/>
        </w:rPr>
        <w:br w:type="page"/>
      </w:r>
    </w:p>
    <w:p>
      <w:pPr>
        <w:rPr>
          <w:rFonts w:hint="eastAsia"/>
          <w:color w:val="auto"/>
          <w:lang w:eastAsia="zh-CN"/>
        </w:rPr>
      </w:pPr>
    </w:p>
    <w:p>
      <w:pPr>
        <w:spacing w:line="360" w:lineRule="auto"/>
        <w:jc w:val="center"/>
        <w:rPr>
          <w:b/>
          <w:bCs/>
          <w:color w:val="auto"/>
          <w:sz w:val="32"/>
          <w:szCs w:val="32"/>
        </w:rPr>
      </w:pPr>
      <w:r>
        <w:rPr>
          <w:b/>
          <w:bCs/>
          <w:color w:val="auto"/>
          <w:sz w:val="32"/>
          <w:szCs w:val="32"/>
        </w:rPr>
        <w:t>目  录</w:t>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
          <w:bCs/>
          <w:color w:val="auto"/>
          <w:sz w:val="28"/>
          <w:szCs w:val="28"/>
        </w:rPr>
        <w:fldChar w:fldCharType="begin"/>
      </w:r>
      <w:r>
        <w:rPr>
          <w:b/>
          <w:bCs/>
          <w:color w:val="auto"/>
          <w:sz w:val="28"/>
          <w:szCs w:val="28"/>
        </w:rPr>
        <w:instrText xml:space="preserve"> TOC \o "1-2" \h \z \u </w:instrText>
      </w:r>
      <w:r>
        <w:rPr>
          <w:b/>
          <w:bCs/>
          <w:color w:val="auto"/>
          <w:sz w:val="28"/>
          <w:szCs w:val="28"/>
        </w:rPr>
        <w:fldChar w:fldCharType="separate"/>
      </w:r>
      <w:r>
        <w:rPr>
          <w:bCs/>
          <w:color w:val="auto"/>
          <w:sz w:val="24"/>
          <w:szCs w:val="24"/>
        </w:rPr>
        <w:fldChar w:fldCharType="begin"/>
      </w:r>
      <w:r>
        <w:rPr>
          <w:bCs/>
          <w:color w:val="auto"/>
          <w:sz w:val="24"/>
          <w:szCs w:val="24"/>
        </w:rPr>
        <w:instrText xml:space="preserve"> HYPERLINK \l _Toc29603 </w:instrText>
      </w:r>
      <w:r>
        <w:rPr>
          <w:bCs/>
          <w:color w:val="auto"/>
          <w:sz w:val="24"/>
          <w:szCs w:val="24"/>
        </w:rPr>
        <w:fldChar w:fldCharType="separate"/>
      </w:r>
      <w:r>
        <w:rPr>
          <w:rFonts w:ascii="Times New Roman" w:hAnsi="Times New Roman"/>
          <w:bCs/>
          <w:snapToGrid w:val="0"/>
          <w:color w:val="auto"/>
          <w:sz w:val="24"/>
          <w:szCs w:val="24"/>
        </w:rPr>
        <w:t>一、建设项目基本情况</w:t>
      </w:r>
      <w:r>
        <w:rPr>
          <w:color w:val="auto"/>
          <w:sz w:val="24"/>
          <w:szCs w:val="24"/>
        </w:rPr>
        <w:tab/>
      </w:r>
      <w:r>
        <w:rPr>
          <w:color w:val="auto"/>
          <w:sz w:val="24"/>
          <w:szCs w:val="24"/>
        </w:rPr>
        <w:fldChar w:fldCharType="begin"/>
      </w:r>
      <w:r>
        <w:rPr>
          <w:color w:val="auto"/>
          <w:sz w:val="24"/>
          <w:szCs w:val="24"/>
        </w:rPr>
        <w:instrText xml:space="preserve"> PAGEREF _Toc29603 \h </w:instrText>
      </w:r>
      <w:r>
        <w:rPr>
          <w:color w:val="auto"/>
          <w:sz w:val="24"/>
          <w:szCs w:val="24"/>
        </w:rPr>
        <w:fldChar w:fldCharType="separate"/>
      </w:r>
      <w:r>
        <w:rPr>
          <w:color w:val="auto"/>
          <w:sz w:val="24"/>
          <w:szCs w:val="24"/>
        </w:rPr>
        <w:t>1</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_Toc16705 </w:instrText>
      </w:r>
      <w:r>
        <w:rPr>
          <w:bCs/>
          <w:color w:val="auto"/>
          <w:sz w:val="24"/>
          <w:szCs w:val="24"/>
        </w:rPr>
        <w:fldChar w:fldCharType="separate"/>
      </w:r>
      <w:r>
        <w:rPr>
          <w:rFonts w:ascii="Times New Roman" w:hAnsi="Times New Roman"/>
          <w:bCs/>
          <w:snapToGrid w:val="0"/>
          <w:color w:val="auto"/>
          <w:sz w:val="24"/>
          <w:szCs w:val="24"/>
        </w:rPr>
        <w:t>二、建设项目工程分析</w:t>
      </w:r>
      <w:r>
        <w:rPr>
          <w:color w:val="auto"/>
          <w:sz w:val="24"/>
          <w:szCs w:val="24"/>
        </w:rPr>
        <w:tab/>
      </w:r>
      <w:r>
        <w:rPr>
          <w:color w:val="auto"/>
          <w:sz w:val="24"/>
          <w:szCs w:val="24"/>
        </w:rPr>
        <w:fldChar w:fldCharType="begin"/>
      </w:r>
      <w:r>
        <w:rPr>
          <w:color w:val="auto"/>
          <w:sz w:val="24"/>
          <w:szCs w:val="24"/>
        </w:rPr>
        <w:instrText xml:space="preserve"> PAGEREF _Toc16705 \h </w:instrText>
      </w:r>
      <w:r>
        <w:rPr>
          <w:color w:val="auto"/>
          <w:sz w:val="24"/>
          <w:szCs w:val="24"/>
        </w:rPr>
        <w:fldChar w:fldCharType="separate"/>
      </w:r>
      <w:r>
        <w:rPr>
          <w:color w:val="auto"/>
          <w:sz w:val="24"/>
          <w:szCs w:val="24"/>
        </w:rPr>
        <w:t>11</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_Toc32614 </w:instrText>
      </w:r>
      <w:r>
        <w:rPr>
          <w:bCs/>
          <w:color w:val="auto"/>
          <w:sz w:val="24"/>
          <w:szCs w:val="24"/>
        </w:rPr>
        <w:fldChar w:fldCharType="separate"/>
      </w:r>
      <w:r>
        <w:rPr>
          <w:rFonts w:ascii="Times New Roman" w:hAnsi="Times New Roman"/>
          <w:bCs/>
          <w:snapToGrid w:val="0"/>
          <w:color w:val="auto"/>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_Toc32614 \h </w:instrText>
      </w:r>
      <w:r>
        <w:rPr>
          <w:color w:val="auto"/>
          <w:sz w:val="24"/>
          <w:szCs w:val="24"/>
        </w:rPr>
        <w:fldChar w:fldCharType="separate"/>
      </w:r>
      <w:r>
        <w:rPr>
          <w:color w:val="auto"/>
          <w:sz w:val="24"/>
          <w:szCs w:val="24"/>
        </w:rPr>
        <w:t>20</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_Toc22442 </w:instrText>
      </w:r>
      <w:r>
        <w:rPr>
          <w:bCs/>
          <w:color w:val="auto"/>
          <w:sz w:val="24"/>
          <w:szCs w:val="24"/>
        </w:rPr>
        <w:fldChar w:fldCharType="separate"/>
      </w:r>
      <w:r>
        <w:rPr>
          <w:rFonts w:ascii="Times New Roman" w:hAnsi="Times New Roman"/>
          <w:bCs/>
          <w:snapToGrid w:val="0"/>
          <w:color w:val="auto"/>
          <w:sz w:val="24"/>
          <w:szCs w:val="24"/>
        </w:rPr>
        <w:t>四、主要环境影响和保护措施</w:t>
      </w:r>
      <w:r>
        <w:rPr>
          <w:color w:val="auto"/>
          <w:sz w:val="24"/>
          <w:szCs w:val="24"/>
        </w:rPr>
        <w:tab/>
      </w:r>
      <w:r>
        <w:rPr>
          <w:color w:val="auto"/>
          <w:sz w:val="24"/>
          <w:szCs w:val="24"/>
        </w:rPr>
        <w:fldChar w:fldCharType="begin"/>
      </w:r>
      <w:r>
        <w:rPr>
          <w:color w:val="auto"/>
          <w:sz w:val="24"/>
          <w:szCs w:val="24"/>
        </w:rPr>
        <w:instrText xml:space="preserve"> PAGEREF _Toc22442 \h </w:instrText>
      </w:r>
      <w:r>
        <w:rPr>
          <w:color w:val="auto"/>
          <w:sz w:val="24"/>
          <w:szCs w:val="24"/>
        </w:rPr>
        <w:fldChar w:fldCharType="separate"/>
      </w:r>
      <w:r>
        <w:rPr>
          <w:color w:val="auto"/>
          <w:sz w:val="24"/>
          <w:szCs w:val="24"/>
        </w:rPr>
        <w:t>26</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_Toc16302 </w:instrText>
      </w:r>
      <w:r>
        <w:rPr>
          <w:bCs/>
          <w:color w:val="auto"/>
          <w:sz w:val="24"/>
          <w:szCs w:val="24"/>
        </w:rPr>
        <w:fldChar w:fldCharType="separate"/>
      </w:r>
      <w:r>
        <w:rPr>
          <w:rFonts w:ascii="Times New Roman" w:hAnsi="Times New Roman"/>
          <w:bCs/>
          <w:snapToGrid w:val="0"/>
          <w:color w:val="auto"/>
          <w:sz w:val="24"/>
          <w:szCs w:val="24"/>
        </w:rPr>
        <w:t>五、环境保护措施监督检查清单</w:t>
      </w:r>
      <w:r>
        <w:rPr>
          <w:color w:val="auto"/>
          <w:sz w:val="24"/>
          <w:szCs w:val="24"/>
        </w:rPr>
        <w:tab/>
      </w:r>
      <w:r>
        <w:rPr>
          <w:color w:val="auto"/>
          <w:sz w:val="24"/>
          <w:szCs w:val="24"/>
        </w:rPr>
        <w:fldChar w:fldCharType="begin"/>
      </w:r>
      <w:r>
        <w:rPr>
          <w:color w:val="auto"/>
          <w:sz w:val="24"/>
          <w:szCs w:val="24"/>
        </w:rPr>
        <w:instrText xml:space="preserve"> PAGEREF _Toc16302 \h </w:instrText>
      </w:r>
      <w:r>
        <w:rPr>
          <w:color w:val="auto"/>
          <w:sz w:val="24"/>
          <w:szCs w:val="24"/>
        </w:rPr>
        <w:fldChar w:fldCharType="separate"/>
      </w:r>
      <w:r>
        <w:rPr>
          <w:color w:val="auto"/>
          <w:sz w:val="24"/>
          <w:szCs w:val="24"/>
        </w:rPr>
        <w:t>55</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_Toc31332 </w:instrText>
      </w:r>
      <w:r>
        <w:rPr>
          <w:bCs/>
          <w:color w:val="auto"/>
          <w:sz w:val="24"/>
          <w:szCs w:val="24"/>
        </w:rPr>
        <w:fldChar w:fldCharType="separate"/>
      </w:r>
      <w:r>
        <w:rPr>
          <w:rFonts w:ascii="Times New Roman" w:hAnsi="Times New Roman"/>
          <w:bCs/>
          <w:snapToGrid w:val="0"/>
          <w:color w:val="auto"/>
          <w:sz w:val="24"/>
          <w:szCs w:val="24"/>
        </w:rPr>
        <w:t>六、结论</w:t>
      </w:r>
      <w:r>
        <w:rPr>
          <w:color w:val="auto"/>
          <w:sz w:val="24"/>
          <w:szCs w:val="24"/>
        </w:rPr>
        <w:tab/>
      </w:r>
      <w:r>
        <w:rPr>
          <w:color w:val="auto"/>
          <w:sz w:val="24"/>
          <w:szCs w:val="24"/>
        </w:rPr>
        <w:fldChar w:fldCharType="begin"/>
      </w:r>
      <w:r>
        <w:rPr>
          <w:color w:val="auto"/>
          <w:sz w:val="24"/>
          <w:szCs w:val="24"/>
        </w:rPr>
        <w:instrText xml:space="preserve"> PAGEREF _Toc31332 \h </w:instrText>
      </w:r>
      <w:r>
        <w:rPr>
          <w:color w:val="auto"/>
          <w:sz w:val="24"/>
          <w:szCs w:val="24"/>
        </w:rPr>
        <w:fldChar w:fldCharType="separate"/>
      </w:r>
      <w:r>
        <w:rPr>
          <w:color w:val="auto"/>
          <w:sz w:val="24"/>
          <w:szCs w:val="24"/>
        </w:rPr>
        <w:t>58</w:t>
      </w:r>
      <w:r>
        <w:rPr>
          <w:color w:val="auto"/>
          <w:sz w:val="24"/>
          <w:szCs w:val="24"/>
        </w:rPr>
        <w:fldChar w:fldCharType="end"/>
      </w:r>
      <w:r>
        <w:rPr>
          <w:bCs/>
          <w:color w:val="auto"/>
          <w:sz w:val="24"/>
          <w:szCs w:val="24"/>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_Toc25197 </w:instrText>
      </w:r>
      <w:r>
        <w:rPr>
          <w:bCs/>
          <w:color w:val="auto"/>
          <w:sz w:val="24"/>
          <w:szCs w:val="24"/>
        </w:rPr>
        <w:fldChar w:fldCharType="separate"/>
      </w:r>
      <w:r>
        <w:rPr>
          <w:rFonts w:ascii="Times New Roman" w:hAnsi="Times New Roman"/>
          <w:snapToGrid w:val="0"/>
          <w:color w:val="auto"/>
          <w:sz w:val="24"/>
          <w:szCs w:val="24"/>
        </w:rPr>
        <w:t>建设项目污染物排放量汇总表</w:t>
      </w:r>
      <w:r>
        <w:rPr>
          <w:color w:val="auto"/>
          <w:sz w:val="24"/>
          <w:szCs w:val="24"/>
        </w:rPr>
        <w:tab/>
      </w:r>
      <w:r>
        <w:rPr>
          <w:color w:val="auto"/>
          <w:sz w:val="24"/>
          <w:szCs w:val="24"/>
        </w:rPr>
        <w:fldChar w:fldCharType="begin"/>
      </w:r>
      <w:r>
        <w:rPr>
          <w:color w:val="auto"/>
          <w:sz w:val="24"/>
          <w:szCs w:val="24"/>
        </w:rPr>
        <w:instrText xml:space="preserve"> PAGEREF _Toc25197 \h </w:instrText>
      </w:r>
      <w:r>
        <w:rPr>
          <w:color w:val="auto"/>
          <w:sz w:val="24"/>
          <w:szCs w:val="24"/>
        </w:rPr>
        <w:fldChar w:fldCharType="separate"/>
      </w:r>
      <w:r>
        <w:rPr>
          <w:color w:val="auto"/>
          <w:sz w:val="24"/>
          <w:szCs w:val="24"/>
        </w:rPr>
        <w:t>59</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_Toc20607 </w:instrText>
      </w:r>
      <w:r>
        <w:rPr>
          <w:bCs/>
          <w:color w:val="auto"/>
          <w:sz w:val="24"/>
          <w:szCs w:val="24"/>
        </w:rPr>
        <w:fldChar w:fldCharType="separate"/>
      </w:r>
      <w:r>
        <w:rPr>
          <w:rFonts w:hint="eastAsia" w:ascii="Times New Roman" w:hAnsi="Times New Roman" w:eastAsia="宋体" w:cs="Times New Roman"/>
          <w:color w:val="auto"/>
          <w:sz w:val="24"/>
          <w:szCs w:val="24"/>
        </w:rPr>
        <w:t>附件</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rPr>
        <w:t>：营业执照</w:t>
      </w:r>
      <w:r>
        <w:rPr>
          <w:color w:val="auto"/>
          <w:sz w:val="24"/>
          <w:szCs w:val="24"/>
        </w:rPr>
        <w:tab/>
      </w:r>
      <w:r>
        <w:rPr>
          <w:color w:val="auto"/>
          <w:sz w:val="24"/>
          <w:szCs w:val="24"/>
        </w:rPr>
        <w:fldChar w:fldCharType="begin"/>
      </w:r>
      <w:r>
        <w:rPr>
          <w:color w:val="auto"/>
          <w:sz w:val="24"/>
          <w:szCs w:val="24"/>
        </w:rPr>
        <w:instrText xml:space="preserve"> PAGEREF _Toc20607 \h </w:instrText>
      </w:r>
      <w:r>
        <w:rPr>
          <w:color w:val="auto"/>
          <w:sz w:val="24"/>
          <w:szCs w:val="24"/>
        </w:rPr>
        <w:fldChar w:fldCharType="separate"/>
      </w:r>
      <w:r>
        <w:rPr>
          <w:color w:val="auto"/>
          <w:sz w:val="24"/>
          <w:szCs w:val="24"/>
        </w:rPr>
        <w:t>60</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_Toc1973 </w:instrText>
      </w:r>
      <w:r>
        <w:rPr>
          <w:bCs/>
          <w:color w:val="auto"/>
          <w:sz w:val="24"/>
          <w:szCs w:val="24"/>
        </w:rPr>
        <w:fldChar w:fldCharType="separate"/>
      </w:r>
      <w:r>
        <w:rPr>
          <w:rFonts w:hint="eastAsia"/>
          <w:color w:val="auto"/>
          <w:sz w:val="24"/>
          <w:szCs w:val="24"/>
        </w:rPr>
        <w:t>附件</w:t>
      </w:r>
      <w:r>
        <w:rPr>
          <w:rFonts w:hint="eastAsia"/>
          <w:color w:val="auto"/>
          <w:sz w:val="24"/>
          <w:szCs w:val="24"/>
          <w:lang w:val="en-US" w:eastAsia="zh-CN"/>
        </w:rPr>
        <w:t>2</w:t>
      </w:r>
      <w:r>
        <w:rPr>
          <w:rFonts w:hint="eastAsia"/>
          <w:color w:val="auto"/>
          <w:sz w:val="24"/>
          <w:szCs w:val="24"/>
        </w:rPr>
        <w:t>：租赁协议</w:t>
      </w:r>
      <w:r>
        <w:rPr>
          <w:color w:val="auto"/>
          <w:sz w:val="24"/>
          <w:szCs w:val="24"/>
        </w:rPr>
        <w:tab/>
      </w:r>
      <w:r>
        <w:rPr>
          <w:color w:val="auto"/>
          <w:sz w:val="24"/>
          <w:szCs w:val="24"/>
        </w:rPr>
        <w:fldChar w:fldCharType="begin"/>
      </w:r>
      <w:r>
        <w:rPr>
          <w:color w:val="auto"/>
          <w:sz w:val="24"/>
          <w:szCs w:val="24"/>
        </w:rPr>
        <w:instrText xml:space="preserve"> PAGEREF _Toc1973 \h </w:instrText>
      </w:r>
      <w:r>
        <w:rPr>
          <w:color w:val="auto"/>
          <w:sz w:val="24"/>
          <w:szCs w:val="24"/>
        </w:rPr>
        <w:fldChar w:fldCharType="separate"/>
      </w:r>
      <w:r>
        <w:rPr>
          <w:color w:val="auto"/>
          <w:sz w:val="24"/>
          <w:szCs w:val="24"/>
        </w:rPr>
        <w:t>61</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_Toc16898 </w:instrText>
      </w:r>
      <w:r>
        <w:rPr>
          <w:bCs/>
          <w:color w:val="auto"/>
          <w:sz w:val="24"/>
          <w:szCs w:val="24"/>
        </w:rPr>
        <w:fldChar w:fldCharType="separate"/>
      </w:r>
      <w:r>
        <w:rPr>
          <w:color w:val="auto"/>
          <w:sz w:val="24"/>
          <w:szCs w:val="24"/>
        </w:rPr>
        <w:t>附件</w:t>
      </w:r>
      <w:r>
        <w:rPr>
          <w:rFonts w:hint="eastAsia"/>
          <w:color w:val="auto"/>
          <w:sz w:val="24"/>
          <w:szCs w:val="24"/>
          <w:lang w:val="en-US" w:eastAsia="zh-CN"/>
        </w:rPr>
        <w:t>3</w:t>
      </w:r>
      <w:r>
        <w:rPr>
          <w:color w:val="auto"/>
          <w:sz w:val="24"/>
          <w:szCs w:val="24"/>
        </w:rPr>
        <w:t>：</w:t>
      </w:r>
      <w:r>
        <w:rPr>
          <w:rFonts w:hint="eastAsia"/>
          <w:color w:val="auto"/>
          <w:sz w:val="24"/>
          <w:szCs w:val="24"/>
          <w:lang w:val="en-US" w:eastAsia="zh-CN"/>
        </w:rPr>
        <w:t>本项目</w:t>
      </w:r>
      <w:r>
        <w:rPr>
          <w:color w:val="auto"/>
          <w:sz w:val="24"/>
          <w:szCs w:val="24"/>
        </w:rPr>
        <w:t>监测报告</w:t>
      </w:r>
      <w:r>
        <w:rPr>
          <w:color w:val="auto"/>
          <w:sz w:val="24"/>
          <w:szCs w:val="24"/>
        </w:rPr>
        <w:tab/>
      </w:r>
      <w:r>
        <w:rPr>
          <w:color w:val="auto"/>
          <w:sz w:val="24"/>
          <w:szCs w:val="24"/>
        </w:rPr>
        <w:fldChar w:fldCharType="begin"/>
      </w:r>
      <w:r>
        <w:rPr>
          <w:color w:val="auto"/>
          <w:sz w:val="24"/>
          <w:szCs w:val="24"/>
        </w:rPr>
        <w:instrText xml:space="preserve"> PAGEREF _Toc16898 \h </w:instrText>
      </w:r>
      <w:r>
        <w:rPr>
          <w:color w:val="auto"/>
          <w:sz w:val="24"/>
          <w:szCs w:val="24"/>
        </w:rPr>
        <w:fldChar w:fldCharType="separate"/>
      </w:r>
      <w:r>
        <w:rPr>
          <w:color w:val="auto"/>
          <w:sz w:val="24"/>
          <w:szCs w:val="24"/>
        </w:rPr>
        <w:t>63</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_Toc1727 </w:instrText>
      </w:r>
      <w:r>
        <w:rPr>
          <w:bCs/>
          <w:color w:val="auto"/>
          <w:sz w:val="24"/>
          <w:szCs w:val="24"/>
        </w:rPr>
        <w:fldChar w:fldCharType="separate"/>
      </w:r>
      <w:r>
        <w:rPr>
          <w:color w:val="auto"/>
          <w:sz w:val="24"/>
          <w:szCs w:val="24"/>
        </w:rPr>
        <w:t>附件</w:t>
      </w:r>
      <w:r>
        <w:rPr>
          <w:rFonts w:hint="eastAsia"/>
          <w:color w:val="auto"/>
          <w:sz w:val="24"/>
          <w:szCs w:val="24"/>
          <w:lang w:val="en-US" w:eastAsia="zh-CN"/>
        </w:rPr>
        <w:t>4</w:t>
      </w:r>
      <w:r>
        <w:rPr>
          <w:color w:val="auto"/>
          <w:sz w:val="24"/>
          <w:szCs w:val="24"/>
        </w:rPr>
        <w:t>：废水源强引用监测报告</w:t>
      </w:r>
      <w:r>
        <w:rPr>
          <w:color w:val="auto"/>
          <w:sz w:val="24"/>
          <w:szCs w:val="24"/>
        </w:rPr>
        <w:tab/>
      </w:r>
      <w:r>
        <w:rPr>
          <w:color w:val="auto"/>
          <w:sz w:val="24"/>
          <w:szCs w:val="24"/>
        </w:rPr>
        <w:fldChar w:fldCharType="begin"/>
      </w:r>
      <w:r>
        <w:rPr>
          <w:color w:val="auto"/>
          <w:sz w:val="24"/>
          <w:szCs w:val="24"/>
        </w:rPr>
        <w:instrText xml:space="preserve"> PAGEREF _Toc1727 \h </w:instrText>
      </w:r>
      <w:r>
        <w:rPr>
          <w:color w:val="auto"/>
          <w:sz w:val="24"/>
          <w:szCs w:val="24"/>
        </w:rPr>
        <w:fldChar w:fldCharType="separate"/>
      </w:r>
      <w:r>
        <w:rPr>
          <w:color w:val="auto"/>
          <w:sz w:val="24"/>
          <w:szCs w:val="24"/>
        </w:rPr>
        <w:t>67</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_Toc25415 </w:instrText>
      </w:r>
      <w:r>
        <w:rPr>
          <w:bCs/>
          <w:color w:val="auto"/>
          <w:sz w:val="24"/>
          <w:szCs w:val="24"/>
        </w:rPr>
        <w:fldChar w:fldCharType="separate"/>
      </w:r>
      <w:r>
        <w:rPr>
          <w:color w:val="auto"/>
          <w:sz w:val="24"/>
          <w:szCs w:val="24"/>
        </w:rPr>
        <w:t>附件</w:t>
      </w:r>
      <w:r>
        <w:rPr>
          <w:rFonts w:hint="eastAsia"/>
          <w:color w:val="auto"/>
          <w:sz w:val="24"/>
          <w:szCs w:val="24"/>
          <w:lang w:val="en-US" w:eastAsia="zh-CN"/>
        </w:rPr>
        <w:t>5</w:t>
      </w:r>
      <w:r>
        <w:rPr>
          <w:color w:val="auto"/>
          <w:sz w:val="24"/>
          <w:szCs w:val="24"/>
        </w:rPr>
        <w:t>：</w:t>
      </w:r>
      <w:r>
        <w:rPr>
          <w:rFonts w:hint="eastAsia"/>
          <w:color w:val="auto"/>
          <w:sz w:val="24"/>
          <w:szCs w:val="24"/>
          <w:lang w:val="en-US" w:eastAsia="zh-CN"/>
        </w:rPr>
        <w:t>企业投资项目备案承诺书</w:t>
      </w:r>
      <w:r>
        <w:rPr>
          <w:color w:val="auto"/>
          <w:sz w:val="24"/>
          <w:szCs w:val="24"/>
        </w:rPr>
        <w:tab/>
      </w:r>
      <w:r>
        <w:rPr>
          <w:color w:val="auto"/>
          <w:sz w:val="24"/>
          <w:szCs w:val="24"/>
        </w:rPr>
        <w:fldChar w:fldCharType="begin"/>
      </w:r>
      <w:r>
        <w:rPr>
          <w:color w:val="auto"/>
          <w:sz w:val="24"/>
          <w:szCs w:val="24"/>
        </w:rPr>
        <w:instrText xml:space="preserve"> PAGEREF _Toc25415 \h </w:instrText>
      </w:r>
      <w:r>
        <w:rPr>
          <w:color w:val="auto"/>
          <w:sz w:val="24"/>
          <w:szCs w:val="24"/>
        </w:rPr>
        <w:fldChar w:fldCharType="separate"/>
      </w:r>
      <w:r>
        <w:rPr>
          <w:color w:val="auto"/>
          <w:sz w:val="24"/>
          <w:szCs w:val="24"/>
        </w:rPr>
        <w:t>76</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_Toc31844 </w:instrText>
      </w:r>
      <w:r>
        <w:rPr>
          <w:bCs/>
          <w:color w:val="auto"/>
          <w:sz w:val="24"/>
          <w:szCs w:val="24"/>
        </w:rPr>
        <w:fldChar w:fldCharType="separate"/>
      </w:r>
      <w:r>
        <w:rPr>
          <w:color w:val="auto"/>
          <w:sz w:val="24"/>
          <w:szCs w:val="24"/>
        </w:rPr>
        <w:t>附件</w:t>
      </w:r>
      <w:r>
        <w:rPr>
          <w:rFonts w:hint="eastAsia"/>
          <w:color w:val="auto"/>
          <w:sz w:val="24"/>
          <w:szCs w:val="24"/>
          <w:lang w:val="en-US" w:eastAsia="zh-CN"/>
        </w:rPr>
        <w:t>6</w:t>
      </w:r>
      <w:r>
        <w:rPr>
          <w:color w:val="auto"/>
          <w:sz w:val="24"/>
          <w:szCs w:val="24"/>
        </w:rPr>
        <w:t>：</w:t>
      </w:r>
      <w:r>
        <w:rPr>
          <w:rFonts w:hint="eastAsia"/>
          <w:color w:val="auto"/>
          <w:sz w:val="24"/>
          <w:szCs w:val="24"/>
          <w:lang w:val="en-US" w:eastAsia="zh-CN"/>
        </w:rPr>
        <w:t>土地证</w:t>
      </w:r>
      <w:r>
        <w:rPr>
          <w:color w:val="auto"/>
          <w:sz w:val="24"/>
          <w:szCs w:val="24"/>
        </w:rPr>
        <w:tab/>
      </w:r>
      <w:r>
        <w:rPr>
          <w:color w:val="auto"/>
          <w:sz w:val="24"/>
          <w:szCs w:val="24"/>
        </w:rPr>
        <w:fldChar w:fldCharType="begin"/>
      </w:r>
      <w:r>
        <w:rPr>
          <w:color w:val="auto"/>
          <w:sz w:val="24"/>
          <w:szCs w:val="24"/>
        </w:rPr>
        <w:instrText xml:space="preserve"> PAGEREF _Toc31844 \h </w:instrText>
      </w:r>
      <w:r>
        <w:rPr>
          <w:color w:val="auto"/>
          <w:sz w:val="24"/>
          <w:szCs w:val="24"/>
        </w:rPr>
        <w:fldChar w:fldCharType="separate"/>
      </w:r>
      <w:r>
        <w:rPr>
          <w:color w:val="auto"/>
          <w:sz w:val="24"/>
          <w:szCs w:val="24"/>
        </w:rPr>
        <w:t>77</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_Toc26063 </w:instrText>
      </w:r>
      <w:r>
        <w:rPr>
          <w:bCs/>
          <w:color w:val="auto"/>
          <w:sz w:val="24"/>
          <w:szCs w:val="24"/>
        </w:rPr>
        <w:fldChar w:fldCharType="separate"/>
      </w:r>
      <w:r>
        <w:rPr>
          <w:rFonts w:ascii="Times New Roman" w:hAnsi="Times New Roman" w:eastAsia="宋体" w:cs="Times New Roman"/>
          <w:bCs w:val="0"/>
          <w:snapToGrid w:val="0"/>
          <w:color w:val="auto"/>
          <w:kern w:val="2"/>
          <w:sz w:val="24"/>
          <w:szCs w:val="24"/>
          <w:lang w:val="en-US" w:eastAsia="zh-CN" w:bidi="ar-SA"/>
        </w:rPr>
        <w:t>附图</w:t>
      </w:r>
      <w:r>
        <w:rPr>
          <w:rFonts w:hint="eastAsia" w:ascii="Times New Roman" w:hAnsi="Times New Roman" w:eastAsia="宋体" w:cs="Times New Roman"/>
          <w:bCs w:val="0"/>
          <w:snapToGrid w:val="0"/>
          <w:color w:val="auto"/>
          <w:kern w:val="2"/>
          <w:sz w:val="24"/>
          <w:szCs w:val="24"/>
          <w:lang w:val="en-US" w:eastAsia="zh-CN" w:bidi="ar-SA"/>
        </w:rPr>
        <w:t>1</w:t>
      </w:r>
      <w:r>
        <w:rPr>
          <w:rFonts w:ascii="Times New Roman" w:hAnsi="Times New Roman" w:eastAsia="宋体" w:cs="Times New Roman"/>
          <w:bCs w:val="0"/>
          <w:snapToGrid w:val="0"/>
          <w:color w:val="auto"/>
          <w:kern w:val="2"/>
          <w:sz w:val="24"/>
          <w:szCs w:val="24"/>
          <w:lang w:val="en-US" w:eastAsia="zh-CN" w:bidi="ar-SA"/>
        </w:rPr>
        <w:t>：地理位置图</w:t>
      </w:r>
      <w:r>
        <w:rPr>
          <w:color w:val="auto"/>
          <w:sz w:val="24"/>
          <w:szCs w:val="24"/>
        </w:rPr>
        <w:tab/>
      </w:r>
      <w:r>
        <w:rPr>
          <w:color w:val="auto"/>
          <w:sz w:val="24"/>
          <w:szCs w:val="24"/>
        </w:rPr>
        <w:fldChar w:fldCharType="begin"/>
      </w:r>
      <w:r>
        <w:rPr>
          <w:color w:val="auto"/>
          <w:sz w:val="24"/>
          <w:szCs w:val="24"/>
        </w:rPr>
        <w:instrText xml:space="preserve"> PAGEREF _Toc26063 \h </w:instrText>
      </w:r>
      <w:r>
        <w:rPr>
          <w:color w:val="auto"/>
          <w:sz w:val="24"/>
          <w:szCs w:val="24"/>
        </w:rPr>
        <w:fldChar w:fldCharType="separate"/>
      </w:r>
      <w:r>
        <w:rPr>
          <w:color w:val="auto"/>
          <w:sz w:val="24"/>
          <w:szCs w:val="24"/>
        </w:rPr>
        <w:t>79</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_Toc23452 </w:instrText>
      </w:r>
      <w:r>
        <w:rPr>
          <w:bCs/>
          <w:color w:val="auto"/>
          <w:sz w:val="24"/>
          <w:szCs w:val="24"/>
        </w:rPr>
        <w:fldChar w:fldCharType="separate"/>
      </w:r>
      <w:r>
        <w:rPr>
          <w:color w:val="auto"/>
          <w:sz w:val="24"/>
          <w:szCs w:val="24"/>
        </w:rPr>
        <w:t>附图</w:t>
      </w:r>
      <w:r>
        <w:rPr>
          <w:rFonts w:hint="eastAsia"/>
          <w:color w:val="auto"/>
          <w:sz w:val="24"/>
          <w:szCs w:val="24"/>
          <w:lang w:val="en-US" w:eastAsia="zh-CN"/>
        </w:rPr>
        <w:t>2</w:t>
      </w:r>
      <w:r>
        <w:rPr>
          <w:color w:val="auto"/>
          <w:sz w:val="24"/>
          <w:szCs w:val="24"/>
        </w:rPr>
        <w:t>：</w:t>
      </w:r>
      <w:r>
        <w:rPr>
          <w:rFonts w:hint="eastAsia"/>
          <w:color w:val="auto"/>
          <w:sz w:val="24"/>
          <w:szCs w:val="24"/>
          <w:lang w:val="en-US" w:eastAsia="zh-CN"/>
        </w:rPr>
        <w:t>七台河市</w:t>
      </w:r>
      <w:r>
        <w:rPr>
          <w:color w:val="auto"/>
          <w:sz w:val="24"/>
          <w:szCs w:val="24"/>
        </w:rPr>
        <w:t>环境管控单元分布图</w:t>
      </w:r>
      <w:r>
        <w:rPr>
          <w:color w:val="auto"/>
          <w:sz w:val="24"/>
          <w:szCs w:val="24"/>
        </w:rPr>
        <w:tab/>
      </w:r>
      <w:r>
        <w:rPr>
          <w:color w:val="auto"/>
          <w:sz w:val="24"/>
          <w:szCs w:val="24"/>
        </w:rPr>
        <w:fldChar w:fldCharType="begin"/>
      </w:r>
      <w:r>
        <w:rPr>
          <w:color w:val="auto"/>
          <w:sz w:val="24"/>
          <w:szCs w:val="24"/>
        </w:rPr>
        <w:instrText xml:space="preserve"> PAGEREF _Toc23452 \h </w:instrText>
      </w:r>
      <w:r>
        <w:rPr>
          <w:color w:val="auto"/>
          <w:sz w:val="24"/>
          <w:szCs w:val="24"/>
        </w:rPr>
        <w:fldChar w:fldCharType="separate"/>
      </w:r>
      <w:r>
        <w:rPr>
          <w:color w:val="auto"/>
          <w:sz w:val="24"/>
          <w:szCs w:val="24"/>
        </w:rPr>
        <w:t>80</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_Toc11955 </w:instrText>
      </w:r>
      <w:r>
        <w:rPr>
          <w:bCs/>
          <w:color w:val="auto"/>
          <w:sz w:val="24"/>
          <w:szCs w:val="24"/>
        </w:rPr>
        <w:fldChar w:fldCharType="separate"/>
      </w:r>
      <w:r>
        <w:rPr>
          <w:color w:val="auto"/>
          <w:sz w:val="24"/>
          <w:szCs w:val="24"/>
        </w:rPr>
        <w:t>附图</w:t>
      </w:r>
      <w:r>
        <w:rPr>
          <w:rFonts w:hint="eastAsia"/>
          <w:color w:val="auto"/>
          <w:sz w:val="24"/>
          <w:szCs w:val="24"/>
          <w:lang w:val="en-US" w:eastAsia="zh-CN"/>
        </w:rPr>
        <w:t>3</w:t>
      </w:r>
      <w:r>
        <w:rPr>
          <w:color w:val="auto"/>
          <w:sz w:val="24"/>
          <w:szCs w:val="24"/>
        </w:rPr>
        <w:t>：现场照片</w:t>
      </w:r>
      <w:r>
        <w:rPr>
          <w:color w:val="auto"/>
          <w:sz w:val="24"/>
          <w:szCs w:val="24"/>
        </w:rPr>
        <w:tab/>
      </w:r>
      <w:r>
        <w:rPr>
          <w:color w:val="auto"/>
          <w:sz w:val="24"/>
          <w:szCs w:val="24"/>
        </w:rPr>
        <w:fldChar w:fldCharType="begin"/>
      </w:r>
      <w:r>
        <w:rPr>
          <w:color w:val="auto"/>
          <w:sz w:val="24"/>
          <w:szCs w:val="24"/>
        </w:rPr>
        <w:instrText xml:space="preserve"> PAGEREF _Toc11955 \h </w:instrText>
      </w:r>
      <w:r>
        <w:rPr>
          <w:color w:val="auto"/>
          <w:sz w:val="24"/>
          <w:szCs w:val="24"/>
        </w:rPr>
        <w:fldChar w:fldCharType="separate"/>
      </w:r>
      <w:r>
        <w:rPr>
          <w:color w:val="auto"/>
          <w:sz w:val="24"/>
          <w:szCs w:val="24"/>
        </w:rPr>
        <w:t>81</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_Toc23463 </w:instrText>
      </w:r>
      <w:r>
        <w:rPr>
          <w:bCs/>
          <w:color w:val="auto"/>
          <w:sz w:val="24"/>
          <w:szCs w:val="24"/>
        </w:rPr>
        <w:fldChar w:fldCharType="separate"/>
      </w:r>
      <w:r>
        <w:rPr>
          <w:color w:val="auto"/>
          <w:sz w:val="24"/>
          <w:szCs w:val="24"/>
        </w:rPr>
        <w:t>附图</w:t>
      </w:r>
      <w:r>
        <w:rPr>
          <w:rFonts w:hint="eastAsia"/>
          <w:color w:val="auto"/>
          <w:sz w:val="24"/>
          <w:szCs w:val="24"/>
          <w:lang w:val="en-US" w:eastAsia="zh-CN"/>
        </w:rPr>
        <w:t>4</w:t>
      </w:r>
      <w:r>
        <w:rPr>
          <w:color w:val="auto"/>
          <w:sz w:val="24"/>
          <w:szCs w:val="24"/>
        </w:rPr>
        <w:t>：平面布置图</w:t>
      </w:r>
      <w:r>
        <w:rPr>
          <w:color w:val="auto"/>
          <w:sz w:val="24"/>
          <w:szCs w:val="24"/>
        </w:rPr>
        <w:tab/>
      </w:r>
      <w:r>
        <w:rPr>
          <w:color w:val="auto"/>
          <w:sz w:val="24"/>
          <w:szCs w:val="24"/>
        </w:rPr>
        <w:fldChar w:fldCharType="begin"/>
      </w:r>
      <w:r>
        <w:rPr>
          <w:color w:val="auto"/>
          <w:sz w:val="24"/>
          <w:szCs w:val="24"/>
        </w:rPr>
        <w:instrText xml:space="preserve"> PAGEREF _Toc23463 \h </w:instrText>
      </w:r>
      <w:r>
        <w:rPr>
          <w:color w:val="auto"/>
          <w:sz w:val="24"/>
          <w:szCs w:val="24"/>
        </w:rPr>
        <w:fldChar w:fldCharType="separate"/>
      </w:r>
      <w:r>
        <w:rPr>
          <w:color w:val="auto"/>
          <w:sz w:val="24"/>
          <w:szCs w:val="24"/>
        </w:rPr>
        <w:t>82</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sz w:val="24"/>
          <w:szCs w:val="24"/>
        </w:rPr>
      </w:pPr>
      <w:r>
        <w:rPr>
          <w:bCs/>
          <w:color w:val="auto"/>
          <w:sz w:val="24"/>
          <w:szCs w:val="24"/>
        </w:rPr>
        <w:fldChar w:fldCharType="begin"/>
      </w:r>
      <w:r>
        <w:rPr>
          <w:bCs/>
          <w:color w:val="auto"/>
          <w:sz w:val="24"/>
          <w:szCs w:val="24"/>
        </w:rPr>
        <w:instrText xml:space="preserve"> HYPERLINK \l _Toc22290 </w:instrText>
      </w:r>
      <w:r>
        <w:rPr>
          <w:bCs/>
          <w:color w:val="auto"/>
          <w:sz w:val="24"/>
          <w:szCs w:val="24"/>
        </w:rPr>
        <w:fldChar w:fldCharType="separate"/>
      </w:r>
      <w:r>
        <w:rPr>
          <w:color w:val="auto"/>
          <w:sz w:val="24"/>
          <w:szCs w:val="24"/>
        </w:rPr>
        <w:t>附图</w:t>
      </w:r>
      <w:r>
        <w:rPr>
          <w:rFonts w:hint="eastAsia"/>
          <w:color w:val="auto"/>
          <w:sz w:val="24"/>
          <w:szCs w:val="24"/>
          <w:lang w:val="en-US" w:eastAsia="zh-CN"/>
        </w:rPr>
        <w:t>5</w:t>
      </w:r>
      <w:r>
        <w:rPr>
          <w:color w:val="auto"/>
          <w:sz w:val="24"/>
          <w:szCs w:val="24"/>
        </w:rPr>
        <w:t>：环境保护目标分布图</w:t>
      </w:r>
      <w:r>
        <w:rPr>
          <w:color w:val="auto"/>
          <w:sz w:val="24"/>
          <w:szCs w:val="24"/>
        </w:rPr>
        <w:tab/>
      </w:r>
      <w:r>
        <w:rPr>
          <w:color w:val="auto"/>
          <w:sz w:val="24"/>
          <w:szCs w:val="24"/>
        </w:rPr>
        <w:fldChar w:fldCharType="begin"/>
      </w:r>
      <w:r>
        <w:rPr>
          <w:color w:val="auto"/>
          <w:sz w:val="24"/>
          <w:szCs w:val="24"/>
        </w:rPr>
        <w:instrText xml:space="preserve"> PAGEREF _Toc22290 \h </w:instrText>
      </w:r>
      <w:r>
        <w:rPr>
          <w:color w:val="auto"/>
          <w:sz w:val="24"/>
          <w:szCs w:val="24"/>
        </w:rPr>
        <w:fldChar w:fldCharType="separate"/>
      </w:r>
      <w:r>
        <w:rPr>
          <w:color w:val="auto"/>
          <w:sz w:val="24"/>
          <w:szCs w:val="24"/>
        </w:rPr>
        <w:t>83</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auto"/>
        </w:rPr>
      </w:pPr>
      <w:r>
        <w:rPr>
          <w:bCs/>
          <w:color w:val="auto"/>
          <w:sz w:val="24"/>
          <w:szCs w:val="24"/>
        </w:rPr>
        <w:fldChar w:fldCharType="begin"/>
      </w:r>
      <w:r>
        <w:rPr>
          <w:bCs/>
          <w:color w:val="auto"/>
          <w:sz w:val="24"/>
          <w:szCs w:val="24"/>
        </w:rPr>
        <w:instrText xml:space="preserve"> HYPERLINK \l _Toc5173 </w:instrText>
      </w:r>
      <w:r>
        <w:rPr>
          <w:bCs/>
          <w:color w:val="auto"/>
          <w:sz w:val="24"/>
          <w:szCs w:val="24"/>
        </w:rPr>
        <w:fldChar w:fldCharType="separate"/>
      </w:r>
      <w:r>
        <w:rPr>
          <w:rFonts w:hint="eastAsia"/>
          <w:color w:val="auto"/>
          <w:sz w:val="24"/>
          <w:szCs w:val="24"/>
        </w:rPr>
        <w:t>附图</w:t>
      </w:r>
      <w:r>
        <w:rPr>
          <w:rFonts w:hint="eastAsia"/>
          <w:color w:val="auto"/>
          <w:sz w:val="24"/>
          <w:szCs w:val="24"/>
          <w:lang w:val="en-US" w:eastAsia="zh-CN"/>
        </w:rPr>
        <w:t>6</w:t>
      </w:r>
      <w:r>
        <w:rPr>
          <w:rFonts w:hint="eastAsia"/>
          <w:color w:val="auto"/>
          <w:sz w:val="24"/>
          <w:szCs w:val="24"/>
        </w:rPr>
        <w:t>：分区防渗图</w:t>
      </w:r>
      <w:r>
        <w:rPr>
          <w:color w:val="auto"/>
          <w:sz w:val="24"/>
          <w:szCs w:val="24"/>
        </w:rPr>
        <w:tab/>
      </w:r>
      <w:r>
        <w:rPr>
          <w:color w:val="auto"/>
          <w:sz w:val="24"/>
          <w:szCs w:val="24"/>
        </w:rPr>
        <w:fldChar w:fldCharType="begin"/>
      </w:r>
      <w:r>
        <w:rPr>
          <w:color w:val="auto"/>
          <w:sz w:val="24"/>
          <w:szCs w:val="24"/>
        </w:rPr>
        <w:instrText xml:space="preserve"> PAGEREF _Toc5173 \h </w:instrText>
      </w:r>
      <w:r>
        <w:rPr>
          <w:color w:val="auto"/>
          <w:sz w:val="24"/>
          <w:szCs w:val="24"/>
        </w:rPr>
        <w:fldChar w:fldCharType="separate"/>
      </w:r>
      <w:r>
        <w:rPr>
          <w:color w:val="auto"/>
          <w:sz w:val="24"/>
          <w:szCs w:val="24"/>
        </w:rPr>
        <w:t>84</w:t>
      </w:r>
      <w:r>
        <w:rPr>
          <w:color w:val="auto"/>
          <w:sz w:val="24"/>
          <w:szCs w:val="24"/>
        </w:rPr>
        <w:fldChar w:fldCharType="end"/>
      </w:r>
      <w:r>
        <w:rPr>
          <w:bCs/>
          <w:color w:val="auto"/>
          <w:sz w:val="24"/>
          <w:szCs w:val="24"/>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Cs w:val="21"/>
        </w:rPr>
      </w:pPr>
      <w:r>
        <w:rPr>
          <w:bCs/>
          <w:color w:val="auto"/>
          <w:szCs w:val="28"/>
        </w:rPr>
        <w:fldChar w:fldCharType="end"/>
      </w:r>
    </w:p>
    <w:p>
      <w:pPr>
        <w:adjustRightInd w:val="0"/>
        <w:snapToGrid w:val="0"/>
        <w:rPr>
          <w:color w:val="auto"/>
          <w:szCs w:val="21"/>
        </w:rPr>
      </w:pPr>
    </w:p>
    <w:p>
      <w:pPr>
        <w:spacing w:line="360" w:lineRule="auto"/>
        <w:rPr>
          <w:color w:val="auto"/>
          <w:sz w:val="36"/>
          <w:szCs w:val="36"/>
        </w:rPr>
        <w:sectPr>
          <w:footerReference r:id="rId3" w:type="default"/>
          <w:pgSz w:w="11906" w:h="16838"/>
          <w:pgMar w:top="1440" w:right="1800" w:bottom="1440" w:left="1800" w:header="851" w:footer="1077" w:gutter="0"/>
          <w:pgNumType w:start="3"/>
          <w:cols w:space="720" w:num="1"/>
          <w:docGrid w:linePitch="312" w:charSpace="0"/>
        </w:sectPr>
      </w:pPr>
    </w:p>
    <w:p>
      <w:pPr>
        <w:pStyle w:val="17"/>
        <w:spacing w:before="0" w:beforeAutospacing="0" w:after="0" w:afterAutospacing="0"/>
        <w:outlineLvl w:val="0"/>
        <w:rPr>
          <w:rFonts w:ascii="Times New Roman" w:hAnsi="Times New Roman"/>
          <w:b/>
          <w:bCs/>
          <w:snapToGrid w:val="0"/>
          <w:color w:val="auto"/>
          <w:sz w:val="30"/>
          <w:szCs w:val="30"/>
        </w:rPr>
      </w:pPr>
      <w:bookmarkStart w:id="1" w:name="_Toc29603"/>
      <w:r>
        <w:rPr>
          <w:rFonts w:ascii="Times New Roman" w:hAnsi="Times New Roman"/>
          <w:b/>
          <w:bCs/>
          <w:snapToGrid w:val="0"/>
          <w:color w:val="auto"/>
          <w:sz w:val="30"/>
          <w:szCs w:val="30"/>
        </w:rPr>
        <w:t>一、建设项目基本情况</w:t>
      </w:r>
      <w:bookmarkEnd w:id="1"/>
    </w:p>
    <w:tbl>
      <w:tblPr>
        <w:tblStyle w:val="20"/>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0"/>
        <w:gridCol w:w="2189"/>
        <w:gridCol w:w="1747"/>
        <w:gridCol w:w="33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建设项目名称</w:t>
            </w:r>
          </w:p>
        </w:tc>
        <w:tc>
          <w:tcPr>
            <w:tcW w:w="7318" w:type="dxa"/>
            <w:gridSpan w:val="3"/>
            <w:vAlign w:val="center"/>
          </w:tcPr>
          <w:p>
            <w:pPr>
              <w:jc w:val="center"/>
              <w:rPr>
                <w:rFonts w:hint="default" w:eastAsia="宋体"/>
                <w:color w:val="auto"/>
                <w:sz w:val="24"/>
                <w:lang w:val="en-US" w:eastAsia="zh-CN"/>
              </w:rPr>
            </w:pPr>
            <w:r>
              <w:rPr>
                <w:rFonts w:hint="eastAsia"/>
                <w:color w:val="auto"/>
                <w:sz w:val="24"/>
              </w:rPr>
              <w:t>1000辆/年报废农业机械拆解项目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项目代码</w:t>
            </w:r>
          </w:p>
        </w:tc>
        <w:tc>
          <w:tcPr>
            <w:tcW w:w="7318" w:type="dxa"/>
            <w:gridSpan w:val="3"/>
            <w:vAlign w:val="center"/>
          </w:tcPr>
          <w:p>
            <w:pPr>
              <w:jc w:val="center"/>
              <w:rPr>
                <w:rFonts w:hint="default" w:eastAsia="宋体"/>
                <w:color w:val="auto"/>
                <w:sz w:val="24"/>
                <w:lang w:val="en-US" w:eastAsia="zh-CN"/>
              </w:rPr>
            </w:pPr>
            <w:r>
              <w:rPr>
                <w:rFonts w:hint="eastAsia"/>
                <w:color w:val="auto"/>
                <w:sz w:val="24"/>
                <w:lang w:val="en-US" w:eastAsia="zh-CN"/>
              </w:rPr>
              <w:t>2405-230921-04-01-158369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建设单位联系人</w:t>
            </w:r>
          </w:p>
        </w:tc>
        <w:tc>
          <w:tcPr>
            <w:tcW w:w="2189" w:type="dxa"/>
            <w:vAlign w:val="center"/>
          </w:tcPr>
          <w:p>
            <w:pPr>
              <w:jc w:val="center"/>
              <w:rPr>
                <w:rFonts w:hint="default" w:eastAsia="宋体"/>
                <w:color w:val="auto"/>
                <w:sz w:val="24"/>
                <w:lang w:val="en-US" w:eastAsia="zh-CN"/>
              </w:rPr>
            </w:pPr>
            <w:r>
              <w:rPr>
                <w:rFonts w:hint="eastAsia"/>
                <w:color w:val="auto"/>
                <w:sz w:val="24"/>
                <w:lang w:val="en-US" w:eastAsia="zh-CN"/>
              </w:rPr>
              <w:t>王东成</w:t>
            </w:r>
          </w:p>
        </w:tc>
        <w:tc>
          <w:tcPr>
            <w:tcW w:w="1747" w:type="dxa"/>
            <w:vAlign w:val="center"/>
          </w:tcPr>
          <w:p>
            <w:pPr>
              <w:jc w:val="center"/>
              <w:rPr>
                <w:b/>
                <w:bCs/>
                <w:color w:val="auto"/>
                <w:sz w:val="24"/>
              </w:rPr>
            </w:pPr>
            <w:r>
              <w:rPr>
                <w:b/>
                <w:bCs/>
                <w:color w:val="auto"/>
                <w:sz w:val="24"/>
              </w:rPr>
              <w:t>联系方式</w:t>
            </w:r>
          </w:p>
        </w:tc>
        <w:tc>
          <w:tcPr>
            <w:tcW w:w="3382" w:type="dxa"/>
            <w:vAlign w:val="center"/>
          </w:tcPr>
          <w:p>
            <w:pPr>
              <w:jc w:val="center"/>
              <w:rPr>
                <w:rFonts w:hint="default" w:eastAsia="宋体"/>
                <w:color w:val="auto"/>
                <w:sz w:val="24"/>
                <w:lang w:val="en-US" w:eastAsia="zh-CN"/>
              </w:rPr>
            </w:pPr>
            <w:r>
              <w:rPr>
                <w:rFonts w:hint="eastAsia"/>
                <w:color w:val="auto"/>
                <w:sz w:val="24"/>
                <w:lang w:val="en-US" w:eastAsia="zh-CN"/>
              </w:rPr>
              <w:t>18146506789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建设地点</w:t>
            </w:r>
          </w:p>
        </w:tc>
        <w:tc>
          <w:tcPr>
            <w:tcW w:w="7318" w:type="dxa"/>
            <w:gridSpan w:val="3"/>
            <w:vAlign w:val="center"/>
          </w:tcPr>
          <w:p>
            <w:pPr>
              <w:jc w:val="center"/>
              <w:rPr>
                <w:rFonts w:hint="default" w:eastAsia="宋体"/>
                <w:color w:val="auto"/>
                <w:sz w:val="24"/>
                <w:lang w:val="en-US" w:eastAsia="zh-CN"/>
              </w:rPr>
            </w:pPr>
            <w:bookmarkStart w:id="2" w:name="_Hlk80091689"/>
            <w:r>
              <w:rPr>
                <w:color w:val="auto"/>
                <w:sz w:val="24"/>
              </w:rPr>
              <w:t>黑龙江省</w:t>
            </w:r>
            <w:r>
              <w:rPr>
                <w:rFonts w:hint="eastAsia"/>
                <w:color w:val="auto"/>
                <w:sz w:val="24"/>
                <w:lang w:val="en-US" w:eastAsia="zh-CN"/>
              </w:rPr>
              <w:t>七台河</w:t>
            </w:r>
            <w:r>
              <w:rPr>
                <w:color w:val="auto"/>
                <w:sz w:val="24"/>
              </w:rPr>
              <w:t>市</w:t>
            </w:r>
            <w:bookmarkEnd w:id="2"/>
            <w:r>
              <w:rPr>
                <w:rFonts w:hint="eastAsia"/>
                <w:color w:val="auto"/>
                <w:sz w:val="24"/>
                <w:lang w:val="en-US" w:eastAsia="zh-CN"/>
              </w:rPr>
              <w:t>勃利县南大直路217号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地理坐标</w:t>
            </w:r>
          </w:p>
        </w:tc>
        <w:tc>
          <w:tcPr>
            <w:tcW w:w="7318" w:type="dxa"/>
            <w:gridSpan w:val="3"/>
            <w:vAlign w:val="center"/>
          </w:tcPr>
          <w:p>
            <w:pPr>
              <w:jc w:val="center"/>
              <w:rPr>
                <w:color w:val="auto"/>
                <w:sz w:val="24"/>
              </w:rPr>
            </w:pPr>
            <w:r>
              <w:rPr>
                <w:color w:val="auto"/>
                <w:sz w:val="24"/>
              </w:rPr>
              <w:t>（</w:t>
            </w:r>
            <w:r>
              <w:rPr>
                <w:color w:val="auto"/>
                <w:sz w:val="24"/>
                <w:u w:val="single"/>
              </w:rPr>
              <w:t>1</w:t>
            </w:r>
            <w:r>
              <w:rPr>
                <w:rFonts w:hint="eastAsia"/>
                <w:color w:val="auto"/>
                <w:sz w:val="24"/>
                <w:u w:val="single"/>
                <w:lang w:val="en-US" w:eastAsia="zh-CN"/>
              </w:rPr>
              <w:t>30</w:t>
            </w:r>
            <w:r>
              <w:rPr>
                <w:color w:val="auto"/>
                <w:sz w:val="24"/>
              </w:rPr>
              <w:t>度</w:t>
            </w:r>
            <w:r>
              <w:rPr>
                <w:rFonts w:hint="eastAsia"/>
                <w:color w:val="auto"/>
                <w:sz w:val="24"/>
                <w:u w:val="single"/>
                <w:lang w:val="en-US" w:eastAsia="zh-CN"/>
              </w:rPr>
              <w:t>34</w:t>
            </w:r>
            <w:r>
              <w:rPr>
                <w:color w:val="auto"/>
                <w:sz w:val="24"/>
              </w:rPr>
              <w:t>分</w:t>
            </w:r>
            <w:r>
              <w:rPr>
                <w:rFonts w:hint="eastAsia"/>
                <w:color w:val="auto"/>
                <w:sz w:val="24"/>
                <w:u w:val="single"/>
                <w:lang w:val="en-US" w:eastAsia="zh-CN"/>
              </w:rPr>
              <w:t>39.78</w:t>
            </w:r>
            <w:r>
              <w:rPr>
                <w:color w:val="auto"/>
                <w:sz w:val="24"/>
              </w:rPr>
              <w:t>秒，</w:t>
            </w:r>
            <w:r>
              <w:rPr>
                <w:color w:val="auto"/>
                <w:sz w:val="24"/>
                <w:u w:val="single"/>
              </w:rPr>
              <w:t>4</w:t>
            </w:r>
            <w:r>
              <w:rPr>
                <w:rFonts w:hint="eastAsia"/>
                <w:color w:val="auto"/>
                <w:sz w:val="24"/>
                <w:u w:val="single"/>
                <w:lang w:val="en-US" w:eastAsia="zh-CN"/>
              </w:rPr>
              <w:t>5</w:t>
            </w:r>
            <w:r>
              <w:rPr>
                <w:color w:val="auto"/>
                <w:sz w:val="24"/>
              </w:rPr>
              <w:t>度</w:t>
            </w:r>
            <w:r>
              <w:rPr>
                <w:rFonts w:hint="eastAsia"/>
                <w:color w:val="auto"/>
                <w:sz w:val="24"/>
                <w:u w:val="single"/>
                <w:lang w:val="en-US" w:eastAsia="zh-CN"/>
              </w:rPr>
              <w:t>44</w:t>
            </w:r>
            <w:r>
              <w:rPr>
                <w:color w:val="auto"/>
                <w:sz w:val="24"/>
              </w:rPr>
              <w:t>分</w:t>
            </w:r>
            <w:r>
              <w:rPr>
                <w:rFonts w:hint="eastAsia"/>
                <w:color w:val="auto"/>
                <w:sz w:val="24"/>
                <w:u w:val="single"/>
                <w:lang w:val="en-US" w:eastAsia="zh-CN"/>
              </w:rPr>
              <w:t>25.35</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国民经济</w:t>
            </w:r>
          </w:p>
          <w:p>
            <w:pPr>
              <w:jc w:val="center"/>
              <w:rPr>
                <w:color w:val="auto"/>
                <w:sz w:val="24"/>
              </w:rPr>
            </w:pPr>
            <w:r>
              <w:rPr>
                <w:b/>
                <w:bCs/>
                <w:color w:val="auto"/>
                <w:sz w:val="24"/>
              </w:rPr>
              <w:t>行业类别</w:t>
            </w:r>
          </w:p>
        </w:tc>
        <w:tc>
          <w:tcPr>
            <w:tcW w:w="2189" w:type="dxa"/>
            <w:vAlign w:val="center"/>
          </w:tcPr>
          <w:p>
            <w:pPr>
              <w:rPr>
                <w:color w:val="auto"/>
                <w:sz w:val="24"/>
              </w:rPr>
            </w:pPr>
            <w:r>
              <w:rPr>
                <w:rFonts w:hint="eastAsia"/>
                <w:color w:val="auto"/>
                <w:sz w:val="24"/>
              </w:rPr>
              <w:t>C42废旧资源综合利用业——4210金属废料和碎屑加工处理</w:t>
            </w:r>
          </w:p>
        </w:tc>
        <w:tc>
          <w:tcPr>
            <w:tcW w:w="1747" w:type="dxa"/>
            <w:vAlign w:val="center"/>
          </w:tcPr>
          <w:p>
            <w:pPr>
              <w:jc w:val="center"/>
              <w:rPr>
                <w:b/>
                <w:bCs/>
                <w:color w:val="auto"/>
                <w:sz w:val="24"/>
              </w:rPr>
            </w:pPr>
            <w:bookmarkStart w:id="3" w:name="_Hlk49843745"/>
            <w:r>
              <w:rPr>
                <w:b/>
                <w:bCs/>
                <w:color w:val="auto"/>
                <w:sz w:val="24"/>
              </w:rPr>
              <w:t>建设项目</w:t>
            </w:r>
          </w:p>
          <w:p>
            <w:pPr>
              <w:jc w:val="center"/>
              <w:rPr>
                <w:color w:val="auto"/>
                <w:sz w:val="24"/>
              </w:rPr>
            </w:pPr>
            <w:r>
              <w:rPr>
                <w:b/>
                <w:bCs/>
                <w:color w:val="auto"/>
                <w:sz w:val="24"/>
              </w:rPr>
              <w:t>行业类别</w:t>
            </w:r>
            <w:bookmarkEnd w:id="3"/>
          </w:p>
        </w:tc>
        <w:tc>
          <w:tcPr>
            <w:tcW w:w="3382" w:type="dxa"/>
            <w:vAlign w:val="center"/>
          </w:tcPr>
          <w:p>
            <w:pPr>
              <w:rPr>
                <w:color w:val="auto"/>
                <w:sz w:val="24"/>
              </w:rPr>
            </w:pPr>
            <w:r>
              <w:rPr>
                <w:rFonts w:hint="eastAsia"/>
                <w:color w:val="auto"/>
                <w:sz w:val="24"/>
              </w:rPr>
              <w:t>“三十九、废弃资源综合利用业 42 ”中的“85金属废料和碎屑加工处理421；”中的“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8"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建设性质</w:t>
            </w:r>
          </w:p>
        </w:tc>
        <w:tc>
          <w:tcPr>
            <w:tcW w:w="2189" w:type="dxa"/>
            <w:vAlign w:val="center"/>
          </w:tcPr>
          <w:p>
            <w:pPr>
              <w:rPr>
                <w:color w:val="auto"/>
                <w:sz w:val="24"/>
              </w:rPr>
            </w:pPr>
            <w:r>
              <w:rPr>
                <w:color w:val="auto"/>
                <w:sz w:val="24"/>
              </w:rPr>
              <w:sym w:font="Wingdings 2" w:char="0052"/>
            </w:r>
            <w:r>
              <w:rPr>
                <w:color w:val="auto"/>
                <w:sz w:val="24"/>
              </w:rPr>
              <w:t>新建（迁建）</w:t>
            </w:r>
          </w:p>
          <w:p>
            <w:pPr>
              <w:rPr>
                <w:color w:val="auto"/>
                <w:sz w:val="24"/>
              </w:rPr>
            </w:pPr>
            <w:r>
              <w:rPr>
                <w:color w:val="auto"/>
                <w:sz w:val="24"/>
              </w:rPr>
              <w:t>□改建</w:t>
            </w:r>
          </w:p>
          <w:p>
            <w:pPr>
              <w:rPr>
                <w:color w:val="auto"/>
                <w:sz w:val="24"/>
              </w:rPr>
            </w:pPr>
            <w:r>
              <w:rPr>
                <w:color w:val="auto"/>
                <w:sz w:val="24"/>
              </w:rPr>
              <w:t>□扩建</w:t>
            </w:r>
          </w:p>
          <w:p>
            <w:pPr>
              <w:rPr>
                <w:color w:val="auto"/>
                <w:sz w:val="24"/>
              </w:rPr>
            </w:pPr>
            <w:r>
              <w:rPr>
                <w:color w:val="auto"/>
                <w:sz w:val="24"/>
              </w:rPr>
              <w:t>□技术改造</w:t>
            </w:r>
          </w:p>
        </w:tc>
        <w:tc>
          <w:tcPr>
            <w:tcW w:w="1747" w:type="dxa"/>
            <w:vAlign w:val="center"/>
          </w:tcPr>
          <w:p>
            <w:pPr>
              <w:jc w:val="center"/>
              <w:rPr>
                <w:b/>
                <w:bCs/>
                <w:color w:val="auto"/>
                <w:sz w:val="24"/>
              </w:rPr>
            </w:pPr>
            <w:r>
              <w:rPr>
                <w:b/>
                <w:bCs/>
                <w:color w:val="auto"/>
                <w:sz w:val="24"/>
              </w:rPr>
              <w:t>建设项目</w:t>
            </w:r>
          </w:p>
          <w:p>
            <w:pPr>
              <w:jc w:val="center"/>
              <w:rPr>
                <w:color w:val="auto"/>
                <w:sz w:val="24"/>
              </w:rPr>
            </w:pPr>
            <w:r>
              <w:rPr>
                <w:b/>
                <w:bCs/>
                <w:color w:val="auto"/>
                <w:sz w:val="24"/>
              </w:rPr>
              <w:t>申报情形</w:t>
            </w:r>
          </w:p>
        </w:tc>
        <w:tc>
          <w:tcPr>
            <w:tcW w:w="3382" w:type="dxa"/>
            <w:vAlign w:val="center"/>
          </w:tcPr>
          <w:p>
            <w:pPr>
              <w:rPr>
                <w:color w:val="auto"/>
                <w:sz w:val="24"/>
              </w:rPr>
            </w:pPr>
            <w:r>
              <w:rPr>
                <w:color w:val="auto"/>
                <w:sz w:val="24"/>
              </w:rPr>
              <w:sym w:font="Wingdings 2" w:char="0052"/>
            </w:r>
            <w:r>
              <w:rPr>
                <w:color w:val="auto"/>
                <w:sz w:val="24"/>
              </w:rPr>
              <w:t>首次申报项目</w:t>
            </w:r>
          </w:p>
          <w:p>
            <w:pPr>
              <w:rPr>
                <w:color w:val="auto"/>
                <w:sz w:val="24"/>
              </w:rPr>
            </w:pPr>
            <w:r>
              <w:rPr>
                <w:color w:val="auto"/>
                <w:sz w:val="24"/>
              </w:rPr>
              <w:t>□不予批准后再次申报项目</w:t>
            </w:r>
          </w:p>
          <w:p>
            <w:pPr>
              <w:rPr>
                <w:color w:val="auto"/>
                <w:sz w:val="24"/>
              </w:rPr>
            </w:pPr>
            <w:r>
              <w:rPr>
                <w:color w:val="auto"/>
                <w:sz w:val="24"/>
              </w:rPr>
              <w:t>□超五年重新审核项目</w:t>
            </w:r>
          </w:p>
          <w:p>
            <w:pPr>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项目审批（核准/备案）部门（选填）</w:t>
            </w:r>
          </w:p>
        </w:tc>
        <w:tc>
          <w:tcPr>
            <w:tcW w:w="2189" w:type="dxa"/>
            <w:vAlign w:val="center"/>
          </w:tcPr>
          <w:p>
            <w:pPr>
              <w:jc w:val="center"/>
              <w:rPr>
                <w:color w:val="auto"/>
                <w:sz w:val="24"/>
              </w:rPr>
            </w:pPr>
            <w:r>
              <w:rPr>
                <w:color w:val="auto"/>
                <w:sz w:val="24"/>
              </w:rPr>
              <w:t>/</w:t>
            </w:r>
          </w:p>
        </w:tc>
        <w:tc>
          <w:tcPr>
            <w:tcW w:w="1747" w:type="dxa"/>
            <w:vAlign w:val="center"/>
          </w:tcPr>
          <w:p>
            <w:pPr>
              <w:jc w:val="center"/>
              <w:rPr>
                <w:b/>
                <w:bCs/>
                <w:color w:val="auto"/>
                <w:sz w:val="24"/>
              </w:rPr>
            </w:pPr>
            <w:r>
              <w:rPr>
                <w:b/>
                <w:bCs/>
                <w:color w:val="auto"/>
                <w:sz w:val="24"/>
              </w:rPr>
              <w:t>项目审批（核准/备案）文号</w:t>
            </w:r>
          </w:p>
          <w:p>
            <w:pPr>
              <w:jc w:val="center"/>
              <w:rPr>
                <w:b/>
                <w:bCs/>
                <w:color w:val="auto"/>
                <w:sz w:val="24"/>
              </w:rPr>
            </w:pPr>
            <w:r>
              <w:rPr>
                <w:b/>
                <w:bCs/>
                <w:color w:val="auto"/>
                <w:sz w:val="24"/>
              </w:rPr>
              <w:t>（选填）</w:t>
            </w:r>
          </w:p>
        </w:tc>
        <w:tc>
          <w:tcPr>
            <w:tcW w:w="3382" w:type="dxa"/>
            <w:vAlign w:val="center"/>
          </w:tcPr>
          <w:p>
            <w:pPr>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总投资</w:t>
            </w:r>
          </w:p>
          <w:p>
            <w:pPr>
              <w:jc w:val="center"/>
              <w:rPr>
                <w:b/>
                <w:bCs/>
                <w:color w:val="auto"/>
                <w:sz w:val="24"/>
              </w:rPr>
            </w:pPr>
            <w:r>
              <w:rPr>
                <w:b/>
                <w:bCs/>
                <w:color w:val="auto"/>
                <w:sz w:val="24"/>
              </w:rPr>
              <w:t>（万元）</w:t>
            </w:r>
          </w:p>
        </w:tc>
        <w:tc>
          <w:tcPr>
            <w:tcW w:w="2189" w:type="dxa"/>
            <w:vAlign w:val="center"/>
          </w:tcPr>
          <w:p>
            <w:pPr>
              <w:jc w:val="center"/>
              <w:rPr>
                <w:rFonts w:hint="default" w:eastAsia="宋体"/>
                <w:color w:val="auto"/>
                <w:sz w:val="24"/>
                <w:lang w:val="en-US" w:eastAsia="zh-CN"/>
              </w:rPr>
            </w:pPr>
            <w:r>
              <w:rPr>
                <w:rFonts w:hint="eastAsia"/>
                <w:color w:val="auto"/>
                <w:sz w:val="24"/>
                <w:lang w:val="en-US" w:eastAsia="zh-CN"/>
              </w:rPr>
              <w:t>3000</w:t>
            </w:r>
          </w:p>
        </w:tc>
        <w:tc>
          <w:tcPr>
            <w:tcW w:w="1747" w:type="dxa"/>
            <w:tcMar>
              <w:top w:w="16" w:type="dxa"/>
              <w:left w:w="16" w:type="dxa"/>
              <w:right w:w="16" w:type="dxa"/>
            </w:tcMar>
            <w:vAlign w:val="center"/>
          </w:tcPr>
          <w:p>
            <w:pPr>
              <w:jc w:val="center"/>
              <w:rPr>
                <w:b/>
                <w:bCs/>
                <w:color w:val="auto"/>
                <w:sz w:val="24"/>
              </w:rPr>
            </w:pPr>
            <w:r>
              <w:rPr>
                <w:b/>
                <w:bCs/>
                <w:color w:val="auto"/>
                <w:sz w:val="24"/>
              </w:rPr>
              <w:t>环保投资</w:t>
            </w:r>
          </w:p>
          <w:p>
            <w:pPr>
              <w:jc w:val="center"/>
              <w:rPr>
                <w:b/>
                <w:bCs/>
                <w:color w:val="auto"/>
                <w:sz w:val="24"/>
              </w:rPr>
            </w:pPr>
            <w:r>
              <w:rPr>
                <w:b/>
                <w:bCs/>
                <w:color w:val="auto"/>
                <w:sz w:val="24"/>
              </w:rPr>
              <w:t>（万元）</w:t>
            </w:r>
          </w:p>
        </w:tc>
        <w:tc>
          <w:tcPr>
            <w:tcW w:w="3382" w:type="dxa"/>
            <w:vAlign w:val="center"/>
          </w:tcPr>
          <w:p>
            <w:pPr>
              <w:jc w:val="center"/>
              <w:rPr>
                <w:rFonts w:hint="default" w:eastAsia="宋体"/>
                <w:color w:val="auto"/>
                <w:sz w:val="24"/>
                <w:lang w:val="en-US" w:eastAsia="zh-CN"/>
              </w:rPr>
            </w:pPr>
            <w:r>
              <w:rPr>
                <w:rFonts w:hint="eastAsia"/>
                <w:color w:val="auto"/>
                <w:sz w:val="24"/>
                <w:lang w:val="en-US" w:eastAsia="zh-CN"/>
              </w:rPr>
              <w:t xml:space="preserve">13.3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环保投资占比（%）</w:t>
            </w:r>
          </w:p>
        </w:tc>
        <w:tc>
          <w:tcPr>
            <w:tcW w:w="2189" w:type="dxa"/>
            <w:vAlign w:val="center"/>
          </w:tcPr>
          <w:p>
            <w:pPr>
              <w:jc w:val="center"/>
              <w:rPr>
                <w:rFonts w:hint="default" w:eastAsia="宋体"/>
                <w:color w:val="auto"/>
                <w:sz w:val="24"/>
                <w:lang w:val="en-US" w:eastAsia="zh-CN"/>
              </w:rPr>
            </w:pPr>
            <w:r>
              <w:rPr>
                <w:rFonts w:hint="eastAsia"/>
                <w:color w:val="auto"/>
                <w:sz w:val="24"/>
                <w:lang w:val="en-US" w:eastAsia="zh-CN"/>
              </w:rPr>
              <w:t>0.4</w:t>
            </w:r>
          </w:p>
        </w:tc>
        <w:tc>
          <w:tcPr>
            <w:tcW w:w="1747" w:type="dxa"/>
            <w:tcMar>
              <w:top w:w="16" w:type="dxa"/>
              <w:left w:w="16" w:type="dxa"/>
              <w:right w:w="16" w:type="dxa"/>
            </w:tcMar>
            <w:vAlign w:val="center"/>
          </w:tcPr>
          <w:p>
            <w:pPr>
              <w:jc w:val="center"/>
              <w:rPr>
                <w:b/>
                <w:bCs/>
                <w:color w:val="auto"/>
                <w:sz w:val="24"/>
              </w:rPr>
            </w:pPr>
            <w:r>
              <w:rPr>
                <w:b/>
                <w:bCs/>
                <w:color w:val="auto"/>
                <w:sz w:val="24"/>
              </w:rPr>
              <w:t>施工工期</w:t>
            </w:r>
          </w:p>
        </w:tc>
        <w:tc>
          <w:tcPr>
            <w:tcW w:w="3382" w:type="dxa"/>
            <w:vAlign w:val="center"/>
          </w:tcPr>
          <w:p>
            <w:pPr>
              <w:jc w:val="center"/>
              <w:rPr>
                <w:color w:val="auto"/>
                <w:sz w:val="24"/>
              </w:rPr>
            </w:pPr>
            <w:r>
              <w:rPr>
                <w:rFonts w:hint="eastAsia"/>
                <w:color w:val="auto"/>
                <w:sz w:val="24"/>
              </w:rPr>
              <w:t>202</w:t>
            </w:r>
            <w:r>
              <w:rPr>
                <w:rFonts w:hint="eastAsia"/>
                <w:color w:val="auto"/>
                <w:sz w:val="24"/>
                <w:lang w:val="en-US" w:eastAsia="zh-CN"/>
              </w:rPr>
              <w:t>4</w:t>
            </w:r>
            <w:r>
              <w:rPr>
                <w:rFonts w:hint="eastAsia"/>
                <w:color w:val="auto"/>
                <w:sz w:val="24"/>
              </w:rPr>
              <w:t>年</w:t>
            </w:r>
            <w:r>
              <w:rPr>
                <w:rFonts w:hint="eastAsia"/>
                <w:color w:val="auto"/>
                <w:sz w:val="24"/>
                <w:lang w:val="en-US" w:eastAsia="zh-CN"/>
              </w:rPr>
              <w:t>8</w:t>
            </w:r>
            <w:r>
              <w:rPr>
                <w:rFonts w:hint="eastAsia"/>
                <w:color w:val="auto"/>
                <w:sz w:val="24"/>
              </w:rPr>
              <w:t>月-202</w:t>
            </w:r>
            <w:r>
              <w:rPr>
                <w:rFonts w:hint="eastAsia"/>
                <w:color w:val="auto"/>
                <w:sz w:val="24"/>
                <w:lang w:val="en-US" w:eastAsia="zh-CN"/>
              </w:rPr>
              <w:t>4</w:t>
            </w:r>
            <w:r>
              <w:rPr>
                <w:rFonts w:hint="eastAsia"/>
                <w:color w:val="auto"/>
                <w:sz w:val="24"/>
              </w:rPr>
              <w:t>年</w:t>
            </w:r>
            <w:r>
              <w:rPr>
                <w:rFonts w:hint="eastAsia"/>
                <w:color w:val="auto"/>
                <w:sz w:val="24"/>
                <w:lang w:val="en-US" w:eastAsia="zh-CN"/>
              </w:rPr>
              <w:t>9</w:t>
            </w:r>
            <w:r>
              <w:rPr>
                <w:rFonts w:hint="eastAsia"/>
                <w:color w:val="auto"/>
                <w:sz w:val="24"/>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3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是否开工建设</w:t>
            </w:r>
          </w:p>
        </w:tc>
        <w:tc>
          <w:tcPr>
            <w:tcW w:w="2189" w:type="dxa"/>
            <w:vAlign w:val="center"/>
          </w:tcPr>
          <w:p>
            <w:pPr>
              <w:rPr>
                <w:color w:val="auto"/>
                <w:sz w:val="24"/>
              </w:rPr>
            </w:pPr>
            <w:r>
              <w:rPr>
                <w:color w:val="auto"/>
                <w:sz w:val="24"/>
              </w:rPr>
              <w:sym w:font="Wingdings 2" w:char="0052"/>
            </w:r>
            <w:r>
              <w:rPr>
                <w:color w:val="auto"/>
                <w:sz w:val="24"/>
              </w:rPr>
              <w:t>否</w:t>
            </w:r>
          </w:p>
          <w:p>
            <w:pPr>
              <w:rPr>
                <w:color w:val="auto"/>
                <w:sz w:val="24"/>
              </w:rPr>
            </w:pPr>
            <w:r>
              <w:rPr>
                <w:color w:val="auto"/>
                <w:sz w:val="24"/>
              </w:rPr>
              <w:sym w:font="Wingdings 2" w:char="00A3"/>
            </w:r>
            <w:r>
              <w:rPr>
                <w:color w:val="auto"/>
                <w:sz w:val="24"/>
              </w:rPr>
              <w:t>是</w:t>
            </w:r>
          </w:p>
        </w:tc>
        <w:tc>
          <w:tcPr>
            <w:tcW w:w="1747" w:type="dxa"/>
            <w:tcMar>
              <w:top w:w="16" w:type="dxa"/>
              <w:left w:w="16" w:type="dxa"/>
              <w:right w:w="16" w:type="dxa"/>
            </w:tcMar>
            <w:vAlign w:val="center"/>
          </w:tcPr>
          <w:p>
            <w:pPr>
              <w:jc w:val="center"/>
              <w:rPr>
                <w:b/>
                <w:bCs/>
                <w:color w:val="auto"/>
                <w:spacing w:val="-6"/>
                <w:sz w:val="24"/>
              </w:rPr>
            </w:pPr>
            <w:r>
              <w:rPr>
                <w:b/>
                <w:bCs/>
                <w:color w:val="auto"/>
                <w:spacing w:val="-6"/>
                <w:sz w:val="24"/>
              </w:rPr>
              <w:t>用地（用海）</w:t>
            </w:r>
          </w:p>
          <w:p>
            <w:pPr>
              <w:jc w:val="center"/>
              <w:rPr>
                <w:color w:val="auto"/>
                <w:sz w:val="24"/>
              </w:rPr>
            </w:pPr>
            <w:r>
              <w:rPr>
                <w:b/>
                <w:bCs/>
                <w:color w:val="auto"/>
                <w:spacing w:val="-6"/>
                <w:sz w:val="24"/>
              </w:rPr>
              <w:t>面积（m</w:t>
            </w:r>
            <w:r>
              <w:rPr>
                <w:b/>
                <w:bCs/>
                <w:color w:val="auto"/>
                <w:spacing w:val="-6"/>
                <w:sz w:val="24"/>
                <w:vertAlign w:val="superscript"/>
              </w:rPr>
              <w:t>2</w:t>
            </w:r>
            <w:r>
              <w:rPr>
                <w:b/>
                <w:bCs/>
                <w:color w:val="auto"/>
                <w:spacing w:val="-6"/>
                <w:sz w:val="24"/>
              </w:rPr>
              <w:t>）</w:t>
            </w:r>
          </w:p>
        </w:tc>
        <w:tc>
          <w:tcPr>
            <w:tcW w:w="3382" w:type="dxa"/>
            <w:vAlign w:val="center"/>
          </w:tcPr>
          <w:p>
            <w:pPr>
              <w:jc w:val="center"/>
              <w:rPr>
                <w:rFonts w:hint="default" w:eastAsia="宋体"/>
                <w:color w:val="auto"/>
                <w:sz w:val="24"/>
                <w:lang w:val="en-US" w:eastAsia="zh-CN"/>
              </w:rPr>
            </w:pPr>
            <w:r>
              <w:rPr>
                <w:rFonts w:hint="eastAsia"/>
                <w:color w:val="auto"/>
                <w:sz w:val="24"/>
                <w:lang w:val="en-US" w:eastAsia="zh-CN"/>
              </w:rPr>
              <w:t>3700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9" w:hRule="atLeast"/>
          <w:jc w:val="center"/>
        </w:trPr>
        <w:tc>
          <w:tcPr>
            <w:tcW w:w="1550" w:type="dxa"/>
            <w:vAlign w:val="center"/>
          </w:tcPr>
          <w:p>
            <w:pPr>
              <w:jc w:val="center"/>
              <w:rPr>
                <w:b/>
                <w:bCs/>
                <w:color w:val="auto"/>
                <w:sz w:val="24"/>
              </w:rPr>
            </w:pPr>
            <w:r>
              <w:rPr>
                <w:b/>
                <w:bCs/>
                <w:color w:val="auto"/>
                <w:sz w:val="24"/>
              </w:rPr>
              <w:t>专项评价设置情况</w:t>
            </w:r>
          </w:p>
        </w:tc>
        <w:tc>
          <w:tcPr>
            <w:tcW w:w="7318" w:type="dxa"/>
            <w:gridSpan w:val="3"/>
            <w:vAlign w:val="center"/>
          </w:tcPr>
          <w:p>
            <w:pPr>
              <w:pStyle w:val="75"/>
              <w:rPr>
                <w:color w:val="auto"/>
              </w:rPr>
            </w:pPr>
            <w:r>
              <w:rPr>
                <w:color w:val="auto"/>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表1-1。</w:t>
            </w:r>
          </w:p>
          <w:p>
            <w:pPr>
              <w:pStyle w:val="76"/>
              <w:rPr>
                <w:color w:val="auto"/>
              </w:rPr>
            </w:pPr>
            <w:r>
              <w:rPr>
                <w:color w:val="auto"/>
              </w:rPr>
              <w:t>表1-1 专项评价设置情况一览表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939"/>
              <w:gridCol w:w="2625"/>
              <w:gridCol w:w="2534"/>
              <w:gridCol w:w="10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专项评价类别</w:t>
                  </w:r>
                </w:p>
              </w:tc>
              <w:tc>
                <w:tcPr>
                  <w:tcW w:w="1848"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设置原则</w:t>
                  </w:r>
                </w:p>
              </w:tc>
              <w:tc>
                <w:tcPr>
                  <w:tcW w:w="1784"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本项目情况</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大气</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szCs w:val="21"/>
                    </w:rPr>
                    <w:t>排放废气含有毒有害污染物</w:t>
                  </w:r>
                  <w:r>
                    <w:rPr>
                      <w:rFonts w:hint="eastAsia" w:ascii="宋体" w:hAnsi="宋体" w:cs="宋体"/>
                      <w:color w:val="auto"/>
                      <w:szCs w:val="21"/>
                      <w:vertAlign w:val="superscript"/>
                    </w:rPr>
                    <w:t>①</w:t>
                  </w:r>
                  <w:r>
                    <w:rPr>
                      <w:color w:val="auto"/>
                      <w:szCs w:val="21"/>
                    </w:rPr>
                    <w:t>、二噁英、苯并[a]芘、氰化物、氯气且厂界外500米范围内有环境空气保护目标</w:t>
                  </w:r>
                  <w:r>
                    <w:rPr>
                      <w:rFonts w:hint="eastAsia" w:ascii="宋体" w:hAnsi="宋体" w:cs="宋体"/>
                      <w:color w:val="auto"/>
                      <w:szCs w:val="21"/>
                      <w:vertAlign w:val="superscript"/>
                    </w:rPr>
                    <w:t>②</w:t>
                  </w:r>
                  <w:r>
                    <w:rPr>
                      <w:color w:val="auto"/>
                      <w:szCs w:val="21"/>
                    </w:rPr>
                    <w:t>的建设项目。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szCs w:val="21"/>
                    </w:rPr>
                    <w:t>本项目不涉及大气专项设置原则中提及的有毒有害物质。</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地表水</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新增工业废水直排建设项目（槽罐车外送污水处理厂的除外）；新增废水直排的污水集中处理厂。</w:t>
                  </w:r>
                </w:p>
              </w:tc>
              <w:tc>
                <w:tcPr>
                  <w:tcW w:w="1784" w:type="pct"/>
                  <w:tcMar>
                    <w:left w:w="57" w:type="dxa"/>
                    <w:right w:w="57" w:type="dxa"/>
                  </w:tcMar>
                  <w:vAlign w:val="center"/>
                </w:tcPr>
                <w:p>
                  <w:pPr>
                    <w:autoSpaceDE w:val="0"/>
                    <w:autoSpaceDN w:val="0"/>
                    <w:adjustRightInd w:val="0"/>
                    <w:snapToGrid w:val="0"/>
                    <w:rPr>
                      <w:color w:val="auto"/>
                    </w:rPr>
                  </w:pPr>
                  <w:r>
                    <w:rPr>
                      <w:color w:val="auto"/>
                    </w:rPr>
                    <w:t>本项目不属于工业废水直排建设项目以及废水直排的污水集中处理厂。</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环境风险</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有毒有害和易燃易爆危险物质存储量超过临界量</w:t>
                  </w:r>
                  <w:r>
                    <w:rPr>
                      <w:rFonts w:hint="eastAsia" w:ascii="宋体" w:hAnsi="宋体" w:cs="宋体"/>
                      <w:color w:val="auto"/>
                      <w:vertAlign w:val="superscript"/>
                    </w:rPr>
                    <w:t>③</w:t>
                  </w:r>
                  <w:r>
                    <w:rPr>
                      <w:color w:val="auto"/>
                    </w:rPr>
                    <w:t>的建设项目。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rPr>
                    <w:t>本项目有毒有害和易燃易爆危险物质未超过临界量。</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生态</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取水口下游500米范围内有重要水生生物的自然产卵场、索饵场、越冬场和洄游通道的新增河道取水的污染类建设项目。</w:t>
                  </w:r>
                </w:p>
              </w:tc>
              <w:tc>
                <w:tcPr>
                  <w:tcW w:w="1784" w:type="pct"/>
                  <w:tcMar>
                    <w:left w:w="57" w:type="dxa"/>
                    <w:right w:w="57" w:type="dxa"/>
                  </w:tcMar>
                  <w:vAlign w:val="center"/>
                </w:tcPr>
                <w:p>
                  <w:pPr>
                    <w:pStyle w:val="78"/>
                    <w:rPr>
                      <w:color w:val="auto"/>
                      <w:kern w:val="0"/>
                      <w:szCs w:val="21"/>
                    </w:rPr>
                  </w:pPr>
                  <w:r>
                    <w:rPr>
                      <w:color w:val="auto"/>
                    </w:rPr>
                    <w:t>本项目不涉及取水口。</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海洋</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直接向海排放污染物的海洋工程建设项目。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rPr>
                    <w:t>本项目不属于向海洋排放污染物的海洋工程建设项目。</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Mar>
                    <w:left w:w="57" w:type="dxa"/>
                    <w:right w:w="57" w:type="dxa"/>
                  </w:tcMar>
                  <w:vAlign w:val="center"/>
                </w:tcPr>
                <w:p>
                  <w:pPr>
                    <w:autoSpaceDE w:val="0"/>
                    <w:autoSpaceDN w:val="0"/>
                    <w:adjustRightInd w:val="0"/>
                    <w:snapToGrid w:val="0"/>
                    <w:rPr>
                      <w:color w:val="auto"/>
                      <w:sz w:val="18"/>
                      <w:szCs w:val="18"/>
                    </w:rPr>
                  </w:pPr>
                  <w:r>
                    <w:rPr>
                      <w:color w:val="auto"/>
                      <w:sz w:val="18"/>
                      <w:szCs w:val="18"/>
                    </w:rPr>
                    <w:t>注：</w:t>
                  </w:r>
                  <w:r>
                    <w:rPr>
                      <w:rFonts w:hint="eastAsia" w:ascii="宋体" w:hAnsi="宋体" w:cs="宋体"/>
                      <w:color w:val="auto"/>
                      <w:sz w:val="18"/>
                      <w:szCs w:val="18"/>
                    </w:rPr>
                    <w:t>①</w:t>
                  </w:r>
                  <w:r>
                    <w:rPr>
                      <w:color w:val="auto"/>
                      <w:sz w:val="18"/>
                      <w:szCs w:val="18"/>
                    </w:rPr>
                    <w:t>废气中有毒有害污染物指纳入《有毒有害大气污染物名录》的污染物（不包括无排放标准的污染物）。</w:t>
                  </w:r>
                </w:p>
                <w:p>
                  <w:pPr>
                    <w:autoSpaceDE w:val="0"/>
                    <w:autoSpaceDN w:val="0"/>
                    <w:adjustRightInd w:val="0"/>
                    <w:snapToGrid w:val="0"/>
                    <w:rPr>
                      <w:color w:val="auto"/>
                      <w:sz w:val="18"/>
                      <w:szCs w:val="18"/>
                    </w:rPr>
                  </w:pPr>
                  <w:r>
                    <w:rPr>
                      <w:rFonts w:hint="eastAsia" w:ascii="宋体" w:hAnsi="宋体" w:cs="宋体"/>
                      <w:color w:val="auto"/>
                      <w:sz w:val="18"/>
                      <w:szCs w:val="18"/>
                    </w:rPr>
                    <w:t>②</w:t>
                  </w:r>
                  <w:r>
                    <w:rPr>
                      <w:color w:val="auto"/>
                      <w:sz w:val="18"/>
                      <w:szCs w:val="18"/>
                    </w:rPr>
                    <w:t>环境空气保护目标指自然保护区、风景名胜区、居住区、文化区和农村地区中人群较集中的区域。</w:t>
                  </w:r>
                </w:p>
                <w:p>
                  <w:pPr>
                    <w:autoSpaceDE w:val="0"/>
                    <w:autoSpaceDN w:val="0"/>
                    <w:adjustRightInd w:val="0"/>
                    <w:snapToGrid w:val="0"/>
                    <w:rPr>
                      <w:color w:val="auto"/>
                      <w:kern w:val="0"/>
                      <w:szCs w:val="21"/>
                    </w:rPr>
                  </w:pPr>
                  <w:r>
                    <w:rPr>
                      <w:rFonts w:hint="eastAsia" w:ascii="宋体" w:hAnsi="宋体" w:cs="宋体"/>
                      <w:color w:val="auto"/>
                      <w:sz w:val="18"/>
                      <w:szCs w:val="18"/>
                    </w:rPr>
                    <w:t>③</w:t>
                  </w:r>
                  <w:r>
                    <w:rPr>
                      <w:color w:val="auto"/>
                      <w:sz w:val="18"/>
                      <w:szCs w:val="18"/>
                    </w:rPr>
                    <w:t>临界量及其计算方法参考《建设项目环境风险评价技术导则》（HJ 169）附录B、附录C。</w:t>
                  </w:r>
                </w:p>
              </w:tc>
            </w:tr>
          </w:tbl>
          <w:p>
            <w:pPr>
              <w:jc w:val="center"/>
              <w:rPr>
                <w:color w:val="auto"/>
                <w:sz w:val="24"/>
              </w:rPr>
            </w:pPr>
            <w:r>
              <w:rPr>
                <w:color w:val="auto"/>
                <w:kern w:val="0"/>
                <w:sz w:val="24"/>
              </w:rPr>
              <w:t>根据上表分析可知，本项目无需开展专项评价工作。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1550" w:type="dxa"/>
            <w:vAlign w:val="center"/>
          </w:tcPr>
          <w:p>
            <w:pPr>
              <w:jc w:val="center"/>
              <w:rPr>
                <w:b/>
                <w:bCs/>
                <w:color w:val="auto"/>
                <w:sz w:val="24"/>
              </w:rPr>
            </w:pPr>
            <w:r>
              <w:rPr>
                <w:b/>
                <w:bCs/>
                <w:color w:val="auto"/>
                <w:sz w:val="24"/>
              </w:rPr>
              <w:t>规划</w:t>
            </w:r>
          </w:p>
          <w:p>
            <w:pPr>
              <w:jc w:val="center"/>
              <w:rPr>
                <w:b/>
                <w:bCs/>
                <w:color w:val="auto"/>
                <w:sz w:val="24"/>
              </w:rPr>
            </w:pPr>
            <w:r>
              <w:rPr>
                <w:b/>
                <w:bCs/>
                <w:color w:val="auto"/>
                <w:sz w:val="24"/>
              </w:rPr>
              <w:t>情况</w:t>
            </w:r>
          </w:p>
        </w:tc>
        <w:tc>
          <w:tcPr>
            <w:tcW w:w="7318" w:type="dxa"/>
            <w:gridSpan w:val="3"/>
            <w:vAlign w:val="center"/>
          </w:tcPr>
          <w:p>
            <w:pPr>
              <w:pStyle w:val="28"/>
              <w:jc w:val="center"/>
              <w:rPr>
                <w:rFonts w:hint="default" w:ascii="Times New Roman" w:eastAsia="宋体"/>
                <w:color w:val="auto"/>
                <w:lang w:val="en-US" w:eastAsia="zh-CN"/>
              </w:rPr>
            </w:pPr>
            <w:r>
              <w:rPr>
                <w:rFonts w:hint="eastAsia" w:ascii="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1550" w:type="dxa"/>
            <w:vAlign w:val="center"/>
          </w:tcPr>
          <w:p>
            <w:pPr>
              <w:jc w:val="center"/>
              <w:rPr>
                <w:b/>
                <w:bCs/>
                <w:color w:val="auto"/>
                <w:sz w:val="24"/>
              </w:rPr>
            </w:pPr>
            <w:r>
              <w:rPr>
                <w:b/>
                <w:bCs/>
                <w:color w:val="auto"/>
                <w:sz w:val="24"/>
              </w:rPr>
              <w:t>规划环境影响评价情况</w:t>
            </w:r>
          </w:p>
        </w:tc>
        <w:tc>
          <w:tcPr>
            <w:tcW w:w="7318" w:type="dxa"/>
            <w:gridSpan w:val="3"/>
            <w:vAlign w:val="center"/>
          </w:tcPr>
          <w:p>
            <w:pPr>
              <w:spacing w:line="360" w:lineRule="auto"/>
              <w:jc w:val="center"/>
              <w:rPr>
                <w:rFonts w:hint="eastAsia" w:eastAsia="宋体"/>
                <w:color w:val="auto"/>
                <w:sz w:val="24"/>
                <w:lang w:val="en-US" w:eastAsia="zh-CN"/>
              </w:rPr>
            </w:pPr>
            <w:r>
              <w:rPr>
                <w:rFonts w:hint="eastAsia"/>
                <w:color w:val="auto"/>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550" w:type="dxa"/>
            <w:vAlign w:val="center"/>
          </w:tcPr>
          <w:p>
            <w:pPr>
              <w:jc w:val="center"/>
              <w:rPr>
                <w:b/>
                <w:bCs/>
                <w:color w:val="auto"/>
                <w:sz w:val="24"/>
              </w:rPr>
            </w:pPr>
            <w:r>
              <w:rPr>
                <w:b/>
                <w:bCs/>
                <w:color w:val="auto"/>
                <w:sz w:val="24"/>
              </w:rPr>
              <w:t>规划及规划环境影响评价符合性分析</w:t>
            </w:r>
          </w:p>
        </w:tc>
        <w:tc>
          <w:tcPr>
            <w:tcW w:w="7318" w:type="dxa"/>
            <w:gridSpan w:val="3"/>
          </w:tcPr>
          <w:p>
            <w:pPr>
              <w:pStyle w:val="75"/>
              <w:ind w:left="0" w:leftChars="0" w:firstLine="0" w:firstLineChars="0"/>
              <w:jc w:val="center"/>
              <w:rPr>
                <w:b/>
                <w:bCs/>
                <w:color w:val="auto"/>
              </w:rPr>
            </w:pPr>
            <w:r>
              <w:rPr>
                <w:rFonts w:hint="eastAsia"/>
                <w:color w:val="auto"/>
                <w:sz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90" w:hRule="atLeast"/>
          <w:jc w:val="center"/>
        </w:trPr>
        <w:tc>
          <w:tcPr>
            <w:tcW w:w="1550" w:type="dxa"/>
            <w:vAlign w:val="center"/>
          </w:tcPr>
          <w:p>
            <w:pPr>
              <w:jc w:val="center"/>
              <w:rPr>
                <w:b/>
                <w:bCs/>
                <w:color w:val="auto"/>
                <w:sz w:val="24"/>
              </w:rPr>
            </w:pPr>
            <w:r>
              <w:rPr>
                <w:b/>
                <w:bCs/>
                <w:color w:val="auto"/>
                <w:sz w:val="24"/>
              </w:rPr>
              <w:t>其</w:t>
            </w:r>
          </w:p>
          <w:p>
            <w:pPr>
              <w:jc w:val="center"/>
              <w:rPr>
                <w:b/>
                <w:bCs/>
                <w:color w:val="auto"/>
                <w:sz w:val="24"/>
              </w:rPr>
            </w:pPr>
            <w:r>
              <w:rPr>
                <w:b/>
                <w:bCs/>
                <w:color w:val="auto"/>
                <w:sz w:val="24"/>
              </w:rPr>
              <w:t>他</w:t>
            </w:r>
          </w:p>
          <w:p>
            <w:pPr>
              <w:jc w:val="center"/>
              <w:rPr>
                <w:b/>
                <w:bCs/>
                <w:color w:val="auto"/>
                <w:sz w:val="24"/>
              </w:rPr>
            </w:pPr>
            <w:r>
              <w:rPr>
                <w:b/>
                <w:bCs/>
                <w:color w:val="auto"/>
                <w:sz w:val="24"/>
              </w:rPr>
              <w:t>符</w:t>
            </w:r>
          </w:p>
          <w:p>
            <w:pPr>
              <w:jc w:val="center"/>
              <w:rPr>
                <w:b/>
                <w:bCs/>
                <w:color w:val="auto"/>
                <w:sz w:val="24"/>
              </w:rPr>
            </w:pPr>
            <w:r>
              <w:rPr>
                <w:b/>
                <w:bCs/>
                <w:color w:val="auto"/>
                <w:sz w:val="24"/>
              </w:rPr>
              <w:t>合</w:t>
            </w:r>
          </w:p>
          <w:p>
            <w:pPr>
              <w:jc w:val="center"/>
              <w:rPr>
                <w:b/>
                <w:bCs/>
                <w:color w:val="auto"/>
                <w:sz w:val="24"/>
              </w:rPr>
            </w:pPr>
            <w:r>
              <w:rPr>
                <w:b/>
                <w:bCs/>
                <w:color w:val="auto"/>
                <w:sz w:val="24"/>
              </w:rPr>
              <w:t>性</w:t>
            </w:r>
          </w:p>
          <w:p>
            <w:pPr>
              <w:jc w:val="center"/>
              <w:rPr>
                <w:b/>
                <w:bCs/>
                <w:color w:val="auto"/>
                <w:sz w:val="24"/>
              </w:rPr>
            </w:pPr>
            <w:r>
              <w:rPr>
                <w:b/>
                <w:bCs/>
                <w:color w:val="auto"/>
                <w:sz w:val="24"/>
              </w:rPr>
              <w:t>分</w:t>
            </w:r>
          </w:p>
          <w:p>
            <w:pPr>
              <w:jc w:val="center"/>
              <w:rPr>
                <w:b/>
                <w:bCs/>
                <w:color w:val="auto"/>
                <w:sz w:val="24"/>
              </w:rPr>
            </w:pPr>
            <w:r>
              <w:rPr>
                <w:b/>
                <w:bCs/>
                <w:color w:val="auto"/>
                <w:sz w:val="24"/>
              </w:rPr>
              <w:t>析</w:t>
            </w:r>
          </w:p>
        </w:tc>
        <w:tc>
          <w:tcPr>
            <w:tcW w:w="7318" w:type="dxa"/>
            <w:gridSpan w:val="3"/>
          </w:tcPr>
          <w:p>
            <w:pPr>
              <w:pStyle w:val="82"/>
              <w:rPr>
                <w:color w:val="auto"/>
              </w:rPr>
            </w:pPr>
            <w:r>
              <w:rPr>
                <w:color w:val="auto"/>
              </w:rPr>
              <w:t>一、产业政策</w:t>
            </w:r>
          </w:p>
          <w:p>
            <w:pPr>
              <w:pStyle w:val="75"/>
              <w:rPr>
                <w:color w:val="auto"/>
              </w:rPr>
            </w:pPr>
            <w:r>
              <w:rPr>
                <w:color w:val="auto"/>
              </w:rPr>
              <w:t>根据《产业结构调整指导目录（20</w:t>
            </w:r>
            <w:r>
              <w:rPr>
                <w:rFonts w:hint="eastAsia"/>
                <w:color w:val="auto"/>
                <w:lang w:val="en-US" w:eastAsia="zh-CN"/>
              </w:rPr>
              <w:t>24</w:t>
            </w:r>
            <w:r>
              <w:rPr>
                <w:color w:val="auto"/>
              </w:rPr>
              <w:t>年本）》相关规定，本项目属于第一类“鼓励类”（四十</w:t>
            </w:r>
            <w:r>
              <w:rPr>
                <w:rFonts w:hint="eastAsia"/>
                <w:color w:val="auto"/>
                <w:lang w:val="en-US" w:eastAsia="zh-CN"/>
              </w:rPr>
              <w:t>二</w:t>
            </w:r>
            <w:r>
              <w:rPr>
                <w:color w:val="auto"/>
              </w:rPr>
              <w:t xml:space="preserve">、环境保护与资源节约综合利用 </w:t>
            </w:r>
            <w:r>
              <w:rPr>
                <w:rFonts w:hint="eastAsia"/>
                <w:color w:val="auto"/>
                <w:lang w:val="en-US" w:eastAsia="zh-CN"/>
              </w:rPr>
              <w:t>9</w:t>
            </w:r>
            <w:r>
              <w:rPr>
                <w:rFonts w:hint="eastAsia"/>
                <w:color w:val="auto"/>
              </w:rPr>
              <w:t>再制造：报废汽车、退役民用飞机、工程机械、矿山机械、农业机械、机床、文办设备及耗材、盾构机、航空发动机、工业机器人、火车内燃机车等废旧设备及零部件拆解、再利用、再制造</w:t>
            </w:r>
            <w:r>
              <w:rPr>
                <w:color w:val="auto"/>
              </w:rPr>
              <w:t>）项目。</w:t>
            </w:r>
          </w:p>
          <w:p>
            <w:pPr>
              <w:pStyle w:val="75"/>
              <w:rPr>
                <w:color w:val="auto"/>
              </w:rPr>
            </w:pPr>
            <w:r>
              <w:rPr>
                <w:bCs/>
                <w:color w:val="auto"/>
              </w:rPr>
              <w:t>本项目所用设备无《产业结构调整指导目录（20</w:t>
            </w:r>
            <w:r>
              <w:rPr>
                <w:rFonts w:hint="eastAsia"/>
                <w:bCs/>
                <w:color w:val="auto"/>
                <w:lang w:val="en-US" w:eastAsia="zh-CN"/>
              </w:rPr>
              <w:t>24</w:t>
            </w:r>
            <w:r>
              <w:rPr>
                <w:bCs/>
                <w:color w:val="auto"/>
              </w:rPr>
              <w:t>年本）》中限制类中生产装置设备、淘汰类中落后生产工艺装备。项目所用设备无《部分工业行业淘汰落后生产工艺装备和产品指导目录》（2010年本）中淘汰落后生产工艺装备，本项目符合国家产业政策及有关部门的相关行业规定。</w:t>
            </w:r>
          </w:p>
          <w:p>
            <w:pPr>
              <w:pStyle w:val="82"/>
              <w:rPr>
                <w:color w:val="auto"/>
              </w:rPr>
            </w:pPr>
            <w:r>
              <w:rPr>
                <w:color w:val="auto"/>
              </w:rPr>
              <w:t>二、选址符合性分析</w:t>
            </w:r>
          </w:p>
          <w:p>
            <w:pPr>
              <w:pStyle w:val="82"/>
              <w:rPr>
                <w:color w:val="auto"/>
              </w:rPr>
            </w:pPr>
            <w:r>
              <w:rPr>
                <w:color w:val="auto"/>
              </w:rPr>
              <w:t>1、用地相符性</w:t>
            </w:r>
          </w:p>
          <w:p>
            <w:pPr>
              <w:pStyle w:val="75"/>
              <w:rPr>
                <w:color w:val="auto"/>
              </w:rPr>
            </w:pPr>
            <w:r>
              <w:rPr>
                <w:color w:val="auto"/>
              </w:rPr>
              <w:t>本项目位于</w:t>
            </w:r>
            <w:r>
              <w:rPr>
                <w:rFonts w:hint="eastAsia"/>
                <w:color w:val="auto"/>
                <w:lang w:eastAsia="zh-CN"/>
              </w:rPr>
              <w:t>黑龙江省</w:t>
            </w:r>
            <w:r>
              <w:rPr>
                <w:rFonts w:hint="eastAsia"/>
                <w:color w:val="auto"/>
                <w:sz w:val="24"/>
                <w:lang w:val="en-US" w:eastAsia="zh-CN"/>
              </w:rPr>
              <w:t>七台河</w:t>
            </w:r>
            <w:r>
              <w:rPr>
                <w:color w:val="auto"/>
                <w:sz w:val="24"/>
              </w:rPr>
              <w:t>市</w:t>
            </w:r>
            <w:r>
              <w:rPr>
                <w:rFonts w:hint="eastAsia"/>
                <w:color w:val="auto"/>
                <w:sz w:val="24"/>
                <w:lang w:val="en-US" w:eastAsia="zh-CN"/>
              </w:rPr>
              <w:t>勃利县南大直路217号</w:t>
            </w:r>
            <w:r>
              <w:rPr>
                <w:color w:val="auto"/>
              </w:rPr>
              <w:t>，项目选址不属于生活饮用水源地和地下水补给区、风景名胜区、温泉疗养区、水产养殖区、基本农田保护区、自然保护区等需要特殊保护区域。</w:t>
            </w:r>
          </w:p>
          <w:p>
            <w:pPr>
              <w:pStyle w:val="75"/>
              <w:rPr>
                <w:color w:val="auto"/>
              </w:rPr>
            </w:pPr>
            <w:r>
              <w:rPr>
                <w:color w:val="auto"/>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20</w:t>
            </w:r>
            <w:r>
              <w:rPr>
                <w:rFonts w:hint="eastAsia"/>
                <w:color w:val="auto"/>
                <w:lang w:val="en-US" w:eastAsia="zh-CN"/>
              </w:rPr>
              <w:t>24</w:t>
            </w:r>
            <w:r>
              <w:rPr>
                <w:color w:val="auto"/>
              </w:rPr>
              <w:t>年本）》，凡采用明令淘汰的落后工艺技术、装备或者生产明令淘汰产品的建设项目，各级国土资源管理部门和投资管理部门一律不得办理相关手续。</w:t>
            </w:r>
          </w:p>
          <w:p>
            <w:pPr>
              <w:pStyle w:val="75"/>
              <w:rPr>
                <w:color w:val="auto"/>
              </w:rPr>
            </w:pPr>
            <w:r>
              <w:rPr>
                <w:color w:val="auto"/>
              </w:rPr>
              <w:t>本项目用地占地性质为工业用地，不属于《限制用地项目目录（2012年本）》和《禁止用地项目目录（2012年本）》中的限制用地、禁止用地项目，符合土地政策要求。</w:t>
            </w:r>
          </w:p>
          <w:p>
            <w:pPr>
              <w:pStyle w:val="75"/>
              <w:rPr>
                <w:color w:val="auto"/>
              </w:rPr>
            </w:pPr>
            <w:r>
              <w:rPr>
                <w:color w:val="auto"/>
              </w:rPr>
              <w:t>2、外环境相容性</w:t>
            </w:r>
          </w:p>
          <w:p>
            <w:pPr>
              <w:pStyle w:val="75"/>
              <w:rPr>
                <w:color w:val="auto"/>
              </w:rPr>
            </w:pPr>
            <w:r>
              <w:rPr>
                <w:color w:val="auto"/>
              </w:rPr>
              <w:t>本项目位于</w:t>
            </w:r>
            <w:r>
              <w:rPr>
                <w:rFonts w:hint="eastAsia"/>
                <w:color w:val="auto"/>
                <w:lang w:eastAsia="zh-CN"/>
              </w:rPr>
              <w:t>黑龙江省</w:t>
            </w:r>
            <w:r>
              <w:rPr>
                <w:rFonts w:hint="eastAsia"/>
                <w:color w:val="auto"/>
                <w:sz w:val="24"/>
                <w:lang w:val="en-US" w:eastAsia="zh-CN"/>
              </w:rPr>
              <w:t>七台河</w:t>
            </w:r>
            <w:r>
              <w:rPr>
                <w:color w:val="auto"/>
                <w:sz w:val="24"/>
              </w:rPr>
              <w:t>市</w:t>
            </w:r>
            <w:r>
              <w:rPr>
                <w:rFonts w:hint="eastAsia"/>
                <w:color w:val="auto"/>
                <w:sz w:val="24"/>
                <w:lang w:val="en-US" w:eastAsia="zh-CN"/>
              </w:rPr>
              <w:t>勃利县南大直路217号</w:t>
            </w:r>
            <w:r>
              <w:rPr>
                <w:color w:val="auto"/>
              </w:rPr>
              <w:t>，厂区东侧为</w:t>
            </w:r>
            <w:r>
              <w:rPr>
                <w:rFonts w:hint="eastAsia"/>
                <w:color w:val="auto"/>
                <w:lang w:val="en-US" w:eastAsia="zh-CN"/>
              </w:rPr>
              <w:t>库房</w:t>
            </w:r>
            <w:r>
              <w:rPr>
                <w:color w:val="auto"/>
              </w:rPr>
              <w:t>、厂区南侧为</w:t>
            </w:r>
            <w:r>
              <w:rPr>
                <w:rFonts w:hint="eastAsia"/>
                <w:color w:val="auto"/>
                <w:lang w:val="en-US" w:eastAsia="zh-CN"/>
              </w:rPr>
              <w:t>小路</w:t>
            </w:r>
            <w:r>
              <w:rPr>
                <w:color w:val="auto"/>
              </w:rPr>
              <w:t>、厂区西侧为</w:t>
            </w:r>
            <w:r>
              <w:rPr>
                <w:rFonts w:hint="eastAsia"/>
                <w:color w:val="auto"/>
                <w:lang w:val="en-US" w:eastAsia="zh-CN"/>
              </w:rPr>
              <w:t>南大直路</w:t>
            </w:r>
            <w:r>
              <w:rPr>
                <w:rFonts w:hint="eastAsia"/>
                <w:color w:val="auto"/>
                <w:lang w:eastAsia="zh-CN"/>
              </w:rPr>
              <w:t>、</w:t>
            </w:r>
            <w:r>
              <w:rPr>
                <w:color w:val="auto"/>
              </w:rPr>
              <w:t>厂区北侧</w:t>
            </w:r>
            <w:r>
              <w:rPr>
                <w:rFonts w:hint="eastAsia"/>
                <w:color w:val="auto"/>
                <w:lang w:val="en-US" w:eastAsia="zh-CN"/>
              </w:rPr>
              <w:t>为库房</w:t>
            </w:r>
            <w:r>
              <w:rPr>
                <w:color w:val="auto"/>
              </w:rPr>
              <w:t>。</w:t>
            </w:r>
          </w:p>
          <w:p>
            <w:pPr>
              <w:pStyle w:val="75"/>
              <w:numPr>
                <w:ilvl w:val="0"/>
                <w:numId w:val="1"/>
              </w:numPr>
              <w:rPr>
                <w:color w:val="auto"/>
              </w:rPr>
            </w:pPr>
            <w:r>
              <w:rPr>
                <w:color w:val="auto"/>
              </w:rPr>
              <w:t>项目所在地具有方便的交通运输和水电条件，便于项目的建设。</w:t>
            </w:r>
          </w:p>
          <w:p>
            <w:pPr>
              <w:pStyle w:val="75"/>
              <w:numPr>
                <w:ilvl w:val="0"/>
                <w:numId w:val="1"/>
              </w:numPr>
              <w:rPr>
                <w:color w:val="auto"/>
              </w:rPr>
            </w:pPr>
            <w:r>
              <w:rPr>
                <w:rFonts w:hint="eastAsia"/>
                <w:color w:val="auto"/>
              </w:rPr>
              <w:t>根据项目周边自然环境的踏查，本项目占地范围内无特殊生态敏感区及重要生态敏感区等生态环境保护目标，项目所在地无国家级、省、市级自然保护区、风景名胜区、文物保护对象。本项目厂界外500m范围内无地下水集中式饮用水水源和热水、矿泉水、温泉等特殊地下水资源。</w:t>
            </w:r>
          </w:p>
          <w:p>
            <w:pPr>
              <w:pStyle w:val="75"/>
              <w:rPr>
                <w:color w:val="auto"/>
              </w:rPr>
            </w:pPr>
            <w:r>
              <w:rPr>
                <w:color w:val="auto"/>
              </w:rPr>
              <w:t>（</w:t>
            </w:r>
            <w:r>
              <w:rPr>
                <w:rFonts w:hint="eastAsia"/>
                <w:color w:val="auto"/>
                <w:lang w:val="en-US" w:eastAsia="zh-CN"/>
              </w:rPr>
              <w:t>3</w:t>
            </w:r>
            <w:r>
              <w:rPr>
                <w:color w:val="auto"/>
              </w:rPr>
              <w:t>）项目建设过程中产生的废气、噪声、废水、固废对周围环境将产生一定影响，但通过采取相应的环保措施可使该项目的环境影响降低。项目建成后对周边环境的影响主要是废气、废水、固体废物以及设备产生的噪声，采取污染防治措施后对周边环境影响较小。</w:t>
            </w:r>
          </w:p>
          <w:p>
            <w:pPr>
              <w:pStyle w:val="75"/>
              <w:rPr>
                <w:color w:val="auto"/>
              </w:rPr>
            </w:pPr>
            <w:r>
              <w:rPr>
                <w:color w:val="auto"/>
              </w:rPr>
              <w:t>3、环境功能一致性分析</w:t>
            </w:r>
          </w:p>
          <w:p>
            <w:pPr>
              <w:pStyle w:val="75"/>
              <w:rPr>
                <w:color w:val="auto"/>
              </w:rPr>
            </w:pPr>
            <w:r>
              <w:rPr>
                <w:rFonts w:hint="eastAsia"/>
                <w:color w:val="auto"/>
              </w:rPr>
              <w:t>项目建设过程中产生的废气、噪声、废水、固废对周围环境将产生一定影响，但通过采取相应的环保措施可使该项目的环境影响降低。项目周边不存在自然保护区、风景名胜区、世界文化和自然遗产地、饮用水水源保护区等生态环境敏感目标，项目建成后对周边环境的影响主要是废气、废水、生产废物以及设备产生的噪声，采取污染防治措施后对周边环境影响较小。项目建设不会使得环境功能发生改变。</w:t>
            </w:r>
            <w:r>
              <w:rPr>
                <w:color w:val="auto"/>
              </w:rPr>
              <w:t>综上所述，项目选址可行。</w:t>
            </w:r>
          </w:p>
          <w:p>
            <w:pPr>
              <w:pStyle w:val="82"/>
              <w:rPr>
                <w:color w:val="auto"/>
              </w:rPr>
            </w:pPr>
            <w:r>
              <w:rPr>
                <w:color w:val="auto"/>
              </w:rPr>
              <w:t>三、与“三线一单”符合性分析</w:t>
            </w:r>
          </w:p>
          <w:p>
            <w:pPr>
              <w:pStyle w:val="82"/>
              <w:rPr>
                <w:rFonts w:hint="eastAsia" w:ascii="Times New Roman" w:hAnsi="Times New Roman" w:eastAsia="宋体" w:cs="Times New Roman"/>
                <w:b w:val="0"/>
                <w:bCs w:val="0"/>
                <w:color w:val="auto"/>
                <w:kern w:val="0"/>
                <w:sz w:val="24"/>
                <w:szCs w:val="24"/>
                <w:lang w:val="en-US" w:eastAsia="zh-CN" w:bidi="ar-SA"/>
              </w:rPr>
            </w:pPr>
            <w:r>
              <w:rPr>
                <w:rFonts w:hint="eastAsia" w:ascii="Times New Roman" w:hAnsi="Times New Roman" w:eastAsia="宋体" w:cs="Times New Roman"/>
                <w:b w:val="0"/>
                <w:bCs w:val="0"/>
                <w:color w:val="auto"/>
                <w:kern w:val="0"/>
                <w:sz w:val="24"/>
                <w:szCs w:val="24"/>
                <w:lang w:val="en-US" w:eastAsia="zh-CN" w:bidi="ar-SA"/>
              </w:rPr>
              <w:t>根据《七台河市人民政府关于实施“三线一单”生态环境分区管控的意见》（七政发〔2021〕7号）</w:t>
            </w:r>
            <w:r>
              <w:rPr>
                <w:rFonts w:hint="eastAsia"/>
                <w:color w:val="auto"/>
                <w:lang w:val="en-US" w:eastAsia="zh-CN"/>
              </w:rPr>
              <w:t>，</w:t>
            </w:r>
            <w:r>
              <w:rPr>
                <w:rFonts w:hint="eastAsia" w:ascii="Times New Roman" w:hAnsi="Times New Roman" w:eastAsia="宋体" w:cs="Times New Roman"/>
                <w:b w:val="0"/>
                <w:bCs w:val="0"/>
                <w:color w:val="auto"/>
                <w:kern w:val="0"/>
                <w:sz w:val="24"/>
                <w:szCs w:val="24"/>
                <w:lang w:val="en-US" w:eastAsia="zh-CN" w:bidi="ar-SA"/>
              </w:rPr>
              <w:t>结合本项目生产工艺、排污状况和区域环境及环境质量现状进行调查的基础上，与“三线一单”符合性分析。本项目位于</w:t>
            </w:r>
            <w:r>
              <w:rPr>
                <w:rFonts w:hint="eastAsia" w:cs="Times New Roman"/>
                <w:b w:val="0"/>
                <w:bCs w:val="0"/>
                <w:color w:val="auto"/>
                <w:kern w:val="0"/>
                <w:sz w:val="24"/>
                <w:szCs w:val="24"/>
                <w:lang w:val="en-US" w:eastAsia="zh-CN" w:bidi="ar-SA"/>
              </w:rPr>
              <w:t>七台河市勃利县南大直路217号</w:t>
            </w:r>
            <w:r>
              <w:rPr>
                <w:rFonts w:hint="eastAsia" w:ascii="Times New Roman" w:hAnsi="Times New Roman" w:eastAsia="宋体" w:cs="Times New Roman"/>
                <w:b w:val="0"/>
                <w:bCs w:val="0"/>
                <w:color w:val="auto"/>
                <w:kern w:val="0"/>
                <w:sz w:val="24"/>
                <w:szCs w:val="24"/>
                <w:lang w:val="en-US" w:eastAsia="zh-CN" w:bidi="ar-SA"/>
              </w:rPr>
              <w:t>，所在区域为重点管控单元。</w:t>
            </w:r>
          </w:p>
          <w:p>
            <w:pPr>
              <w:pStyle w:val="82"/>
              <w:rPr>
                <w:color w:val="auto"/>
              </w:rPr>
            </w:pPr>
            <w:r>
              <w:rPr>
                <w:color w:val="auto"/>
              </w:rPr>
              <w:t>1、生态保护红线</w:t>
            </w:r>
          </w:p>
          <w:p>
            <w:pPr>
              <w:pStyle w:val="75"/>
              <w:rPr>
                <w:color w:val="auto"/>
              </w:rPr>
            </w:pPr>
            <w:r>
              <w:rPr>
                <w:color w:val="auto"/>
              </w:rPr>
              <w:t>本项目位于</w:t>
            </w:r>
            <w:r>
              <w:rPr>
                <w:rFonts w:hint="eastAsia"/>
                <w:color w:val="auto"/>
                <w:lang w:eastAsia="zh-CN"/>
              </w:rPr>
              <w:t>黑龙江省</w:t>
            </w:r>
            <w:r>
              <w:rPr>
                <w:rFonts w:hint="eastAsia" w:cs="Times New Roman"/>
                <w:b w:val="0"/>
                <w:bCs w:val="0"/>
                <w:color w:val="auto"/>
                <w:kern w:val="0"/>
                <w:sz w:val="24"/>
                <w:szCs w:val="24"/>
                <w:lang w:val="en-US" w:eastAsia="zh-CN" w:bidi="ar-SA"/>
              </w:rPr>
              <w:t>七台河市勃利县南大直路217号</w:t>
            </w:r>
            <w:r>
              <w:rPr>
                <w:color w:val="auto"/>
              </w:rPr>
              <w:t>，</w:t>
            </w:r>
            <w:r>
              <w:rPr>
                <w:rFonts w:hint="eastAsia"/>
                <w:color w:val="auto"/>
              </w:rPr>
              <w:t>七台河市人民政府于2024年1月31日发布《七台河市生态环境准人清单（2023年更新版)》（七环发[2024]3号），根据对相关要求分析，项目所在区域为重点管控单元，周边为中心城区无自然保护区、森林公园、风景名胜区、世界文化自然遗产、地质公园和基本农田等需要殊保护区域。因此，本项目占地不在生态空间和生态保护红线范围内，本项目建设符合生态保护红线要求。</w:t>
            </w:r>
          </w:p>
          <w:p>
            <w:pPr>
              <w:pStyle w:val="75"/>
              <w:rPr>
                <w:color w:val="auto"/>
              </w:rPr>
            </w:pPr>
            <w:r>
              <w:rPr>
                <w:color w:val="auto"/>
              </w:rPr>
              <w:t>（2）环境质量底线</w:t>
            </w:r>
          </w:p>
          <w:p>
            <w:pPr>
              <w:pStyle w:val="75"/>
              <w:rPr>
                <w:rFonts w:ascii="Times New Roman" w:hAnsi="Times New Roman" w:cs="Times New Roman"/>
                <w:color w:val="auto"/>
              </w:rPr>
            </w:pPr>
            <w:r>
              <w:rPr>
                <w:color w:val="auto"/>
              </w:rPr>
              <w:t>本项目所在区域环境空气功能为二类区</w:t>
            </w:r>
            <w:r>
              <w:rPr>
                <w:rFonts w:hint="eastAsia"/>
                <w:color w:val="auto"/>
                <w:lang w:eastAsia="zh-CN"/>
              </w:rPr>
              <w:t>，</w:t>
            </w:r>
            <w:r>
              <w:rPr>
                <w:rFonts w:hint="eastAsia"/>
                <w:color w:val="auto"/>
                <w:lang w:val="en-US" w:eastAsia="zh-CN"/>
              </w:rPr>
              <w:t>为环境空气质量达标区，其他污染物TSP的监测满足《环境空气质量标准》（GB3095-2012）及修改单中二级标准要求</w:t>
            </w:r>
            <w:r>
              <w:rPr>
                <w:color w:val="auto"/>
              </w:rPr>
              <w:t>。本项目为报废农用机械拆解项目，项目建设过程中严格落实本报告表提出的污染物防治措施，</w:t>
            </w:r>
            <w:r>
              <w:rPr>
                <w:rFonts w:hint="eastAsia"/>
                <w:color w:val="auto"/>
              </w:rPr>
              <w:t>本项目在全封闭拆解车间内切割工位设置移动式布袋除尘器，排空油箱油品</w:t>
            </w:r>
            <w:r>
              <w:rPr>
                <w:rFonts w:hint="eastAsia"/>
                <w:color w:val="auto"/>
                <w:lang w:val="en-US" w:eastAsia="zh-CN"/>
              </w:rPr>
              <w:t>产生的非甲烷总烃</w:t>
            </w:r>
            <w:r>
              <w:rPr>
                <w:rFonts w:hint="eastAsia"/>
                <w:color w:val="auto"/>
              </w:rPr>
              <w:t>采用集气罩+活性炭吸附装置</w:t>
            </w:r>
            <w:r>
              <w:rPr>
                <w:rFonts w:hint="eastAsia"/>
                <w:color w:val="auto"/>
                <w:lang w:val="en-US" w:eastAsia="zh-CN"/>
              </w:rPr>
              <w:t>处理后排放，危险废物采用密闭容器包装，控制挥发性有机气体的产生</w:t>
            </w:r>
            <w:r>
              <w:rPr>
                <w:color w:val="auto"/>
              </w:rPr>
              <w:t>。</w:t>
            </w:r>
            <w:r>
              <w:rPr>
                <w:rFonts w:hint="eastAsia"/>
                <w:color w:val="auto"/>
                <w:lang w:val="en-US" w:eastAsia="zh-CN"/>
              </w:rPr>
              <w:t>采取措施后，</w:t>
            </w:r>
            <w:r>
              <w:rPr>
                <w:color w:val="auto"/>
              </w:rPr>
              <w:t>颗粒物排放浓度</w:t>
            </w:r>
            <w:r>
              <w:rPr>
                <w:rFonts w:hint="eastAsia"/>
                <w:color w:val="auto"/>
                <w:lang w:val="en-US" w:eastAsia="zh-CN"/>
              </w:rPr>
              <w:t>满足</w:t>
            </w:r>
            <w:r>
              <w:rPr>
                <w:color w:val="auto"/>
              </w:rPr>
              <w:t>《大气污染物综合排放标准》（GB16297-1996）表2中无组织排放监控浓度限值要求；拆解工段非甲烷总烃排放浓度</w:t>
            </w:r>
            <w:r>
              <w:rPr>
                <w:rFonts w:hint="eastAsia"/>
                <w:color w:val="auto"/>
                <w:lang w:val="en-US" w:eastAsia="zh-CN"/>
              </w:rPr>
              <w:t>满足</w:t>
            </w:r>
            <w:r>
              <w:rPr>
                <w:color w:val="auto"/>
              </w:rPr>
              <w:t>《大气污染物综合排放标准》（GB16297-1996）非甲烷总烃无组织排放监控浓度限值；厂区内非甲烷总烃满足《挥发性有机物无组织排放控制标准》（GB37822-2019）中表A.1无组织排放限值（1h平均浓度＜10m</w:t>
            </w:r>
            <w:r>
              <w:rPr>
                <w:rFonts w:ascii="Times New Roman" w:hAnsi="Times New Roman" w:cs="Times New Roman"/>
                <w:color w:val="auto"/>
              </w:rPr>
              <w:t>g/m3，任意一次浓度值＜30mg/m</w:t>
            </w:r>
            <w:r>
              <w:rPr>
                <w:rFonts w:ascii="Times New Roman" w:hAnsi="Times New Roman" w:cs="Times New Roman"/>
                <w:color w:val="auto"/>
                <w:vertAlign w:val="superscript"/>
              </w:rPr>
              <w:t>3</w:t>
            </w:r>
            <w:r>
              <w:rPr>
                <w:rFonts w:ascii="Times New Roman" w:hAnsi="Times New Roman" w:cs="Times New Roman"/>
                <w:color w:val="auto"/>
              </w:rPr>
              <w:t>）。</w:t>
            </w:r>
          </w:p>
          <w:p>
            <w:pPr>
              <w:pStyle w:val="75"/>
              <w:rPr>
                <w:rFonts w:ascii="Times New Roman" w:hAnsi="Times New Roman" w:cs="Times New Roman"/>
                <w:color w:val="auto"/>
                <w:lang w:val="en-US" w:eastAsia="zh-CN"/>
              </w:rPr>
            </w:pPr>
            <w:r>
              <w:rPr>
                <w:rFonts w:hint="eastAsia" w:ascii="Times New Roman" w:hAnsi="Times New Roman" w:cs="Times New Roman"/>
                <w:color w:val="auto"/>
                <w:lang w:val="en-US" w:eastAsia="zh-CN"/>
              </w:rPr>
              <w:t>本项目地表水为碾子河，地表水环境达到《地表水环境质量标准》</w:t>
            </w:r>
            <w:r>
              <w:rPr>
                <w:rFonts w:hint="default" w:ascii="Times New Roman" w:hAnsi="Times New Roman" w:cs="Times New Roman"/>
                <w:color w:val="auto"/>
                <w:lang w:val="en-US" w:eastAsia="zh-CN"/>
              </w:rPr>
              <w:t>(GB3838-2002) III</w:t>
            </w:r>
            <w:r>
              <w:rPr>
                <w:rFonts w:hint="eastAsia" w:ascii="Times New Roman" w:hAnsi="Times New Roman" w:cs="Times New Roman"/>
                <w:color w:val="auto"/>
                <w:lang w:val="en-US" w:eastAsia="zh-CN"/>
              </w:rPr>
              <w:t>类标准要求。</w:t>
            </w:r>
          </w:p>
          <w:p>
            <w:pPr>
              <w:pStyle w:val="75"/>
              <w:rPr>
                <w:color w:val="auto"/>
              </w:rPr>
            </w:pPr>
            <w:r>
              <w:rPr>
                <w:rFonts w:ascii="Times New Roman" w:hAnsi="Times New Roman" w:cs="Times New Roman"/>
                <w:color w:val="auto"/>
              </w:rPr>
              <w:t>通过环境影响分析可知，本项目建成后，</w:t>
            </w:r>
            <w:r>
              <w:rPr>
                <w:rFonts w:hint="eastAsia" w:ascii="Times New Roman" w:hAnsi="Times New Roman" w:cs="Times New Roman"/>
                <w:color w:val="auto"/>
                <w:lang w:val="en-US" w:eastAsia="zh-CN"/>
              </w:rPr>
              <w:t>通过</w:t>
            </w:r>
            <w:r>
              <w:rPr>
                <w:rFonts w:hint="eastAsia" w:ascii="Times New Roman" w:hAnsi="Times New Roman" w:cs="Times New Roman"/>
                <w:color w:val="auto"/>
              </w:rPr>
              <w:t>采取选用低噪声设备，通过厂房隔声、基础减振等措施</w:t>
            </w:r>
            <w:r>
              <w:rPr>
                <w:rFonts w:hint="eastAsia" w:ascii="Times New Roman" w:hAnsi="Times New Roman" w:cs="Times New Roman"/>
                <w:color w:val="auto"/>
                <w:lang w:eastAsia="zh-CN"/>
              </w:rPr>
              <w:t>，</w:t>
            </w:r>
            <w:r>
              <w:rPr>
                <w:rFonts w:ascii="Times New Roman" w:hAnsi="Times New Roman" w:cs="Times New Roman"/>
                <w:color w:val="auto"/>
              </w:rPr>
              <w:t>项目厂界噪声可满足《工业企</w:t>
            </w:r>
            <w:r>
              <w:rPr>
                <w:snapToGrid w:val="0"/>
                <w:color w:val="auto"/>
              </w:rPr>
              <w:t>业厂界环境噪声排放标准》（GB12348-2008）表1中2类</w:t>
            </w:r>
            <w:r>
              <w:rPr>
                <w:rFonts w:hint="eastAsia"/>
                <w:snapToGrid w:val="0"/>
                <w:color w:val="auto"/>
                <w:lang w:val="en-US" w:eastAsia="zh-CN"/>
              </w:rPr>
              <w:t>和4类</w:t>
            </w:r>
            <w:r>
              <w:rPr>
                <w:snapToGrid w:val="0"/>
                <w:color w:val="auto"/>
              </w:rPr>
              <w:t>标准的要求。</w:t>
            </w:r>
          </w:p>
          <w:p>
            <w:pPr>
              <w:pStyle w:val="75"/>
              <w:rPr>
                <w:color w:val="auto"/>
              </w:rPr>
            </w:pPr>
            <w:r>
              <w:rPr>
                <w:color w:val="auto"/>
              </w:rPr>
              <w:t>因此本项目建设符合环境质量底线要求。</w:t>
            </w:r>
          </w:p>
          <w:p>
            <w:pPr>
              <w:pStyle w:val="75"/>
              <w:rPr>
                <w:color w:val="auto"/>
              </w:rPr>
            </w:pPr>
            <w:r>
              <w:rPr>
                <w:color w:val="auto"/>
              </w:rPr>
              <w:t>（3）资源利用上线</w:t>
            </w:r>
          </w:p>
          <w:p>
            <w:pPr>
              <w:pStyle w:val="75"/>
              <w:rPr>
                <w:color w:val="auto"/>
              </w:rPr>
            </w:pPr>
            <w:r>
              <w:rPr>
                <w:color w:val="auto"/>
              </w:rPr>
              <w:t>本项目为报废农用机械拆解项目，能源主要来源为市政供电，消耗的水主要用于生活用水，资源消耗均符合相关设计和标准要求。本工程在选址和布局上采用环境影响最小的布局方案，减少对土地的占用，土地资源消耗符合要求。因此本项目建设符合资源利用上线要求。</w:t>
            </w:r>
          </w:p>
          <w:p>
            <w:pPr>
              <w:pStyle w:val="75"/>
              <w:rPr>
                <w:color w:val="auto"/>
              </w:rPr>
            </w:pPr>
            <w:r>
              <w:rPr>
                <w:color w:val="auto"/>
              </w:rPr>
              <w:t>（4）生态环境准入清单</w:t>
            </w:r>
          </w:p>
          <w:p>
            <w:pPr>
              <w:pStyle w:val="76"/>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ascii="Times New Roman" w:hAnsi="Times New Roman" w:eastAsia="宋体" w:cs="Times New Roman"/>
                <w:b w:val="0"/>
                <w:bCs/>
                <w:color w:val="auto"/>
                <w:kern w:val="0"/>
                <w:sz w:val="24"/>
                <w:szCs w:val="24"/>
                <w:lang w:val="en-US" w:eastAsia="zh-CN" w:bidi="ar-SA"/>
              </w:rPr>
            </w:pPr>
            <w:r>
              <w:rPr>
                <w:rFonts w:ascii="Times New Roman" w:hAnsi="Times New Roman" w:eastAsia="宋体" w:cs="Times New Roman"/>
                <w:b w:val="0"/>
                <w:bCs/>
                <w:color w:val="auto"/>
                <w:kern w:val="0"/>
                <w:sz w:val="24"/>
                <w:szCs w:val="24"/>
                <w:lang w:val="en-US" w:eastAsia="zh-CN" w:bidi="ar-SA"/>
              </w:rPr>
              <w:t>本项目位于</w:t>
            </w:r>
            <w:r>
              <w:rPr>
                <w:rFonts w:hint="eastAsia" w:cs="Times New Roman"/>
                <w:b w:val="0"/>
                <w:bCs w:val="0"/>
                <w:color w:val="auto"/>
                <w:kern w:val="0"/>
                <w:sz w:val="24"/>
                <w:szCs w:val="24"/>
                <w:lang w:val="en-US" w:eastAsia="zh-CN" w:bidi="ar-SA"/>
              </w:rPr>
              <w:t>七台河市勃利县南大直路217号</w:t>
            </w:r>
            <w:r>
              <w:rPr>
                <w:rFonts w:ascii="Times New Roman" w:hAnsi="Times New Roman" w:eastAsia="宋体" w:cs="Times New Roman"/>
                <w:b w:val="0"/>
                <w:bCs/>
                <w:color w:val="auto"/>
                <w:kern w:val="0"/>
                <w:sz w:val="24"/>
                <w:szCs w:val="24"/>
                <w:lang w:val="en-US" w:eastAsia="zh-CN" w:bidi="ar-SA"/>
              </w:rPr>
              <w:t>，根据</w:t>
            </w:r>
            <w:r>
              <w:rPr>
                <w:rFonts w:hint="eastAsia" w:ascii="Times New Roman" w:hAnsi="Times New Roman" w:eastAsia="宋体" w:cs="Times New Roman"/>
                <w:b w:val="0"/>
                <w:bCs/>
                <w:color w:val="auto"/>
                <w:kern w:val="0"/>
                <w:sz w:val="24"/>
                <w:szCs w:val="24"/>
                <w:lang w:val="en-US" w:eastAsia="zh-CN" w:bidi="ar-SA"/>
              </w:rPr>
              <w:t>《七台河市生态环境准人清单（2023年更新版)》（七环发[2024]3号）</w:t>
            </w:r>
            <w:r>
              <w:rPr>
                <w:rFonts w:hint="eastAsia" w:cs="Times New Roman"/>
                <w:b w:val="0"/>
                <w:bCs/>
                <w:color w:val="auto"/>
                <w:kern w:val="0"/>
                <w:sz w:val="24"/>
                <w:szCs w:val="24"/>
                <w:lang w:val="en-US" w:eastAsia="zh-CN" w:bidi="ar-SA"/>
              </w:rPr>
              <w:t>准入</w:t>
            </w:r>
            <w:r>
              <w:rPr>
                <w:rFonts w:ascii="Times New Roman" w:hAnsi="Times New Roman" w:eastAsia="宋体" w:cs="Times New Roman"/>
                <w:b w:val="0"/>
                <w:bCs/>
                <w:color w:val="auto"/>
                <w:kern w:val="0"/>
                <w:sz w:val="24"/>
                <w:szCs w:val="24"/>
                <w:lang w:val="en-US" w:eastAsia="zh-CN" w:bidi="ar-SA"/>
              </w:rPr>
              <w:t>，本项目位于</w:t>
            </w:r>
            <w:r>
              <w:rPr>
                <w:rFonts w:hint="eastAsia" w:cs="Times New Roman"/>
                <w:b w:val="0"/>
                <w:bCs/>
                <w:color w:val="auto"/>
                <w:kern w:val="0"/>
                <w:sz w:val="24"/>
                <w:szCs w:val="24"/>
                <w:lang w:val="en-US" w:eastAsia="zh-CN" w:bidi="ar-SA"/>
              </w:rPr>
              <w:t>勃利县城镇空间</w:t>
            </w:r>
            <w:r>
              <w:rPr>
                <w:rFonts w:ascii="Times New Roman" w:hAnsi="Times New Roman" w:eastAsia="宋体" w:cs="Times New Roman"/>
                <w:b w:val="0"/>
                <w:bCs/>
                <w:color w:val="auto"/>
                <w:kern w:val="0"/>
                <w:sz w:val="24"/>
                <w:szCs w:val="24"/>
                <w:lang w:val="en-US" w:eastAsia="zh-CN" w:bidi="ar-SA"/>
              </w:rPr>
              <w:t>，管控单元编号</w:t>
            </w:r>
            <w:r>
              <w:rPr>
                <w:rFonts w:hint="eastAsia" w:ascii="Times New Roman" w:hAnsi="Times New Roman" w:eastAsia="宋体" w:cs="Times New Roman"/>
                <w:b w:val="0"/>
                <w:bCs/>
                <w:color w:val="auto"/>
                <w:kern w:val="0"/>
                <w:sz w:val="24"/>
                <w:szCs w:val="24"/>
                <w:lang w:val="en-US" w:eastAsia="zh-CN" w:bidi="ar-SA"/>
              </w:rPr>
              <w:t>ZH23092120002</w:t>
            </w:r>
            <w:r>
              <w:rPr>
                <w:rFonts w:ascii="Times New Roman" w:hAnsi="Times New Roman" w:eastAsia="宋体" w:cs="Times New Roman"/>
                <w:b w:val="0"/>
                <w:bCs/>
                <w:color w:val="auto"/>
                <w:kern w:val="0"/>
                <w:sz w:val="24"/>
                <w:szCs w:val="24"/>
                <w:lang w:val="en-US" w:eastAsia="zh-CN" w:bidi="ar-SA"/>
              </w:rPr>
              <w:t>。本项目</w:t>
            </w:r>
            <w:r>
              <w:rPr>
                <w:rFonts w:hint="eastAsia" w:cs="Times New Roman"/>
                <w:b w:val="0"/>
                <w:bCs/>
                <w:color w:val="auto"/>
                <w:kern w:val="0"/>
                <w:sz w:val="24"/>
                <w:szCs w:val="24"/>
                <w:lang w:val="en-US" w:eastAsia="zh-CN" w:bidi="ar-SA"/>
              </w:rPr>
              <w:t>与</w:t>
            </w:r>
            <w:r>
              <w:rPr>
                <w:rFonts w:ascii="Times New Roman" w:hAnsi="Times New Roman" w:eastAsia="宋体" w:cs="Times New Roman"/>
                <w:b w:val="0"/>
                <w:bCs/>
                <w:color w:val="auto"/>
                <w:kern w:val="0"/>
                <w:sz w:val="24"/>
                <w:szCs w:val="24"/>
                <w:lang w:val="en-US" w:eastAsia="zh-CN" w:bidi="ar-SA"/>
              </w:rPr>
              <w:t>生态环境准入清单对照情况见下表。</w:t>
            </w:r>
          </w:p>
          <w:p>
            <w:pPr>
              <w:pStyle w:val="76"/>
              <w:rPr>
                <w:color w:val="auto"/>
              </w:rPr>
            </w:pPr>
            <w:r>
              <w:rPr>
                <w:color w:val="auto"/>
              </w:rPr>
              <w:t>表1-6 生态环境准入清单符合性分析</w:t>
            </w:r>
          </w:p>
          <w:tbl>
            <w:tblPr>
              <w:tblStyle w:val="20"/>
              <w:tblW w:w="47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1345"/>
              <w:gridCol w:w="43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1767" w:type="pct"/>
                  <w:gridSpan w:val="2"/>
                  <w:tcBorders>
                    <w:bottom w:val="single" w:color="auto" w:sz="4" w:space="0"/>
                  </w:tcBorders>
                  <w:vAlign w:val="center"/>
                </w:tcPr>
                <w:p>
                  <w:pPr>
                    <w:pStyle w:val="80"/>
                    <w:jc w:val="center"/>
                    <w:rPr>
                      <w:snapToGrid w:val="0"/>
                      <w:color w:val="auto"/>
                    </w:rPr>
                  </w:pPr>
                  <w:r>
                    <w:rPr>
                      <w:snapToGrid w:val="0"/>
                      <w:color w:val="auto"/>
                    </w:rPr>
                    <w:t>环境管控单元编码</w:t>
                  </w:r>
                </w:p>
              </w:tc>
              <w:tc>
                <w:tcPr>
                  <w:tcW w:w="3232" w:type="pct"/>
                  <w:tcBorders>
                    <w:bottom w:val="single" w:color="auto" w:sz="4" w:space="0"/>
                  </w:tcBorders>
                  <w:vAlign w:val="center"/>
                </w:tcPr>
                <w:p>
                  <w:pPr>
                    <w:pStyle w:val="80"/>
                    <w:jc w:val="center"/>
                    <w:rPr>
                      <w:snapToGrid w:val="0"/>
                      <w:color w:val="auto"/>
                    </w:rPr>
                  </w:pPr>
                  <w:r>
                    <w:rPr>
                      <w:rFonts w:hint="eastAsia"/>
                      <w:color w:val="auto"/>
                    </w:rPr>
                    <w:t>ZH23092120002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67" w:type="pct"/>
                  <w:gridSpan w:val="2"/>
                  <w:vAlign w:val="center"/>
                </w:tcPr>
                <w:p>
                  <w:pPr>
                    <w:pStyle w:val="80"/>
                    <w:jc w:val="center"/>
                    <w:rPr>
                      <w:snapToGrid w:val="0"/>
                      <w:color w:val="auto"/>
                    </w:rPr>
                  </w:pPr>
                  <w:r>
                    <w:rPr>
                      <w:snapToGrid w:val="0"/>
                      <w:color w:val="auto"/>
                    </w:rPr>
                    <w:t>环境管控单元名称</w:t>
                  </w:r>
                </w:p>
              </w:tc>
              <w:tc>
                <w:tcPr>
                  <w:tcW w:w="3232" w:type="pct"/>
                  <w:vAlign w:val="center"/>
                </w:tcPr>
                <w:p>
                  <w:pPr>
                    <w:pStyle w:val="80"/>
                    <w:jc w:val="center"/>
                    <w:rPr>
                      <w:snapToGrid w:val="0"/>
                      <w:color w:val="auto"/>
                    </w:rPr>
                  </w:pPr>
                  <w:r>
                    <w:rPr>
                      <w:rFonts w:hint="eastAsia"/>
                      <w:snapToGrid w:val="0"/>
                      <w:color w:val="auto"/>
                      <w:lang w:val="en-US" w:eastAsia="zh-CN"/>
                    </w:rPr>
                    <w:t>勃利县城镇空间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1767" w:type="pct"/>
                  <w:gridSpan w:val="2"/>
                  <w:vAlign w:val="center"/>
                </w:tcPr>
                <w:p>
                  <w:pPr>
                    <w:pStyle w:val="80"/>
                    <w:jc w:val="center"/>
                    <w:rPr>
                      <w:snapToGrid w:val="0"/>
                      <w:color w:val="auto"/>
                    </w:rPr>
                  </w:pPr>
                  <w:r>
                    <w:rPr>
                      <w:snapToGrid w:val="0"/>
                      <w:color w:val="auto"/>
                    </w:rPr>
                    <w:t>管控单元类别</w:t>
                  </w:r>
                </w:p>
              </w:tc>
              <w:tc>
                <w:tcPr>
                  <w:tcW w:w="3232" w:type="pct"/>
                  <w:vAlign w:val="center"/>
                </w:tcPr>
                <w:p>
                  <w:pPr>
                    <w:pStyle w:val="80"/>
                    <w:jc w:val="center"/>
                    <w:rPr>
                      <w:snapToGrid w:val="0"/>
                      <w:color w:val="auto"/>
                    </w:rPr>
                  </w:pPr>
                  <w:r>
                    <w:rPr>
                      <w:snapToGrid w:val="0"/>
                      <w:color w:val="auto"/>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restart"/>
                  <w:vAlign w:val="center"/>
                </w:tcPr>
                <w:p>
                  <w:pPr>
                    <w:pStyle w:val="80"/>
                    <w:jc w:val="center"/>
                    <w:rPr>
                      <w:color w:val="auto"/>
                    </w:rPr>
                  </w:pPr>
                  <w:r>
                    <w:rPr>
                      <w:color w:val="auto"/>
                    </w:rPr>
                    <w:t>管控要求</w:t>
                  </w:r>
                </w:p>
              </w:tc>
              <w:tc>
                <w:tcPr>
                  <w:tcW w:w="992" w:type="pct"/>
                  <w:vAlign w:val="center"/>
                </w:tcPr>
                <w:p>
                  <w:pPr>
                    <w:pStyle w:val="80"/>
                    <w:rPr>
                      <w:color w:val="auto"/>
                    </w:rPr>
                  </w:pPr>
                  <w:r>
                    <w:rPr>
                      <w:color w:val="auto"/>
                    </w:rPr>
                    <w:t>空间布局约束</w:t>
                  </w:r>
                </w:p>
              </w:tc>
              <w:tc>
                <w:tcPr>
                  <w:tcW w:w="3232" w:type="pct"/>
                  <w:vAlign w:val="center"/>
                </w:tcPr>
                <w:p>
                  <w:pPr>
                    <w:pStyle w:val="80"/>
                    <w:rPr>
                      <w:rFonts w:hint="eastAsia"/>
                      <w:color w:val="auto"/>
                      <w:spacing w:val="-3"/>
                      <w:lang w:val="zh-CN" w:bidi="zh-CN"/>
                    </w:rPr>
                  </w:pPr>
                  <w:r>
                    <w:rPr>
                      <w:rFonts w:hint="eastAsia"/>
                      <w:color w:val="auto"/>
                      <w:spacing w:val="-3"/>
                      <w:lang w:val="zh-CN" w:bidi="zh-CN"/>
                    </w:rPr>
                    <w:t>1.严禁在人口密集区新建危险化学品生产项目，城镇人口密集区危险化学品生产企业应搬迁改造。</w:t>
                  </w:r>
                </w:p>
                <w:p>
                  <w:pPr>
                    <w:pStyle w:val="80"/>
                    <w:rPr>
                      <w:rFonts w:hint="eastAsia"/>
                      <w:color w:val="auto"/>
                      <w:spacing w:val="-3"/>
                      <w:lang w:val="zh-CN" w:bidi="zh-CN"/>
                    </w:rPr>
                  </w:pPr>
                  <w:r>
                    <w:rPr>
                      <w:rFonts w:hint="eastAsia"/>
                      <w:color w:val="auto"/>
                      <w:spacing w:val="-3"/>
                      <w:lang w:val="zh-CN" w:bidi="zh-CN"/>
                    </w:rPr>
                    <w:t>2.禁止在城镇居民区、文化教育科学研究区等人口集中区域建设畜禽养殖场、养殖小区。</w:t>
                  </w:r>
                </w:p>
                <w:p>
                  <w:pPr>
                    <w:pStyle w:val="80"/>
                    <w:rPr>
                      <w:rFonts w:hint="eastAsia"/>
                      <w:color w:val="auto"/>
                      <w:spacing w:val="-3"/>
                      <w:lang w:val="zh-CN" w:bidi="zh-CN"/>
                    </w:rPr>
                  </w:pPr>
                  <w:r>
                    <w:rPr>
                      <w:rFonts w:hint="eastAsia"/>
                      <w:color w:val="auto"/>
                      <w:spacing w:val="-3"/>
                      <w:lang w:val="zh-CN" w:bidi="zh-CN"/>
                    </w:rPr>
                    <w:t>3.水环境农业污染重点管控区同时执行：</w:t>
                  </w:r>
                </w:p>
                <w:p>
                  <w:pPr>
                    <w:pStyle w:val="80"/>
                    <w:rPr>
                      <w:rFonts w:hint="eastAsia"/>
                      <w:color w:val="auto"/>
                      <w:spacing w:val="-3"/>
                      <w:lang w:val="zh-CN" w:bidi="zh-CN"/>
                    </w:rPr>
                  </w:pPr>
                  <w:r>
                    <w:rPr>
                      <w:rFonts w:hint="eastAsia"/>
                      <w:color w:val="auto"/>
                      <w:spacing w:val="-3"/>
                      <w:lang w:val="zh-CN" w:bidi="zh-CN"/>
                    </w:rPr>
                    <w:t>（1）科学划定畜禽养殖禁养区。</w:t>
                  </w:r>
                </w:p>
                <w:p>
                  <w:pPr>
                    <w:pStyle w:val="80"/>
                    <w:rPr>
                      <w:rFonts w:hint="eastAsia"/>
                      <w:color w:val="auto"/>
                      <w:spacing w:val="-3"/>
                      <w:lang w:val="zh-CN" w:bidi="zh-CN"/>
                    </w:rPr>
                  </w:pPr>
                  <w:r>
                    <w:rPr>
                      <w:rFonts w:hint="eastAsia"/>
                      <w:color w:val="auto"/>
                      <w:spacing w:val="-3"/>
                      <w:lang w:val="zh-CN" w:bidi="zh-CN"/>
                    </w:rPr>
                    <w:t>（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p>
                  <w:pPr>
                    <w:pStyle w:val="80"/>
                    <w:rPr>
                      <w:color w:val="auto"/>
                    </w:rPr>
                  </w:pPr>
                  <w:r>
                    <w:rPr>
                      <w:rFonts w:hint="eastAsia"/>
                      <w:color w:val="auto"/>
                      <w:spacing w:val="-3"/>
                      <w:lang w:val="zh-CN" w:bidi="zh-CN"/>
                    </w:rPr>
                    <w:t>4.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pPr>
                    <w:pStyle w:val="80"/>
                    <w:rPr>
                      <w:color w:val="auto"/>
                    </w:rPr>
                  </w:pPr>
                </w:p>
              </w:tc>
              <w:tc>
                <w:tcPr>
                  <w:tcW w:w="992" w:type="pct"/>
                  <w:vAlign w:val="center"/>
                </w:tcPr>
                <w:p>
                  <w:pPr>
                    <w:pStyle w:val="80"/>
                    <w:rPr>
                      <w:color w:val="auto"/>
                    </w:rPr>
                  </w:pPr>
                  <w:r>
                    <w:rPr>
                      <w:color w:val="auto"/>
                    </w:rPr>
                    <w:t>污染物排放管控</w:t>
                  </w:r>
                </w:p>
              </w:tc>
              <w:tc>
                <w:tcPr>
                  <w:tcW w:w="3232" w:type="pct"/>
                  <w:vAlign w:val="center"/>
                </w:tcPr>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1.加快65t／h以上燃煤锅炉（含电力）超低排放改造。</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2.水环境农业污染重点管控区同时执行：</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（1）支持规模化畜禽养殖场（小区）开展标准化改造和建设，提高畜禽粪污收集和处理机械化水平，实施雨污分流、粪污资源化利用，控制畜禽养殖污染排放。</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（2）畜禽养殖户应当及时对畜禽粪便、污水进行收集、贮存、清运，或者进行无害化处理。县级人民政府应当组织对本行政区域的畜禽散养密集区畜禽粪便、污水进行集中处理利用</w:t>
                  </w:r>
                  <w:r>
                    <w:rPr>
                      <w:rFonts w:hint="eastAsia" w:cs="Times New Roman"/>
                      <w:color w:val="auto"/>
                      <w:spacing w:val="-3"/>
                      <w:lang w:val="zh-CN" w:bidi="zh-CN"/>
                    </w:rPr>
                    <w:t>，</w:t>
                  </w:r>
                  <w:r>
                    <w:rPr>
                      <w:rFonts w:hint="eastAsia" w:ascii="Times New Roman" w:hAnsi="Times New Roman" w:eastAsia="宋体" w:cs="Times New Roman"/>
                      <w:color w:val="auto"/>
                      <w:spacing w:val="-3"/>
                      <w:lang w:val="zh-CN" w:bidi="zh-CN"/>
                    </w:rPr>
                    <w:t>督促乡镇人民政府建设或者配备污染防治配套设施。</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（3）全面加强农业面源污染防控，科学合理使用农业投入品，提高使用效率，减少农业内源性污染。</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3.大气环境布局敏感重点管控区同时执行：</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（1）对以煤、石焦油、渣油、重油等为燃料的锅炉和工业炉窑，加快使用清洁低碳能源以及工厂余热、电力热力等进行替代。</w:t>
                  </w:r>
                </w:p>
                <w:p>
                  <w:pPr>
                    <w:pStyle w:val="80"/>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（2）到2025年，在用65蒸吨/小时以上的燃煤锅炉（含电力）实现超低排放，钢铁企业基本实现超低排放。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pPr>
                    <w:pStyle w:val="80"/>
                    <w:rPr>
                      <w:color w:val="auto"/>
                    </w:rPr>
                  </w:pPr>
                </w:p>
              </w:tc>
              <w:tc>
                <w:tcPr>
                  <w:tcW w:w="992" w:type="pct"/>
                  <w:vAlign w:val="center"/>
                </w:tcPr>
                <w:p>
                  <w:pPr>
                    <w:pStyle w:val="80"/>
                    <w:rPr>
                      <w:color w:val="auto"/>
                    </w:rPr>
                  </w:pPr>
                  <w:r>
                    <w:rPr>
                      <w:color w:val="auto"/>
                    </w:rPr>
                    <w:t>环境风险防控</w:t>
                  </w:r>
                </w:p>
              </w:tc>
              <w:tc>
                <w:tcPr>
                  <w:tcW w:w="3232" w:type="pct"/>
                  <w:vAlign w:val="center"/>
                </w:tcPr>
                <w:p>
                  <w:pPr>
                    <w:pStyle w:val="80"/>
                    <w:rPr>
                      <w:rFonts w:hint="eastAsia" w:ascii="Times New Roman" w:hAnsi="Times New Roman" w:eastAsia="宋体" w:cs="Times New Roman"/>
                      <w:color w:val="auto"/>
                      <w:spacing w:val="-3"/>
                      <w:kern w:val="2"/>
                      <w:sz w:val="21"/>
                      <w:szCs w:val="24"/>
                      <w:lang w:val="zh-CN" w:eastAsia="zh-CN" w:bidi="zh-CN"/>
                    </w:rPr>
                  </w:pPr>
                  <w:r>
                    <w:rPr>
                      <w:rFonts w:hint="eastAsia" w:ascii="Times New Roman" w:hAnsi="Times New Roman" w:eastAsia="宋体" w:cs="Times New Roman"/>
                      <w:color w:val="auto"/>
                      <w:spacing w:val="-3"/>
                      <w:kern w:val="2"/>
                      <w:sz w:val="21"/>
                      <w:szCs w:val="24"/>
                      <w:lang w:val="zh-CN" w:eastAsia="zh-CN" w:bidi="zh-CN"/>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p>
                  <w:pPr>
                    <w:pStyle w:val="80"/>
                    <w:rPr>
                      <w:rFonts w:hint="eastAsia" w:ascii="Times New Roman" w:hAnsi="Times New Roman" w:eastAsia="宋体" w:cs="Times New Roman"/>
                      <w:color w:val="auto"/>
                      <w:spacing w:val="-3"/>
                      <w:kern w:val="2"/>
                      <w:sz w:val="21"/>
                      <w:szCs w:val="24"/>
                      <w:lang w:val="zh-CN" w:eastAsia="zh-CN" w:bidi="zh-CN"/>
                    </w:rPr>
                  </w:pPr>
                  <w:r>
                    <w:rPr>
                      <w:rFonts w:hint="eastAsia" w:ascii="Times New Roman" w:hAnsi="Times New Roman" w:eastAsia="宋体" w:cs="Times New Roman"/>
                      <w:color w:val="auto"/>
                      <w:spacing w:val="-3"/>
                      <w:kern w:val="2"/>
                      <w:sz w:val="21"/>
                      <w:szCs w:val="24"/>
                      <w:lang w:val="zh-CN" w:eastAsia="zh-CN" w:bidi="zh-CN"/>
                    </w:rPr>
                    <w:t>2.大气环境布局敏感重点管控区同时执行：禁止在居民区、学校、医疗和养老机构等周边新建有色金属冶炼、焦化等行业企业。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pPr>
                    <w:pStyle w:val="80"/>
                    <w:rPr>
                      <w:color w:val="auto"/>
                    </w:rPr>
                  </w:pPr>
                </w:p>
              </w:tc>
              <w:tc>
                <w:tcPr>
                  <w:tcW w:w="992" w:type="pct"/>
                  <w:vAlign w:val="center"/>
                </w:tcPr>
                <w:p>
                  <w:pPr>
                    <w:pStyle w:val="80"/>
                    <w:rPr>
                      <w:color w:val="auto"/>
                    </w:rPr>
                  </w:pPr>
                  <w:r>
                    <w:rPr>
                      <w:color w:val="auto"/>
                    </w:rPr>
                    <w:t>资源利用效率要求</w:t>
                  </w:r>
                </w:p>
              </w:tc>
              <w:tc>
                <w:tcPr>
                  <w:tcW w:w="3232" w:type="pct"/>
                  <w:vAlign w:val="center"/>
                </w:tcPr>
                <w:p>
                  <w:pPr>
                    <w:keepNext w:val="0"/>
                    <w:keepLines w:val="0"/>
                    <w:widowControl/>
                    <w:suppressLineNumbers w:val="0"/>
                    <w:jc w:val="left"/>
                    <w:rPr>
                      <w:color w:val="auto"/>
                    </w:rPr>
                  </w:pPr>
                  <w:r>
                    <w:rPr>
                      <w:rFonts w:hint="default" w:ascii="Times New Roman" w:hAnsi="Times New Roman" w:eastAsia="宋体" w:cs="Times New Roman"/>
                      <w:color w:val="auto"/>
                      <w:kern w:val="0"/>
                      <w:sz w:val="20"/>
                      <w:szCs w:val="20"/>
                      <w:lang w:val="en-US" w:eastAsia="zh-CN" w:bidi="ar"/>
                    </w:rPr>
                    <w:t>1.</w:t>
                  </w:r>
                  <w:r>
                    <w:rPr>
                      <w:rFonts w:hint="eastAsia" w:ascii="宋体" w:hAnsi="宋体" w:eastAsia="宋体" w:cs="宋体"/>
                      <w:color w:val="auto"/>
                      <w:kern w:val="0"/>
                      <w:sz w:val="20"/>
                      <w:szCs w:val="20"/>
                      <w:lang w:val="en-US" w:eastAsia="zh-CN" w:bidi="ar"/>
                    </w:rPr>
                    <w:t>推进污水再生利用设施建设。</w:t>
                  </w:r>
                </w:p>
                <w:p>
                  <w:pPr>
                    <w:keepNext w:val="0"/>
                    <w:keepLines w:val="0"/>
                    <w:widowControl/>
                    <w:suppressLineNumbers w:val="0"/>
                    <w:jc w:val="left"/>
                    <w:rPr>
                      <w:rFonts w:hint="eastAsia" w:ascii="Times New Roman" w:hAnsi="Times New Roman" w:eastAsia="宋体" w:cs="Times New Roman"/>
                      <w:color w:val="auto"/>
                      <w:spacing w:val="-3"/>
                      <w:kern w:val="2"/>
                      <w:sz w:val="21"/>
                      <w:szCs w:val="24"/>
                      <w:lang w:val="zh-CN" w:eastAsia="zh-CN" w:bidi="zh-CN"/>
                    </w:rPr>
                  </w:pP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公共建筑必须采用节水器具，限期淘汰公共建筑中不符合节水标准的水嘴、便器水箱等生活用水器具。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767" w:type="pct"/>
                  <w:gridSpan w:val="2"/>
                  <w:vAlign w:val="center"/>
                </w:tcPr>
                <w:p>
                  <w:pPr>
                    <w:pStyle w:val="80"/>
                    <w:jc w:val="center"/>
                    <w:rPr>
                      <w:color w:val="auto"/>
                    </w:rPr>
                  </w:pPr>
                  <w:r>
                    <w:rPr>
                      <w:color w:val="auto"/>
                    </w:rPr>
                    <w:t>符合性分析</w:t>
                  </w:r>
                </w:p>
              </w:tc>
              <w:tc>
                <w:tcPr>
                  <w:tcW w:w="3232" w:type="pct"/>
                  <w:vAlign w:val="center"/>
                </w:tcPr>
                <w:p>
                  <w:pPr>
                    <w:pStyle w:val="80"/>
                    <w:rPr>
                      <w:snapToGrid w:val="0"/>
                      <w:color w:val="auto"/>
                    </w:rPr>
                  </w:pPr>
                  <w:r>
                    <w:rPr>
                      <w:snapToGrid w:val="0"/>
                      <w:color w:val="auto"/>
                    </w:rPr>
                    <w:t>本项目位于</w:t>
                  </w:r>
                  <w:r>
                    <w:rPr>
                      <w:rFonts w:hint="eastAsia"/>
                      <w:snapToGrid w:val="0"/>
                      <w:color w:val="auto"/>
                      <w:lang w:eastAsia="zh-CN"/>
                    </w:rPr>
                    <w:t>黑龙江省七台河市勃利县南大直路217号</w:t>
                  </w:r>
                  <w:r>
                    <w:rPr>
                      <w:snapToGrid w:val="0"/>
                      <w:color w:val="auto"/>
                    </w:rPr>
                    <w:t>，</w:t>
                  </w:r>
                  <w:r>
                    <w:rPr>
                      <w:rFonts w:hint="eastAsia"/>
                      <w:snapToGrid w:val="0"/>
                      <w:color w:val="auto"/>
                    </w:rPr>
                    <w:t>对报废农用机动车进行处置并对可再生物质进行分类回收，用地性质为工业用地；</w:t>
                  </w:r>
                  <w:r>
                    <w:rPr>
                      <w:snapToGrid w:val="0"/>
                      <w:color w:val="auto"/>
                    </w:rPr>
                    <w:t>本项目不涉及有毒有害和易燃易爆物质的生产等，</w:t>
                  </w:r>
                  <w:r>
                    <w:rPr>
                      <w:rFonts w:hint="eastAsia"/>
                      <w:snapToGrid w:val="0"/>
                      <w:color w:val="auto"/>
                      <w:lang w:val="en-US" w:eastAsia="zh-CN"/>
                    </w:rPr>
                    <w:t>非危险化学品生产、养殖项目；</w:t>
                  </w:r>
                  <w:r>
                    <w:rPr>
                      <w:rFonts w:hint="eastAsia"/>
                      <w:snapToGrid w:val="0"/>
                      <w:color w:val="auto"/>
                    </w:rPr>
                    <w:t>冬季供热采用电暖气取暖</w:t>
                  </w:r>
                  <w:r>
                    <w:rPr>
                      <w:rFonts w:hint="eastAsia"/>
                      <w:snapToGrid w:val="0"/>
                      <w:color w:val="auto"/>
                      <w:lang w:eastAsia="zh-CN"/>
                    </w:rPr>
                    <w:t>，</w:t>
                  </w:r>
                  <w:r>
                    <w:rPr>
                      <w:snapToGrid w:val="0"/>
                      <w:color w:val="auto"/>
                    </w:rPr>
                    <w:t>本项目不</w:t>
                  </w:r>
                  <w:r>
                    <w:rPr>
                      <w:rFonts w:hint="eastAsia"/>
                      <w:snapToGrid w:val="0"/>
                      <w:color w:val="auto"/>
                    </w:rPr>
                    <w:t>采用</w:t>
                  </w:r>
                  <w:r>
                    <w:rPr>
                      <w:snapToGrid w:val="0"/>
                      <w:color w:val="auto"/>
                    </w:rPr>
                    <w:t>燃用高污染燃料，项目为报废农用机械拆解项目。本项目生活污水</w:t>
                  </w:r>
                  <w:r>
                    <w:rPr>
                      <w:rFonts w:hint="eastAsia"/>
                      <w:b w:val="0"/>
                      <w:bCs w:val="0"/>
                      <w:snapToGrid w:val="0"/>
                      <w:color w:val="auto"/>
                      <w:lang w:val="en-US" w:eastAsia="zh-CN"/>
                    </w:rPr>
                    <w:t>排入市政污水管网</w:t>
                  </w:r>
                  <w:r>
                    <w:rPr>
                      <w:b w:val="0"/>
                      <w:bCs w:val="0"/>
                      <w:snapToGrid w:val="0"/>
                      <w:color w:val="auto"/>
                    </w:rPr>
                    <w:t>。</w:t>
                  </w:r>
                </w:p>
              </w:tc>
            </w:tr>
          </w:tbl>
          <w:p>
            <w:pPr>
              <w:pStyle w:val="82"/>
              <w:rPr>
                <w:color w:val="auto"/>
              </w:rPr>
            </w:pPr>
            <w:r>
              <w:rPr>
                <w:color w:val="auto"/>
              </w:rPr>
              <w:t>四、与《报废农业机械回收拆解技术规范》（NY/T2900-20</w:t>
            </w:r>
            <w:r>
              <w:rPr>
                <w:rFonts w:hint="eastAsia"/>
                <w:color w:val="auto"/>
                <w:lang w:val="en-US" w:eastAsia="zh-CN"/>
              </w:rPr>
              <w:t>22</w:t>
            </w:r>
            <w:r>
              <w:rPr>
                <w:color w:val="auto"/>
              </w:rPr>
              <w:t>）符合性分析</w:t>
            </w:r>
          </w:p>
          <w:p>
            <w:pPr>
              <w:pStyle w:val="76"/>
              <w:rPr>
                <w:color w:val="auto"/>
              </w:rPr>
            </w:pPr>
            <w:r>
              <w:rPr>
                <w:color w:val="auto"/>
              </w:rPr>
              <w:t>表1-8 与《报废农业机械回收拆解技术规范》符合性分析</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2804"/>
              <w:gridCol w:w="11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tblHeader/>
              </w:trPr>
              <w:tc>
                <w:tcPr>
                  <w:tcW w:w="3171" w:type="dxa"/>
                  <w:vAlign w:val="center"/>
                </w:tcPr>
                <w:p>
                  <w:pPr>
                    <w:jc w:val="center"/>
                    <w:rPr>
                      <w:b/>
                      <w:bCs/>
                      <w:color w:val="auto"/>
                      <w:szCs w:val="21"/>
                    </w:rPr>
                  </w:pPr>
                  <w:r>
                    <w:rPr>
                      <w:b/>
                      <w:bCs/>
                      <w:color w:val="auto"/>
                      <w:szCs w:val="21"/>
                    </w:rPr>
                    <w:t>规范要求</w:t>
                  </w:r>
                </w:p>
              </w:tc>
              <w:tc>
                <w:tcPr>
                  <w:tcW w:w="2804" w:type="dxa"/>
                  <w:vAlign w:val="center"/>
                </w:tcPr>
                <w:p>
                  <w:pPr>
                    <w:jc w:val="center"/>
                    <w:rPr>
                      <w:b/>
                      <w:bCs/>
                      <w:color w:val="auto"/>
                      <w:szCs w:val="21"/>
                    </w:rPr>
                  </w:pPr>
                  <w:r>
                    <w:rPr>
                      <w:b/>
                      <w:bCs/>
                      <w:color w:val="auto"/>
                      <w:szCs w:val="21"/>
                    </w:rPr>
                    <w:t>本项目情况</w:t>
                  </w:r>
                </w:p>
              </w:tc>
              <w:tc>
                <w:tcPr>
                  <w:tcW w:w="1127" w:type="dxa"/>
                  <w:vAlign w:val="center"/>
                </w:tcPr>
                <w:p>
                  <w:pPr>
                    <w:jc w:val="center"/>
                    <w:rPr>
                      <w:b/>
                      <w:bCs/>
                      <w:color w:val="auto"/>
                      <w:szCs w:val="21"/>
                    </w:rPr>
                  </w:pPr>
                  <w:r>
                    <w:rPr>
                      <w:b/>
                      <w:bCs/>
                      <w:color w:val="auto"/>
                      <w:szCs w:val="21"/>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color w:val="auto"/>
                      <w:szCs w:val="21"/>
                    </w:rPr>
                    <w:t>报废农业机械回收拆解应严格遵循安全环保和循环利用的原则进行。回收拆解报废农业机械应按检查和登记→拆解前存储→拆解→拆解后存储和处置的流程作业。</w:t>
                  </w:r>
                </w:p>
              </w:tc>
              <w:tc>
                <w:tcPr>
                  <w:tcW w:w="2804" w:type="dxa"/>
                  <w:vAlign w:val="center"/>
                </w:tcPr>
                <w:p>
                  <w:pPr>
                    <w:rPr>
                      <w:color w:val="auto"/>
                      <w:szCs w:val="21"/>
                    </w:rPr>
                  </w:pPr>
                  <w:r>
                    <w:rPr>
                      <w:color w:val="auto"/>
                      <w:szCs w:val="21"/>
                    </w:rPr>
                    <w:t>本项目严格遵循安全环保和循环利用的原则进行。回收拆解报废农业机械应按检查和登记→拆解前存储→拆解→拆解后存储和处置的流程作业。</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eastAsia"/>
                      <w:color w:val="auto"/>
                      <w:szCs w:val="21"/>
                    </w:rPr>
                  </w:pPr>
                  <w:r>
                    <w:rPr>
                      <w:rFonts w:hint="eastAsia"/>
                      <w:color w:val="auto"/>
                      <w:szCs w:val="21"/>
                    </w:rPr>
                    <w:t>企业应具有专业技术人员</w:t>
                  </w:r>
                  <w:r>
                    <w:rPr>
                      <w:rFonts w:hint="eastAsia"/>
                      <w:color w:val="auto"/>
                      <w:szCs w:val="21"/>
                      <w:lang w:eastAsia="zh-CN"/>
                    </w:rPr>
                    <w:t>，</w:t>
                  </w:r>
                  <w:r>
                    <w:rPr>
                      <w:rFonts w:hint="eastAsia"/>
                      <w:color w:val="auto"/>
                      <w:szCs w:val="21"/>
                    </w:rPr>
                    <w:t>其专业能力应能达到规范拆解、环保作业、安全操作(含危险物质收集</w:t>
                  </w:r>
                </w:p>
                <w:p>
                  <w:pPr>
                    <w:rPr>
                      <w:rFonts w:hint="eastAsia" w:eastAsia="宋体"/>
                      <w:color w:val="auto"/>
                      <w:szCs w:val="21"/>
                      <w:lang w:eastAsia="zh-CN"/>
                    </w:rPr>
                  </w:pPr>
                  <w:r>
                    <w:rPr>
                      <w:rFonts w:hint="eastAsia"/>
                      <w:color w:val="auto"/>
                      <w:szCs w:val="21"/>
                    </w:rPr>
                    <w:t>存储、运输)等相应要求</w:t>
                  </w:r>
                  <w:r>
                    <w:rPr>
                      <w:rFonts w:hint="eastAsia"/>
                      <w:color w:val="auto"/>
                      <w:szCs w:val="21"/>
                      <w:lang w:eastAsia="zh-CN"/>
                    </w:rPr>
                    <w:t>，</w:t>
                  </w:r>
                  <w:r>
                    <w:rPr>
                      <w:rFonts w:hint="eastAsia"/>
                      <w:color w:val="auto"/>
                      <w:szCs w:val="21"/>
                    </w:rPr>
                    <w:t>并配备专业安全生产管理人员和环保人员</w:t>
                  </w:r>
                  <w:r>
                    <w:rPr>
                      <w:rFonts w:hint="eastAsia"/>
                      <w:color w:val="auto"/>
                      <w:szCs w:val="21"/>
                      <w:lang w:eastAsia="zh-CN"/>
                    </w:rPr>
                    <w:t>，</w:t>
                  </w:r>
                  <w:r>
                    <w:rPr>
                      <w:rFonts w:hint="eastAsia"/>
                      <w:color w:val="auto"/>
                      <w:szCs w:val="21"/>
                    </w:rPr>
                    <w:t>国家有持证上岗规定的岗位</w:t>
                  </w:r>
                  <w:r>
                    <w:rPr>
                      <w:rFonts w:hint="eastAsia"/>
                      <w:color w:val="auto"/>
                      <w:szCs w:val="21"/>
                      <w:lang w:eastAsia="zh-CN"/>
                    </w:rPr>
                    <w:t>，</w:t>
                  </w:r>
                  <w:r>
                    <w:rPr>
                      <w:rFonts w:hint="eastAsia"/>
                      <w:color w:val="auto"/>
                      <w:szCs w:val="21"/>
                    </w:rPr>
                    <w:t>应持证上岗</w:t>
                  </w:r>
                  <w:r>
                    <w:rPr>
                      <w:rFonts w:hint="eastAsia"/>
                      <w:color w:val="auto"/>
                      <w:szCs w:val="21"/>
                      <w:lang w:eastAsia="zh-CN"/>
                    </w:rPr>
                    <w:t>。</w:t>
                  </w:r>
                </w:p>
              </w:tc>
              <w:tc>
                <w:tcPr>
                  <w:tcW w:w="2804" w:type="dxa"/>
                  <w:vAlign w:val="center"/>
                </w:tcPr>
                <w:p>
                  <w:pPr>
                    <w:rPr>
                      <w:color w:val="auto"/>
                      <w:szCs w:val="21"/>
                    </w:rPr>
                  </w:pPr>
                  <w:r>
                    <w:rPr>
                      <w:color w:val="auto"/>
                      <w:szCs w:val="21"/>
                    </w:rPr>
                    <w:t>本项目拟聘请专业技术人员从事</w:t>
                  </w:r>
                  <w:r>
                    <w:rPr>
                      <w:snapToGrid w:val="0"/>
                      <w:color w:val="auto"/>
                      <w:kern w:val="0"/>
                      <w:szCs w:val="21"/>
                    </w:rPr>
                    <w:t>农用机械</w:t>
                  </w:r>
                  <w:r>
                    <w:rPr>
                      <w:color w:val="auto"/>
                      <w:szCs w:val="21"/>
                    </w:rPr>
                    <w:t>拆解工作。</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pPr>
                    <w:rPr>
                      <w:rFonts w:hint="eastAsia"/>
                      <w:color w:val="auto"/>
                      <w:szCs w:val="21"/>
                    </w:rPr>
                  </w:pPr>
                  <w:r>
                    <w:rPr>
                      <w:rFonts w:hint="eastAsia"/>
                      <w:color w:val="auto"/>
                      <w:szCs w:val="21"/>
                    </w:rPr>
                    <w:t>报废农业机械拆解作业场地应有独立的拆解区、产品及拆解后物料储存区、固体废物或危险废物</w:t>
                  </w:r>
                </w:p>
                <w:p>
                  <w:pPr>
                    <w:rPr>
                      <w:rFonts w:hint="eastAsia" w:eastAsia="宋体"/>
                      <w:color w:val="auto"/>
                      <w:szCs w:val="21"/>
                      <w:lang w:eastAsia="zh-CN"/>
                    </w:rPr>
                  </w:pPr>
                  <w:r>
                    <w:rPr>
                      <w:rFonts w:hint="eastAsia"/>
                      <w:color w:val="auto"/>
                      <w:szCs w:val="21"/>
                    </w:rPr>
                    <w:t>料储存控制区等各功能区</w:t>
                  </w:r>
                  <w:r>
                    <w:rPr>
                      <w:rFonts w:hint="eastAsia"/>
                      <w:color w:val="auto"/>
                      <w:szCs w:val="21"/>
                      <w:lang w:eastAsia="zh-CN"/>
                    </w:rPr>
                    <w:t>，</w:t>
                  </w:r>
                  <w:r>
                    <w:rPr>
                      <w:rFonts w:hint="eastAsia"/>
                      <w:color w:val="auto"/>
                      <w:szCs w:val="21"/>
                    </w:rPr>
                    <w:t>各功能区场地面积应与拆解能力相匹配</w:t>
                  </w:r>
                  <w:r>
                    <w:rPr>
                      <w:rFonts w:hint="eastAsia"/>
                      <w:color w:val="auto"/>
                      <w:szCs w:val="21"/>
                      <w:lang w:eastAsia="zh-CN"/>
                    </w:rPr>
                    <w:t>，</w:t>
                  </w:r>
                  <w:r>
                    <w:rPr>
                      <w:rFonts w:hint="eastAsia"/>
                      <w:color w:val="auto"/>
                      <w:szCs w:val="21"/>
                    </w:rPr>
                    <w:t>场地总面积宜不低于</w:t>
                  </w:r>
                  <w:r>
                    <w:rPr>
                      <w:rFonts w:hint="eastAsia"/>
                      <w:color w:val="auto"/>
                      <w:szCs w:val="21"/>
                      <w:lang w:val="en-US" w:eastAsia="zh-CN"/>
                    </w:rPr>
                    <w:t>2</w:t>
                  </w:r>
                  <w:r>
                    <w:rPr>
                      <w:rFonts w:hint="eastAsia" w:ascii="Times New Roman" w:eastAsia="宋体"/>
                      <w:color w:val="auto"/>
                      <w:szCs w:val="21"/>
                      <w:lang w:val="en-US" w:eastAsia="zh-CN"/>
                    </w:rPr>
                    <w:t>000</w:t>
                  </w:r>
                  <w:r>
                    <w:rPr>
                      <w:color w:val="auto"/>
                      <w:szCs w:val="21"/>
                    </w:rPr>
                    <w:t>m</w:t>
                  </w:r>
                  <w:r>
                    <w:rPr>
                      <w:color w:val="auto"/>
                      <w:szCs w:val="21"/>
                      <w:vertAlign w:val="superscript"/>
                    </w:rPr>
                    <w:t>2</w:t>
                  </w:r>
                  <w:r>
                    <w:rPr>
                      <w:rFonts w:hint="eastAsia"/>
                      <w:color w:val="auto"/>
                      <w:szCs w:val="21"/>
                      <w:lang w:eastAsia="zh-CN"/>
                    </w:rPr>
                    <w:t>，</w:t>
                  </w:r>
                  <w:r>
                    <w:rPr>
                      <w:rFonts w:hint="eastAsia"/>
                      <w:color w:val="auto"/>
                      <w:szCs w:val="21"/>
                    </w:rPr>
                    <w:t>作业场地(包括拆解和储存场地)面积不低于场地总面积的</w:t>
                  </w:r>
                  <w:r>
                    <w:rPr>
                      <w:rFonts w:hint="eastAsia"/>
                      <w:color w:val="auto"/>
                      <w:szCs w:val="21"/>
                      <w:lang w:val="en-US" w:eastAsia="zh-CN"/>
                    </w:rPr>
                    <w:t>70%。</w:t>
                  </w:r>
                  <w:r>
                    <w:rPr>
                      <w:rFonts w:hint="eastAsia"/>
                      <w:color w:val="auto"/>
                      <w:szCs w:val="21"/>
                    </w:rPr>
                    <w:t>报废农机回收拆解企业应通过环境影响评价</w:t>
                  </w:r>
                  <w:r>
                    <w:rPr>
                      <w:rFonts w:hint="eastAsia"/>
                      <w:color w:val="auto"/>
                      <w:szCs w:val="21"/>
                      <w:lang w:eastAsia="zh-CN"/>
                    </w:rPr>
                    <w:t>，</w:t>
                  </w:r>
                  <w:r>
                    <w:rPr>
                      <w:rFonts w:hint="eastAsia"/>
                      <w:color w:val="auto"/>
                      <w:szCs w:val="21"/>
                    </w:rPr>
                    <w:t>选址合理</w:t>
                  </w:r>
                  <w:r>
                    <w:rPr>
                      <w:rFonts w:hint="eastAsia"/>
                      <w:color w:val="auto"/>
                      <w:szCs w:val="21"/>
                      <w:lang w:eastAsia="zh-CN"/>
                    </w:rPr>
                    <w:t>。</w:t>
                  </w:r>
                </w:p>
              </w:tc>
              <w:tc>
                <w:tcPr>
                  <w:tcW w:w="2804" w:type="dxa"/>
                  <w:vAlign w:val="center"/>
                </w:tcPr>
                <w:p>
                  <w:pPr>
                    <w:rPr>
                      <w:color w:val="auto"/>
                      <w:szCs w:val="21"/>
                      <w:highlight w:val="yellow"/>
                    </w:rPr>
                  </w:pPr>
                  <w:r>
                    <w:rPr>
                      <w:color w:val="auto"/>
                      <w:szCs w:val="21"/>
                    </w:rPr>
                    <w:t>本项</w:t>
                  </w:r>
                  <w:r>
                    <w:rPr>
                      <w:rFonts w:hint="eastAsia"/>
                      <w:color w:val="auto"/>
                      <w:szCs w:val="21"/>
                      <w:lang w:val="en-US" w:eastAsia="zh-CN"/>
                    </w:rPr>
                    <w:t>目设有拆解车间、待拆车辆贮存场地、农机拆除成品半成品及零件贮存库、办公室、危险废物贮存库，</w:t>
                  </w:r>
                  <w:r>
                    <w:rPr>
                      <w:color w:val="auto"/>
                    </w:rPr>
                    <w:t>总占地面积为</w:t>
                  </w:r>
                  <w:r>
                    <w:rPr>
                      <w:rFonts w:hint="eastAsia"/>
                      <w:color w:val="auto"/>
                      <w:lang w:val="en-US" w:eastAsia="zh-CN"/>
                    </w:rPr>
                    <w:t>3700</w:t>
                  </w:r>
                  <w:r>
                    <w:rPr>
                      <w:color w:val="auto"/>
                    </w:rPr>
                    <w:t>m</w:t>
                  </w:r>
                  <w:r>
                    <w:rPr>
                      <w:color w:val="auto"/>
                      <w:vertAlign w:val="superscript"/>
                    </w:rPr>
                    <w:t>2</w:t>
                  </w:r>
                  <w:r>
                    <w:rPr>
                      <w:color w:val="auto"/>
                    </w:rPr>
                    <w:t>，</w:t>
                  </w:r>
                  <w:r>
                    <w:rPr>
                      <w:rFonts w:hint="eastAsia"/>
                      <w:color w:val="auto"/>
                      <w:szCs w:val="21"/>
                    </w:rPr>
                    <w:t>拆解和储存场地</w:t>
                  </w:r>
                  <w:r>
                    <w:rPr>
                      <w:color w:val="auto"/>
                    </w:rPr>
                    <w:t>面积为</w:t>
                  </w:r>
                  <w:r>
                    <w:rPr>
                      <w:rFonts w:hint="eastAsia"/>
                      <w:color w:val="auto"/>
                      <w:lang w:val="en-US" w:eastAsia="zh-CN"/>
                    </w:rPr>
                    <w:t>3650</w:t>
                  </w:r>
                  <w:r>
                    <w:rPr>
                      <w:color w:val="auto"/>
                    </w:rPr>
                    <w:t>m</w:t>
                  </w:r>
                  <w:r>
                    <w:rPr>
                      <w:color w:val="auto"/>
                      <w:vertAlign w:val="superscript"/>
                    </w:rPr>
                    <w:t>2</w:t>
                  </w:r>
                  <w:r>
                    <w:rPr>
                      <w:color w:val="auto"/>
                    </w:rPr>
                    <w:t>。</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pPr>
                    <w:rPr>
                      <w:rFonts w:hint="eastAsia"/>
                      <w:color w:val="auto"/>
                      <w:szCs w:val="21"/>
                    </w:rPr>
                  </w:pPr>
                  <w:r>
                    <w:rPr>
                      <w:rFonts w:hint="eastAsia"/>
                      <w:color w:val="auto"/>
                      <w:szCs w:val="21"/>
                    </w:rPr>
                    <w:t>拆解车间应为封闭或半封闭车间</w:t>
                  </w:r>
                  <w:r>
                    <w:rPr>
                      <w:rFonts w:hint="eastAsia"/>
                      <w:color w:val="auto"/>
                      <w:szCs w:val="21"/>
                      <w:lang w:eastAsia="zh-CN"/>
                    </w:rPr>
                    <w:t>，</w:t>
                  </w:r>
                  <w:r>
                    <w:rPr>
                      <w:rFonts w:hint="eastAsia"/>
                      <w:color w:val="auto"/>
                      <w:szCs w:val="21"/>
                    </w:rPr>
                    <w:t>通风、光线良好</w:t>
                  </w:r>
                  <w:r>
                    <w:rPr>
                      <w:rFonts w:hint="eastAsia"/>
                      <w:color w:val="auto"/>
                      <w:szCs w:val="21"/>
                      <w:lang w:eastAsia="zh-CN"/>
                    </w:rPr>
                    <w:t>，</w:t>
                  </w:r>
                  <w:r>
                    <w:rPr>
                      <w:rFonts w:hint="eastAsia"/>
                      <w:color w:val="auto"/>
                      <w:szCs w:val="21"/>
                    </w:rPr>
                    <w:t>地面硬化且防渗漏</w:t>
                  </w:r>
                  <w:r>
                    <w:rPr>
                      <w:rFonts w:hint="eastAsia"/>
                      <w:color w:val="auto"/>
                      <w:szCs w:val="21"/>
                      <w:lang w:eastAsia="zh-CN"/>
                    </w:rPr>
                    <w:t>，</w:t>
                  </w:r>
                  <w:r>
                    <w:rPr>
                      <w:rFonts w:hint="eastAsia"/>
                      <w:color w:val="auto"/>
                      <w:szCs w:val="21"/>
                    </w:rPr>
                    <w:t>安全防范设施齐全;存储场地(包括临时存储)的地面应硬化并防渗漏.所有场所应满足 GB</w:t>
                  </w:r>
                  <w:r>
                    <w:rPr>
                      <w:rFonts w:hint="eastAsia"/>
                      <w:color w:val="auto"/>
                      <w:szCs w:val="21"/>
                      <w:lang w:val="en-US" w:eastAsia="zh-CN"/>
                    </w:rPr>
                    <w:t>50037</w:t>
                  </w:r>
                  <w:r>
                    <w:rPr>
                      <w:rFonts w:hint="eastAsia"/>
                      <w:color w:val="auto"/>
                      <w:szCs w:val="21"/>
                    </w:rPr>
                    <w:t>规定的防渗漏要求.</w:t>
                  </w:r>
                </w:p>
              </w:tc>
              <w:tc>
                <w:tcPr>
                  <w:tcW w:w="2804" w:type="dxa"/>
                  <w:vAlign w:val="center"/>
                </w:tcPr>
                <w:p>
                  <w:pPr>
                    <w:rPr>
                      <w:color w:val="auto"/>
                      <w:szCs w:val="21"/>
                    </w:rPr>
                  </w:pPr>
                  <w:r>
                    <w:rPr>
                      <w:color w:val="auto"/>
                      <w:szCs w:val="21"/>
                    </w:rPr>
                    <w:t>拆解车间为全封闭车间，通风、光线良好。存储场地及拆解车间地面硬化且防渗漏。</w:t>
                  </w:r>
                </w:p>
              </w:tc>
              <w:tc>
                <w:tcPr>
                  <w:tcW w:w="1127" w:type="dxa"/>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color w:val="auto"/>
                      <w:szCs w:val="21"/>
                    </w:rPr>
                    <w:t>报废农业机械拆解企业应具备必要的设备，包括但不限于农业机械称重设备、起重运输设备、剪断设备、切割设备、专业容器等，在排空易燃易爆及有毒有害液体、气体物品时，应使用专用设备处理且工作环境安全可靠。</w:t>
                  </w:r>
                </w:p>
              </w:tc>
              <w:tc>
                <w:tcPr>
                  <w:tcW w:w="2804" w:type="dxa"/>
                  <w:vAlign w:val="center"/>
                </w:tcPr>
                <w:p>
                  <w:pPr>
                    <w:rPr>
                      <w:color w:val="auto"/>
                      <w:szCs w:val="21"/>
                      <w:highlight w:val="yellow"/>
                    </w:rPr>
                  </w:pPr>
                  <w:r>
                    <w:rPr>
                      <w:color w:val="auto"/>
                      <w:szCs w:val="21"/>
                    </w:rPr>
                    <w:t>本项目设置</w:t>
                  </w:r>
                  <w:r>
                    <w:rPr>
                      <w:color w:val="auto"/>
                    </w:rPr>
                    <w:t>龙门吊、等离子切割机、无齿锯、油液油排设备等，满足项目需要。</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rFonts w:hint="eastAsia"/>
                      <w:color w:val="auto"/>
                      <w:szCs w:val="21"/>
                    </w:rPr>
                    <w:t>应具备环保设备</w:t>
                  </w:r>
                  <w:r>
                    <w:rPr>
                      <w:rFonts w:hint="eastAsia"/>
                      <w:color w:val="auto"/>
                      <w:szCs w:val="21"/>
                      <w:lang w:eastAsia="zh-CN"/>
                    </w:rPr>
                    <w:t>，</w:t>
                  </w:r>
                  <w:r>
                    <w:rPr>
                      <w:rFonts w:hint="eastAsia"/>
                      <w:color w:val="auto"/>
                      <w:szCs w:val="21"/>
                    </w:rPr>
                    <w:t>包括但不限于专用废液收集容器、油水分离器、专用制冷液收集容器、蓄电池/锂电池/氢燃料电池等专用收集容器.</w:t>
                  </w:r>
                </w:p>
              </w:tc>
              <w:tc>
                <w:tcPr>
                  <w:tcW w:w="2804" w:type="dxa"/>
                  <w:vAlign w:val="center"/>
                </w:tcPr>
                <w:p>
                  <w:pPr>
                    <w:rPr>
                      <w:rFonts w:hint="default" w:eastAsia="宋体"/>
                      <w:color w:val="auto"/>
                      <w:szCs w:val="21"/>
                      <w:lang w:val="en-US" w:eastAsia="zh-CN"/>
                    </w:rPr>
                  </w:pPr>
                  <w:r>
                    <w:rPr>
                      <w:rFonts w:hint="eastAsia"/>
                      <w:color w:val="auto"/>
                      <w:szCs w:val="21"/>
                      <w:lang w:val="en-US" w:eastAsia="zh-CN"/>
                    </w:rPr>
                    <w:t>本项目具备废油液专用储罐、废蓄电池专用存储区耐酸容器内、废防冻液专用储罐、废活性炭专用桶等专门收集容器。满足项目需求。</w:t>
                  </w:r>
                </w:p>
              </w:tc>
              <w:tc>
                <w:tcPr>
                  <w:tcW w:w="1127" w:type="dxa"/>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rFonts w:hint="eastAsia"/>
                      <w:color w:val="auto"/>
                    </w:rPr>
                    <w:t>在报废农业机械拆解及主要总成解体销毁过程中</w:t>
                  </w:r>
                  <w:r>
                    <w:rPr>
                      <w:rFonts w:hint="eastAsia"/>
                      <w:color w:val="auto"/>
                      <w:lang w:eastAsia="zh-CN"/>
                    </w:rPr>
                    <w:t>，</w:t>
                  </w:r>
                  <w:r>
                    <w:rPr>
                      <w:rFonts w:hint="eastAsia"/>
                      <w:color w:val="auto"/>
                    </w:rPr>
                    <w:t>至少对回收确认、零部件拆解、对机体等零部件拆分或压扁破碎 3 个环节进行录像监控</w:t>
                  </w:r>
                  <w:r>
                    <w:rPr>
                      <w:rFonts w:hint="eastAsia"/>
                      <w:color w:val="auto"/>
                      <w:lang w:eastAsia="zh-CN"/>
                    </w:rPr>
                    <w:t>，</w:t>
                  </w:r>
                  <w:r>
                    <w:rPr>
                      <w:rFonts w:hint="eastAsia"/>
                      <w:color w:val="auto"/>
                    </w:rPr>
                    <w:t>应剪辑保留 10 s 以上的重要时段视频资料进行存档</w:t>
                  </w:r>
                  <w:r>
                    <w:rPr>
                      <w:rFonts w:hint="eastAsia"/>
                      <w:color w:val="auto"/>
                      <w:lang w:eastAsia="zh-CN"/>
                    </w:rPr>
                    <w:t>，</w:t>
                  </w:r>
                  <w:r>
                    <w:rPr>
                      <w:rFonts w:hint="eastAsia"/>
                      <w:color w:val="auto"/>
                    </w:rPr>
                    <w:t>同时拍摄(或截图)机体解体销毁前、中、后的照片各 1张。相关信息的保存期限不应少于 5 年。</w:t>
                  </w:r>
                </w:p>
              </w:tc>
              <w:tc>
                <w:tcPr>
                  <w:tcW w:w="2804" w:type="dxa"/>
                  <w:vAlign w:val="center"/>
                </w:tcPr>
                <w:p>
                  <w:pPr>
                    <w:rPr>
                      <w:color w:val="auto"/>
                      <w:szCs w:val="21"/>
                    </w:rPr>
                  </w:pPr>
                  <w:r>
                    <w:rPr>
                      <w:color w:val="auto"/>
                      <w:szCs w:val="21"/>
                    </w:rPr>
                    <w:t>建设单位将在每个环节保留10s以上的视频资料或解体销毁前、中、后各照片1张。</w:t>
                  </w:r>
                  <w:r>
                    <w:rPr>
                      <w:rFonts w:hint="eastAsia"/>
                      <w:color w:val="auto"/>
                      <w:szCs w:val="21"/>
                    </w:rPr>
                    <w:t>相关信息的保存期限不应少于5年。</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eastAsia" w:eastAsia="宋体"/>
                      <w:color w:val="auto"/>
                      <w:lang w:eastAsia="zh-CN"/>
                    </w:rPr>
                  </w:pPr>
                  <w:r>
                    <w:rPr>
                      <w:rFonts w:hint="eastAsia"/>
                      <w:color w:val="auto"/>
                    </w:rPr>
                    <w:t>拆解区环境噪声限值应符合 GB</w:t>
                  </w:r>
                  <w:r>
                    <w:rPr>
                      <w:rFonts w:hint="eastAsia"/>
                      <w:color w:val="auto"/>
                      <w:lang w:val="en-US" w:eastAsia="zh-CN"/>
                    </w:rPr>
                    <w:t>12348</w:t>
                  </w:r>
                  <w:r>
                    <w:rPr>
                      <w:rFonts w:hint="eastAsia"/>
                      <w:color w:val="auto"/>
                    </w:rPr>
                    <w:t>规定的三类声环境功能区的要求</w:t>
                  </w:r>
                  <w:r>
                    <w:rPr>
                      <w:rFonts w:hint="eastAsia"/>
                      <w:color w:val="auto"/>
                      <w:lang w:eastAsia="zh-CN"/>
                    </w:rPr>
                    <w:t>。拆解时存在有害气体或易燃气体，应做好导流和无害处理。</w:t>
                  </w:r>
                </w:p>
              </w:tc>
              <w:tc>
                <w:tcPr>
                  <w:tcW w:w="2804" w:type="dxa"/>
                  <w:vAlign w:val="center"/>
                </w:tcPr>
                <w:p>
                  <w:pPr>
                    <w:rPr>
                      <w:rFonts w:hint="default" w:eastAsia="宋体"/>
                      <w:color w:val="auto"/>
                      <w:szCs w:val="21"/>
                      <w:lang w:val="en-US" w:eastAsia="zh-CN"/>
                    </w:rPr>
                  </w:pPr>
                  <w:r>
                    <w:rPr>
                      <w:rFonts w:hint="eastAsia"/>
                      <w:color w:val="auto"/>
                      <w:szCs w:val="21"/>
                      <w:lang w:val="en-US" w:eastAsia="zh-CN"/>
                    </w:rPr>
                    <w:t>本项目采取选用低噪声设备，通过厂房隔声、基础减振等措施，噪声能够达标排放。本项目切割工段产生颗粒物通过布袋除尘处理、排空油箱产生的非甲烷总烃经过集气罩和活性炭吸附后均能实现达标排放。</w:t>
                  </w:r>
                </w:p>
              </w:tc>
              <w:tc>
                <w:tcPr>
                  <w:tcW w:w="112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应建立报废农业机械回收拆解档案和数据库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对回收报废的农业机械逐台登记;记录农业机械和</w:t>
                  </w:r>
                </w:p>
                <w:p>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所有者信息</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信息主要包括:机主(单位或个人)名称、证件号码、牌照号码(适用时)、品牌型号、机架号、发动机号、出厂年份、接收或收购日期等;记录回收、拆解、废弃物处理及拆解后零部件、材料和废弃物的数量/重量和流向等</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并做好标识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处理批次和拆解数量与重量应统一;纸质档案保存期限不应少于</w:t>
                  </w:r>
                  <w:r>
                    <w:rPr>
                      <w:rFonts w:hint="eastAsia"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年</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备份的电子档案和数据库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保存期限不应少于</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年。</w:t>
                  </w:r>
                </w:p>
              </w:tc>
              <w:tc>
                <w:tcPr>
                  <w:tcW w:w="2804" w:type="dxa"/>
                  <w:vAlign w:val="center"/>
                </w:tcPr>
                <w:p>
                  <w:pPr>
                    <w:rPr>
                      <w:color w:val="auto"/>
                      <w:szCs w:val="21"/>
                    </w:rPr>
                  </w:pPr>
                  <w:r>
                    <w:rPr>
                      <w:color w:val="auto"/>
                      <w:szCs w:val="21"/>
                    </w:rPr>
                    <w:t>企业建成后设置专门人员进行固体废物管理和系统上报工作。</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rFonts w:hint="eastAsia"/>
                      <w:color w:val="auto"/>
                      <w:szCs w:val="21"/>
                    </w:rPr>
                    <w:t>预拆解需先对报废农业机械进行清洁处理，去除机械外部的非原机所属的覆盖物。</w:t>
                  </w:r>
                </w:p>
              </w:tc>
              <w:tc>
                <w:tcPr>
                  <w:tcW w:w="2804" w:type="dxa"/>
                  <w:vAlign w:val="center"/>
                </w:tcPr>
                <w:p>
                  <w:pPr>
                    <w:rPr>
                      <w:color w:val="auto"/>
                      <w:szCs w:val="21"/>
                    </w:rPr>
                  </w:pPr>
                  <w:r>
                    <w:rPr>
                      <w:rFonts w:hint="eastAsia"/>
                      <w:color w:val="auto"/>
                      <w:szCs w:val="21"/>
                    </w:rPr>
                    <w:t>本项目拆解前需要对报废农业机动车进行清洁处理，去除机械外部的非原机所属的覆盖物。</w:t>
                  </w:r>
                </w:p>
              </w:tc>
              <w:tc>
                <w:tcPr>
                  <w:tcW w:w="112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eastAsia" w:eastAsia="宋体"/>
                      <w:color w:val="auto"/>
                      <w:szCs w:val="21"/>
                      <w:lang w:eastAsia="zh-CN"/>
                    </w:rPr>
                  </w:pPr>
                  <w:r>
                    <w:rPr>
                      <w:rFonts w:hint="eastAsia"/>
                      <w:color w:val="auto"/>
                      <w:szCs w:val="21"/>
                    </w:rPr>
                    <w:t>固体废物储存</w:t>
                  </w:r>
                  <w:r>
                    <w:rPr>
                      <w:rFonts w:hint="eastAsia"/>
                      <w:color w:val="auto"/>
                      <w:szCs w:val="21"/>
                      <w:lang w:eastAsia="zh-CN"/>
                    </w:rPr>
                    <w:t>：固体废物的储存应符合 GB</w:t>
                  </w:r>
                  <w:r>
                    <w:rPr>
                      <w:rFonts w:hint="eastAsia"/>
                      <w:color w:val="auto"/>
                      <w:szCs w:val="21"/>
                      <w:lang w:val="en-US" w:eastAsia="zh-CN"/>
                    </w:rPr>
                    <w:t>18599</w:t>
                  </w:r>
                  <w:r>
                    <w:rPr>
                      <w:rFonts w:hint="eastAsia"/>
                      <w:color w:val="auto"/>
                      <w:szCs w:val="21"/>
                      <w:lang w:eastAsia="zh-CN"/>
                    </w:rPr>
                    <w:t>、GB</w:t>
                  </w:r>
                  <w:r>
                    <w:rPr>
                      <w:rFonts w:hint="eastAsia"/>
                      <w:color w:val="auto"/>
                      <w:szCs w:val="21"/>
                      <w:lang w:val="en-US" w:eastAsia="zh-CN"/>
                    </w:rPr>
                    <w:t>18597</w:t>
                  </w:r>
                  <w:r>
                    <w:rPr>
                      <w:rFonts w:hint="eastAsia"/>
                      <w:color w:val="auto"/>
                      <w:szCs w:val="21"/>
                      <w:lang w:eastAsia="zh-CN"/>
                    </w:rPr>
                    <w:t>和 HJ</w:t>
                  </w:r>
                  <w:r>
                    <w:rPr>
                      <w:rFonts w:hint="eastAsia"/>
                      <w:color w:val="auto"/>
                      <w:szCs w:val="21"/>
                      <w:lang w:val="en-US" w:eastAsia="zh-CN"/>
                    </w:rPr>
                    <w:t>2025</w:t>
                  </w:r>
                  <w:r>
                    <w:rPr>
                      <w:rFonts w:hint="eastAsia"/>
                      <w:color w:val="auto"/>
                      <w:szCs w:val="21"/>
                      <w:lang w:eastAsia="zh-CN"/>
                    </w:rPr>
                    <w:t>的规定。一般工业固体废物储存设施及包装物应按照 GB</w:t>
                  </w:r>
                  <w:r>
                    <w:rPr>
                      <w:rFonts w:hint="eastAsia"/>
                      <w:color w:val="auto"/>
                      <w:szCs w:val="21"/>
                      <w:lang w:val="en-US" w:eastAsia="zh-CN"/>
                    </w:rPr>
                    <w:t>15562.2</w:t>
                  </w:r>
                  <w:r>
                    <w:rPr>
                      <w:rFonts w:hint="eastAsia"/>
                      <w:color w:val="auto"/>
                      <w:szCs w:val="21"/>
                      <w:lang w:eastAsia="zh-CN"/>
                    </w:rPr>
                    <w:t>的规定进行标识，危险废物储存设施及包装物的标志应符合GB</w:t>
                  </w:r>
                  <w:r>
                    <w:rPr>
                      <w:rFonts w:hint="eastAsia"/>
                      <w:color w:val="auto"/>
                      <w:szCs w:val="21"/>
                      <w:lang w:val="en-US" w:eastAsia="zh-CN"/>
                    </w:rPr>
                    <w:t>18597</w:t>
                  </w:r>
                  <w:r>
                    <w:rPr>
                      <w:rFonts w:hint="eastAsia"/>
                      <w:color w:val="auto"/>
                      <w:szCs w:val="21"/>
                      <w:lang w:eastAsia="zh-CN"/>
                    </w:rPr>
                    <w:t>和HJ</w:t>
                  </w:r>
                  <w:r>
                    <w:rPr>
                      <w:rFonts w:hint="eastAsia"/>
                      <w:color w:val="auto"/>
                      <w:szCs w:val="21"/>
                      <w:lang w:val="en-US" w:eastAsia="zh-CN"/>
                    </w:rPr>
                    <w:t>2025</w:t>
                  </w:r>
                  <w:r>
                    <w:rPr>
                      <w:rFonts w:hint="eastAsia"/>
                      <w:color w:val="auto"/>
                      <w:szCs w:val="21"/>
                      <w:lang w:eastAsia="zh-CN"/>
                    </w:rPr>
                    <w:t>的规定。所有固体废物避免混合、混放。妥善处置固体废物，不应非法转移、倾倒、利用和处置。废弃电器、铅酸蓄电池储存场地不得有明火。容器和装置要防漏和防止洒溅，并对其进行日常性检查。对拆解后的所有固体废物分类储存和标识。</w:t>
                  </w:r>
                </w:p>
              </w:tc>
              <w:tc>
                <w:tcPr>
                  <w:tcW w:w="2804" w:type="dxa"/>
                  <w:vAlign w:val="center"/>
                </w:tcPr>
                <w:p>
                  <w:pPr>
                    <w:rPr>
                      <w:rFonts w:hint="default" w:eastAsia="宋体"/>
                      <w:color w:val="auto"/>
                      <w:szCs w:val="21"/>
                      <w:lang w:val="en-US" w:eastAsia="zh-CN"/>
                    </w:rPr>
                  </w:pPr>
                  <w:r>
                    <w:rPr>
                      <w:rFonts w:hint="eastAsia"/>
                      <w:color w:val="auto"/>
                      <w:szCs w:val="21"/>
                    </w:rPr>
                    <w:t>本项目拆解后产生的有毒有害的危险废物按照GB18597</w:t>
                  </w:r>
                  <w:r>
                    <w:rPr>
                      <w:rFonts w:hint="eastAsia"/>
                      <w:color w:val="auto"/>
                      <w:szCs w:val="21"/>
                      <w:lang w:eastAsia="zh-CN"/>
                    </w:rPr>
                    <w:t>、</w:t>
                  </w:r>
                  <w:r>
                    <w:rPr>
                      <w:rFonts w:hint="eastAsia"/>
                      <w:color w:val="auto"/>
                      <w:szCs w:val="21"/>
                      <w:lang w:val="en-US" w:eastAsia="zh-CN"/>
                    </w:rPr>
                    <w:t>HJ202</w:t>
                  </w:r>
                  <w:r>
                    <w:rPr>
                      <w:rFonts w:hint="eastAsia"/>
                      <w:color w:val="auto"/>
                      <w:szCs w:val="21"/>
                    </w:rPr>
                    <w:t>的规定进行存储和处置</w:t>
                  </w:r>
                  <w:r>
                    <w:rPr>
                      <w:rFonts w:hint="eastAsia"/>
                      <w:color w:val="auto"/>
                      <w:szCs w:val="21"/>
                      <w:lang w:eastAsia="zh-CN"/>
                    </w:rPr>
                    <w:t>，</w:t>
                  </w:r>
                  <w:r>
                    <w:rPr>
                      <w:rFonts w:hint="eastAsia"/>
                      <w:color w:val="auto"/>
                      <w:szCs w:val="21"/>
                    </w:rPr>
                    <w:t>危险废物交由有相应资质的单位进行处置</w:t>
                  </w:r>
                  <w:r>
                    <w:rPr>
                      <w:rFonts w:hint="eastAsia"/>
                      <w:color w:val="auto"/>
                      <w:szCs w:val="21"/>
                      <w:lang w:eastAsia="zh-CN"/>
                    </w:rPr>
                    <w:t>，</w:t>
                  </w:r>
                  <w:r>
                    <w:rPr>
                      <w:rFonts w:hint="eastAsia"/>
                      <w:color w:val="auto"/>
                      <w:szCs w:val="21"/>
                      <w:lang w:val="en-US" w:eastAsia="zh-CN"/>
                    </w:rPr>
                    <w:t>一般固废按照 GB18599的规定进行存储和处置</w:t>
                  </w:r>
                  <w:r>
                    <w:rPr>
                      <w:rFonts w:hint="eastAsia"/>
                      <w:color w:val="auto"/>
                      <w:szCs w:val="21"/>
                    </w:rPr>
                    <w:t>。</w:t>
                  </w:r>
                  <w:r>
                    <w:rPr>
                      <w:rFonts w:hint="eastAsia"/>
                      <w:color w:val="auto"/>
                      <w:szCs w:val="21"/>
                      <w:lang w:val="en-US" w:eastAsia="zh-CN"/>
                    </w:rPr>
                    <w:t>一般工业固体废物与危险废物储存设施和包装物按规定设置标志。危险废物均置于专用储存容器中存放。所有固体废物均不混合混放。</w:t>
                  </w:r>
                </w:p>
              </w:tc>
              <w:tc>
                <w:tcPr>
                  <w:tcW w:w="1127"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0" w:hRule="atLeast"/>
              </w:trPr>
              <w:tc>
                <w:tcPr>
                  <w:tcW w:w="3171" w:type="dxa"/>
                  <w:vAlign w:val="center"/>
                </w:tcPr>
                <w:p>
                  <w:pPr>
                    <w:rPr>
                      <w:rFonts w:hint="eastAsia"/>
                      <w:color w:val="auto"/>
                      <w:szCs w:val="21"/>
                    </w:rPr>
                  </w:pPr>
                  <w:r>
                    <w:rPr>
                      <w:rFonts w:hint="eastAsia"/>
                      <w:color w:val="auto"/>
                      <w:szCs w:val="21"/>
                    </w:rPr>
                    <w:t>拆解后存储与处置：废液应使用专用密闭容器存储，防漏、防洒溅、防挥发，并交给核发的废液回收处理企业；拆解后的可再利用零部件存储前，应做清洗和防锈等处理后在室内存储，并标明“回用件”；拆解后的所有的零部件、材料、废物</w:t>
                  </w:r>
                  <w:r>
                    <w:rPr>
                      <w:rFonts w:hint="eastAsia"/>
                      <w:color w:val="auto"/>
                      <w:szCs w:val="21"/>
                      <w:lang w:eastAsia="zh-CN"/>
                    </w:rPr>
                    <w:t>，</w:t>
                  </w:r>
                  <w:r>
                    <w:rPr>
                      <w:rFonts w:hint="eastAsia"/>
                      <w:color w:val="auto"/>
                      <w:szCs w:val="21"/>
                    </w:rPr>
                    <w:t>应按照 GB</w:t>
                  </w:r>
                  <w:r>
                    <w:rPr>
                      <w:rFonts w:hint="eastAsia"/>
                      <w:color w:val="auto"/>
                      <w:szCs w:val="21"/>
                      <w:lang w:val="en-US" w:eastAsia="zh-CN"/>
                    </w:rPr>
                    <w:t>18484</w:t>
                  </w:r>
                  <w:r>
                    <w:rPr>
                      <w:rFonts w:hint="eastAsia"/>
                      <w:color w:val="auto"/>
                      <w:szCs w:val="21"/>
                    </w:rPr>
                    <w:t>的规定分类存储和标识</w:t>
                  </w:r>
                  <w:r>
                    <w:rPr>
                      <w:rFonts w:hint="eastAsia"/>
                      <w:color w:val="auto"/>
                      <w:szCs w:val="21"/>
                      <w:lang w:eastAsia="zh-CN"/>
                    </w:rPr>
                    <w:t>，</w:t>
                  </w:r>
                  <w:r>
                    <w:rPr>
                      <w:rFonts w:hint="eastAsia"/>
                      <w:color w:val="auto"/>
                      <w:szCs w:val="21"/>
                    </w:rPr>
                    <w:t>废物不得焚烧、丢弃；对列入国家危险废物名录的危险废物应按照 GB</w:t>
                  </w:r>
                  <w:r>
                    <w:rPr>
                      <w:rFonts w:hint="eastAsia"/>
                      <w:color w:val="auto"/>
                      <w:szCs w:val="21"/>
                      <w:lang w:val="en-US" w:eastAsia="zh-CN"/>
                    </w:rPr>
                    <w:t>18599</w:t>
                  </w:r>
                  <w:r>
                    <w:rPr>
                      <w:rFonts w:hint="eastAsia"/>
                      <w:color w:val="auto"/>
                      <w:szCs w:val="21"/>
                    </w:rPr>
                    <w:t>的规定进行储存和污染控制管理</w:t>
                  </w:r>
                  <w:r>
                    <w:rPr>
                      <w:rFonts w:hint="eastAsia"/>
                      <w:color w:val="auto"/>
                      <w:szCs w:val="21"/>
                      <w:lang w:eastAsia="zh-CN"/>
                    </w:rPr>
                    <w:t>；</w:t>
                  </w:r>
                  <w:r>
                    <w:rPr>
                      <w:rFonts w:hint="eastAsia"/>
                      <w:color w:val="auto"/>
                      <w:szCs w:val="21"/>
                    </w:rPr>
                    <w:t>拆解后有毒有害的危险废物的存储和处置应符合 GB</w:t>
                  </w:r>
                  <w:r>
                    <w:rPr>
                      <w:rFonts w:hint="eastAsia"/>
                      <w:color w:val="auto"/>
                      <w:szCs w:val="21"/>
                      <w:lang w:val="en-US" w:eastAsia="zh-CN"/>
                    </w:rPr>
                    <w:t>18597</w:t>
                  </w:r>
                  <w:r>
                    <w:rPr>
                      <w:rFonts w:hint="eastAsia"/>
                      <w:color w:val="auto"/>
                      <w:szCs w:val="21"/>
                    </w:rPr>
                    <w:t>的规定</w:t>
                  </w:r>
                  <w:r>
                    <w:rPr>
                      <w:rFonts w:hint="eastAsia"/>
                      <w:color w:val="auto"/>
                      <w:szCs w:val="21"/>
                      <w:lang w:eastAsia="zh-CN"/>
                    </w:rPr>
                    <w:t>，</w:t>
                  </w:r>
                  <w:r>
                    <w:rPr>
                      <w:rFonts w:hint="eastAsia"/>
                      <w:color w:val="auto"/>
                      <w:szCs w:val="21"/>
                    </w:rPr>
                    <w:t>危险废物应交由具有相应资质的企业进行处置；动力蓄电池、电子元器件拆解后应单独存放</w:t>
                  </w:r>
                  <w:r>
                    <w:rPr>
                      <w:rFonts w:hint="eastAsia"/>
                      <w:color w:val="auto"/>
                      <w:szCs w:val="21"/>
                      <w:lang w:eastAsia="zh-CN"/>
                    </w:rPr>
                    <w:t>，</w:t>
                  </w:r>
                  <w:r>
                    <w:rPr>
                      <w:rFonts w:hint="eastAsia"/>
                      <w:color w:val="auto"/>
                      <w:szCs w:val="21"/>
                    </w:rPr>
                    <w:t>对锂电池进行整体拆解存放</w:t>
                  </w:r>
                  <w:r>
                    <w:rPr>
                      <w:rFonts w:hint="eastAsia"/>
                      <w:color w:val="auto"/>
                      <w:szCs w:val="21"/>
                      <w:lang w:eastAsia="zh-CN"/>
                    </w:rPr>
                    <w:t>，</w:t>
                  </w:r>
                  <w:r>
                    <w:rPr>
                      <w:rFonts w:hint="eastAsia"/>
                      <w:color w:val="auto"/>
                      <w:szCs w:val="21"/>
                    </w:rPr>
                    <w:t>做好防止自燃措施</w:t>
                  </w:r>
                  <w:r>
                    <w:rPr>
                      <w:rFonts w:hint="eastAsia"/>
                      <w:color w:val="auto"/>
                      <w:szCs w:val="21"/>
                      <w:lang w:eastAsia="zh-CN"/>
                    </w:rPr>
                    <w:t>，</w:t>
                  </w:r>
                  <w:r>
                    <w:rPr>
                      <w:rFonts w:hint="eastAsia"/>
                      <w:color w:val="auto"/>
                      <w:szCs w:val="21"/>
                    </w:rPr>
                    <w:t>并交由有资质的处置企业进行回收处理.电子元器件应交由有废电器资质企业拆解</w:t>
                  </w:r>
                  <w:r>
                    <w:rPr>
                      <w:rFonts w:hint="eastAsia"/>
                      <w:color w:val="auto"/>
                      <w:szCs w:val="21"/>
                      <w:lang w:eastAsia="zh-CN"/>
                    </w:rPr>
                    <w:t>，</w:t>
                  </w:r>
                  <w:r>
                    <w:rPr>
                      <w:rFonts w:hint="eastAsia"/>
                      <w:color w:val="auto"/>
                      <w:szCs w:val="21"/>
                    </w:rPr>
                    <w:t>不可自行拆解。</w:t>
                  </w:r>
                </w:p>
              </w:tc>
              <w:tc>
                <w:tcPr>
                  <w:tcW w:w="2804" w:type="dxa"/>
                  <w:vAlign w:val="center"/>
                </w:tcPr>
                <w:p>
                  <w:pPr>
                    <w:rPr>
                      <w:rFonts w:hint="eastAsia"/>
                      <w:color w:val="auto"/>
                      <w:szCs w:val="21"/>
                    </w:rPr>
                  </w:pPr>
                  <w:r>
                    <w:rPr>
                      <w:rFonts w:hint="eastAsia"/>
                      <w:color w:val="auto"/>
                      <w:szCs w:val="21"/>
                    </w:rPr>
                    <w:t>本项目废液使用专用密闭容器存储，防漏、防洒溅、防挥发，暂存于</w:t>
                  </w:r>
                  <w:r>
                    <w:rPr>
                      <w:rFonts w:hint="eastAsia"/>
                      <w:color w:val="auto"/>
                      <w:szCs w:val="21"/>
                      <w:lang w:eastAsia="zh-CN"/>
                    </w:rPr>
                    <w:t>危险废物贮存库</w:t>
                  </w:r>
                  <w:r>
                    <w:rPr>
                      <w:rFonts w:hint="eastAsia"/>
                      <w:color w:val="auto"/>
                      <w:szCs w:val="21"/>
                    </w:rPr>
                    <w:t>，定期委托有资质单位进行处理；本项目拆解下来的各种可回收利用物品和零部件，包括废钢铁、废有色金属、废塑料、废玻璃、废橡胶等仅拆下，不进行拆解，交由有资质单位进行拆解或定期外售；拆解后一般固体废物的存储和处置应按照GB18599的规定执行；拆解后有毒有害的危险废物的存储和处置应按照GB18597的规定执行，危险废物应交由具有相应资质的单位进行处置。</w:t>
                  </w:r>
                </w:p>
              </w:tc>
              <w:tc>
                <w:tcPr>
                  <w:tcW w:w="1127" w:type="dxa"/>
                  <w:vAlign w:val="center"/>
                </w:tcPr>
                <w:p>
                  <w:pPr>
                    <w:jc w:val="center"/>
                    <w:rPr>
                      <w:color w:val="auto"/>
                      <w:szCs w:val="21"/>
                    </w:rPr>
                  </w:pPr>
                  <w:r>
                    <w:rPr>
                      <w:rFonts w:hint="eastAsia"/>
                      <w:color w:val="auto"/>
                      <w:szCs w:val="21"/>
                    </w:rPr>
                    <w:t>符合</w:t>
                  </w:r>
                </w:p>
              </w:tc>
            </w:tr>
          </w:tbl>
          <w:p>
            <w:pPr>
              <w:pStyle w:val="82"/>
              <w:rPr>
                <w:color w:val="auto"/>
              </w:rPr>
            </w:pPr>
            <w:r>
              <w:rPr>
                <w:rFonts w:hint="eastAsia"/>
                <w:color w:val="auto"/>
                <w:lang w:val="en-US" w:eastAsia="zh-CN"/>
              </w:rPr>
              <w:t>八</w:t>
            </w:r>
            <w:r>
              <w:rPr>
                <w:color w:val="auto"/>
              </w:rPr>
              <w:t>、与《黑龙江省重点行业挥发性有机物综合治理行动方案》符合性分析</w:t>
            </w:r>
          </w:p>
          <w:p>
            <w:pPr>
              <w:pStyle w:val="75"/>
              <w:rPr>
                <w:b/>
                <w:bCs/>
                <w:color w:val="auto"/>
              </w:rPr>
            </w:pPr>
            <w:r>
              <w:rPr>
                <w:color w:val="auto"/>
              </w:rPr>
              <w:t>根据《黑龙江省重点行业挥发性有机物综合治理行动方案》中要求，“使用的原辅材料VOCs含量（质量比）低于10%的工序，可不要求采取无组织排放收集措施”。</w:t>
            </w:r>
          </w:p>
          <w:p>
            <w:pPr>
              <w:pStyle w:val="75"/>
              <w:rPr>
                <w:color w:val="auto"/>
              </w:rPr>
            </w:pPr>
            <w:r>
              <w:rPr>
                <w:rFonts w:hint="eastAsia"/>
                <w:color w:val="auto"/>
              </w:rPr>
              <w:t>拆解工段设置1套集气罩+活性炭吸附装置，收集率80%，除尘效率60%，</w:t>
            </w:r>
            <w:r>
              <w:rPr>
                <w:rFonts w:hint="eastAsia"/>
                <w:color w:val="auto"/>
                <w:lang w:val="en-US" w:eastAsia="zh-CN"/>
              </w:rPr>
              <w:t>经过处理后的</w:t>
            </w:r>
            <w:r>
              <w:rPr>
                <w:color w:val="auto"/>
              </w:rPr>
              <w:t>非甲烷总烃以无组织形式排出室外。</w:t>
            </w:r>
            <w:r>
              <w:rPr>
                <w:rFonts w:hint="eastAsia"/>
                <w:color w:val="auto"/>
              </w:rPr>
              <w:t>危险废物采用密闭容器包装，控制挥发性有机气体的产生</w:t>
            </w:r>
            <w:r>
              <w:rPr>
                <w:rFonts w:hint="eastAsia"/>
                <w:color w:val="auto"/>
                <w:lang w:eastAsia="zh-CN"/>
              </w:rPr>
              <w:t>。</w:t>
            </w:r>
            <w:r>
              <w:rPr>
                <w:color w:val="auto"/>
              </w:rPr>
              <w:t>符合《黑龙江省重点行业挥发性有机物综合治理行动方案》的要求。</w:t>
            </w:r>
          </w:p>
        </w:tc>
      </w:tr>
    </w:tbl>
    <w:p>
      <w:pPr>
        <w:spacing w:line="360" w:lineRule="auto"/>
        <w:outlineLvl w:val="0"/>
        <w:rPr>
          <w:color w:val="auto"/>
          <w:sz w:val="30"/>
        </w:rPr>
        <w:sectPr>
          <w:footerReference r:id="rId4" w:type="default"/>
          <w:pgSz w:w="11906" w:h="16838"/>
          <w:pgMar w:top="1440" w:right="1800" w:bottom="1440" w:left="1800" w:header="851" w:footer="1077" w:gutter="0"/>
          <w:pgNumType w:start="1"/>
          <w:cols w:space="720" w:num="1"/>
          <w:docGrid w:linePitch="312" w:charSpace="0"/>
        </w:sectPr>
      </w:pPr>
    </w:p>
    <w:p>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4" w:name="_Toc16705"/>
      <w:r>
        <w:rPr>
          <w:rFonts w:ascii="Times New Roman" w:hAnsi="Times New Roman"/>
          <w:b/>
          <w:bCs/>
          <w:snapToGrid w:val="0"/>
          <w:color w:val="auto"/>
          <w:sz w:val="30"/>
          <w:szCs w:val="30"/>
        </w:rPr>
        <w:t>二、建设项目工程分析</w:t>
      </w:r>
      <w:bookmarkEnd w:id="4"/>
    </w:p>
    <w:tbl>
      <w:tblPr>
        <w:tblStyle w:val="20"/>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83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 w:type="dxa"/>
            <w:vAlign w:val="center"/>
          </w:tcPr>
          <w:p>
            <w:pPr>
              <w:jc w:val="center"/>
              <w:rPr>
                <w:b/>
                <w:bCs/>
                <w:color w:val="auto"/>
                <w:sz w:val="24"/>
              </w:rPr>
            </w:pPr>
            <w:r>
              <w:rPr>
                <w:b/>
                <w:bCs/>
                <w:color w:val="auto"/>
                <w:sz w:val="24"/>
              </w:rPr>
              <w:t>建</w:t>
            </w:r>
          </w:p>
          <w:p>
            <w:pPr>
              <w:jc w:val="center"/>
              <w:rPr>
                <w:b/>
                <w:bCs/>
                <w:color w:val="auto"/>
                <w:sz w:val="24"/>
              </w:rPr>
            </w:pPr>
            <w:r>
              <w:rPr>
                <w:b/>
                <w:bCs/>
                <w:color w:val="auto"/>
                <w:sz w:val="24"/>
              </w:rPr>
              <w:t>设</w:t>
            </w:r>
          </w:p>
          <w:p>
            <w:pPr>
              <w:jc w:val="center"/>
              <w:rPr>
                <w:b/>
                <w:bCs/>
                <w:color w:val="auto"/>
                <w:sz w:val="24"/>
              </w:rPr>
            </w:pPr>
            <w:r>
              <w:rPr>
                <w:b/>
                <w:bCs/>
                <w:color w:val="auto"/>
                <w:sz w:val="24"/>
              </w:rPr>
              <w:t>内</w:t>
            </w:r>
          </w:p>
          <w:p>
            <w:pPr>
              <w:jc w:val="center"/>
              <w:rPr>
                <w:color w:val="auto"/>
                <w:sz w:val="24"/>
              </w:rPr>
            </w:pPr>
            <w:r>
              <w:rPr>
                <w:b/>
                <w:bCs/>
                <w:color w:val="auto"/>
                <w:sz w:val="24"/>
              </w:rPr>
              <w:t>容</w:t>
            </w:r>
          </w:p>
        </w:tc>
        <w:tc>
          <w:tcPr>
            <w:tcW w:w="8004" w:type="dxa"/>
          </w:tcPr>
          <w:p>
            <w:pPr>
              <w:pStyle w:val="82"/>
              <w:rPr>
                <w:color w:val="auto"/>
              </w:rPr>
            </w:pPr>
            <w:r>
              <w:rPr>
                <w:color w:val="auto"/>
              </w:rPr>
              <w:t>一、建设项目概况</w:t>
            </w:r>
          </w:p>
          <w:p>
            <w:pPr>
              <w:pStyle w:val="82"/>
              <w:rPr>
                <w:color w:val="auto"/>
              </w:rPr>
            </w:pPr>
            <w:r>
              <w:rPr>
                <w:color w:val="auto"/>
              </w:rPr>
              <w:t>（一）建设规模</w:t>
            </w:r>
          </w:p>
          <w:p>
            <w:pPr>
              <w:pStyle w:val="75"/>
              <w:rPr>
                <w:color w:val="auto"/>
              </w:rPr>
            </w:pPr>
            <w:r>
              <w:rPr>
                <w:color w:val="auto"/>
              </w:rPr>
              <w:t>本项目利用租赁的场地及现有厂房进行建设，</w:t>
            </w:r>
            <w:r>
              <w:rPr>
                <w:rFonts w:hint="eastAsia"/>
                <w:color w:val="auto"/>
                <w:lang w:val="en-US" w:eastAsia="zh-CN"/>
              </w:rPr>
              <w:t>将厂区现有的敞开式建筑进行全封闭作为拆解车间。</w:t>
            </w:r>
            <w:r>
              <w:rPr>
                <w:color w:val="auto"/>
              </w:rPr>
              <w:t>新建一条年拆解</w:t>
            </w:r>
            <w:r>
              <w:rPr>
                <w:rFonts w:hint="eastAsia"/>
                <w:color w:val="auto"/>
                <w:lang w:val="en-US" w:eastAsia="zh-CN"/>
              </w:rPr>
              <w:t>10</w:t>
            </w:r>
            <w:r>
              <w:rPr>
                <w:color w:val="auto"/>
              </w:rPr>
              <w:t>00辆报废农业机械生产线。本项目总占地面积为</w:t>
            </w:r>
            <w:r>
              <w:rPr>
                <w:rFonts w:hint="eastAsia"/>
                <w:color w:val="auto"/>
                <w:lang w:val="en-US" w:eastAsia="zh-CN"/>
              </w:rPr>
              <w:t>3700</w:t>
            </w:r>
            <w:r>
              <w:rPr>
                <w:color w:val="auto"/>
              </w:rPr>
              <w:t>m</w:t>
            </w:r>
            <w:r>
              <w:rPr>
                <w:color w:val="auto"/>
                <w:vertAlign w:val="superscript"/>
              </w:rPr>
              <w:t>2</w:t>
            </w:r>
            <w:r>
              <w:rPr>
                <w:color w:val="auto"/>
              </w:rPr>
              <w:t>，总建筑面积为</w:t>
            </w:r>
            <w:r>
              <w:rPr>
                <w:rFonts w:hint="eastAsia"/>
                <w:color w:val="auto"/>
                <w:lang w:val="en-US" w:eastAsia="zh-CN"/>
              </w:rPr>
              <w:t>330</w:t>
            </w:r>
            <w:r>
              <w:rPr>
                <w:color w:val="auto"/>
              </w:rPr>
              <w:t>m</w:t>
            </w:r>
            <w:r>
              <w:rPr>
                <w:color w:val="auto"/>
                <w:vertAlign w:val="superscript"/>
              </w:rPr>
              <w:t>2</w:t>
            </w:r>
            <w:r>
              <w:rPr>
                <w:color w:val="auto"/>
              </w:rPr>
              <w:t>。厂区构筑物一览表见下表。</w:t>
            </w:r>
          </w:p>
          <w:p>
            <w:pPr>
              <w:pStyle w:val="76"/>
              <w:rPr>
                <w:color w:val="auto"/>
                <w:kern w:val="0"/>
                <w:szCs w:val="20"/>
              </w:rPr>
            </w:pPr>
            <w:r>
              <w:rPr>
                <w:color w:val="auto"/>
              </w:rPr>
              <w:t>表2-1 厂区构筑物一览表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21"/>
              <w:gridCol w:w="3049"/>
              <w:gridCol w:w="24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bookmarkStart w:id="5" w:name="_Hlk522001270"/>
                  <w:r>
                    <w:rPr>
                      <w:snapToGrid w:val="0"/>
                      <w:color w:val="auto"/>
                    </w:rPr>
                    <w:t>建构筑物名称</w:t>
                  </w:r>
                </w:p>
              </w:tc>
              <w:tc>
                <w:tcPr>
                  <w:tcW w:w="1865" w:type="pct"/>
                  <w:vAlign w:val="center"/>
                </w:tcPr>
                <w:p>
                  <w:pPr>
                    <w:adjustRightInd w:val="0"/>
                    <w:snapToGrid w:val="0"/>
                    <w:jc w:val="center"/>
                    <w:rPr>
                      <w:snapToGrid w:val="0"/>
                      <w:color w:val="auto"/>
                    </w:rPr>
                  </w:pPr>
                  <w:r>
                    <w:rPr>
                      <w:snapToGrid w:val="0"/>
                      <w:color w:val="auto"/>
                    </w:rPr>
                    <w:t>建筑面积（m</w:t>
                  </w:r>
                  <w:r>
                    <w:rPr>
                      <w:snapToGrid w:val="0"/>
                      <w:color w:val="auto"/>
                      <w:vertAlign w:val="superscript"/>
                    </w:rPr>
                    <w:t>2</w:t>
                  </w:r>
                  <w:r>
                    <w:rPr>
                      <w:snapToGrid w:val="0"/>
                      <w:color w:val="auto"/>
                    </w:rPr>
                    <w:t>）</w:t>
                  </w:r>
                </w:p>
              </w:tc>
              <w:tc>
                <w:tcPr>
                  <w:tcW w:w="1470" w:type="pct"/>
                  <w:vAlign w:val="center"/>
                </w:tcPr>
                <w:p>
                  <w:pPr>
                    <w:adjustRightInd w:val="0"/>
                    <w:snapToGrid w:val="0"/>
                    <w:jc w:val="center"/>
                    <w:rPr>
                      <w:snapToGrid w:val="0"/>
                      <w:color w:val="auto"/>
                    </w:rPr>
                  </w:pPr>
                  <w:r>
                    <w:rPr>
                      <w:snapToGrid w:val="0"/>
                      <w:color w:val="auto"/>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 w:hRule="atLeast"/>
              </w:trPr>
              <w:tc>
                <w:tcPr>
                  <w:tcW w:w="1664" w:type="pct"/>
                  <w:vAlign w:val="center"/>
                </w:tcPr>
                <w:p>
                  <w:pPr>
                    <w:adjustRightInd w:val="0"/>
                    <w:snapToGrid w:val="0"/>
                    <w:jc w:val="center"/>
                    <w:rPr>
                      <w:snapToGrid w:val="0"/>
                      <w:color w:val="auto"/>
                    </w:rPr>
                  </w:pPr>
                  <w:r>
                    <w:rPr>
                      <w:snapToGrid w:val="0"/>
                      <w:color w:val="auto"/>
                    </w:rPr>
                    <w:t>拆解车间</w:t>
                  </w:r>
                </w:p>
              </w:tc>
              <w:tc>
                <w:tcPr>
                  <w:tcW w:w="1865" w:type="pct"/>
                  <w:vAlign w:val="center"/>
                </w:tcPr>
                <w:p>
                  <w:pPr>
                    <w:adjustRightInd w:val="0"/>
                    <w:snapToGrid w:val="0"/>
                    <w:jc w:val="center"/>
                    <w:rPr>
                      <w:rFonts w:hint="default" w:eastAsia="宋体"/>
                      <w:snapToGrid w:val="0"/>
                      <w:color w:val="auto"/>
                      <w:lang w:val="en-US" w:eastAsia="zh-CN"/>
                    </w:rPr>
                  </w:pPr>
                  <w:r>
                    <w:rPr>
                      <w:rFonts w:hint="eastAsia" w:eastAsia="宋体"/>
                      <w:snapToGrid w:val="0"/>
                      <w:color w:val="auto"/>
                      <w:lang w:val="en-US" w:eastAsia="zh-CN"/>
                    </w:rPr>
                    <w:t>2</w:t>
                  </w:r>
                  <w:r>
                    <w:rPr>
                      <w:rFonts w:hint="eastAsia"/>
                      <w:snapToGrid w:val="0"/>
                      <w:color w:val="auto"/>
                      <w:lang w:val="en-US" w:eastAsia="zh-CN"/>
                    </w:rPr>
                    <w:t>30</w:t>
                  </w:r>
                </w:p>
              </w:tc>
              <w:tc>
                <w:tcPr>
                  <w:tcW w:w="1470" w:type="pct"/>
                  <w:vAlign w:val="center"/>
                </w:tcPr>
                <w:p>
                  <w:pPr>
                    <w:adjustRightInd w:val="0"/>
                    <w:snapToGrid w:val="0"/>
                    <w:jc w:val="center"/>
                    <w:rPr>
                      <w:b/>
                      <w:bCs/>
                      <w:snapToGrid w:val="0"/>
                      <w:color w:val="auto"/>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snapToGrid w:val="0"/>
                      <w:color w:val="auto"/>
                    </w:rPr>
                    <w:t>待拆车辆贮存场地</w:t>
                  </w:r>
                </w:p>
              </w:tc>
              <w:tc>
                <w:tcPr>
                  <w:tcW w:w="1865" w:type="pct"/>
                  <w:vAlign w:val="center"/>
                </w:tcPr>
                <w:p>
                  <w:pPr>
                    <w:adjustRightInd w:val="0"/>
                    <w:snapToGrid w:val="0"/>
                    <w:jc w:val="center"/>
                    <w:rPr>
                      <w:rFonts w:hint="default"/>
                      <w:snapToGrid w:val="0"/>
                      <w:color w:val="auto"/>
                      <w:lang w:val="en-US"/>
                    </w:rPr>
                  </w:pPr>
                  <w:r>
                    <w:rPr>
                      <w:rFonts w:hint="eastAsia"/>
                      <w:snapToGrid w:val="0"/>
                      <w:color w:val="auto"/>
                      <w:lang w:val="en-US" w:eastAsia="zh-CN"/>
                    </w:rPr>
                    <w:t>3370</w:t>
                  </w:r>
                </w:p>
              </w:tc>
              <w:tc>
                <w:tcPr>
                  <w:tcW w:w="1470" w:type="pct"/>
                </w:tcPr>
                <w:p>
                  <w:pPr>
                    <w:jc w:val="center"/>
                    <w:rPr>
                      <w:snapToGrid w:val="0"/>
                      <w:color w:val="auto"/>
                    </w:rPr>
                  </w:pPr>
                  <w:r>
                    <w:rPr>
                      <w:rFonts w:hint="eastAsia"/>
                      <w:snapToGrid w:val="0"/>
                      <w:color w:val="auto"/>
                    </w:rPr>
                    <w:t>露天存放，地面防渗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rFonts w:hint="eastAsia"/>
                      <w:snapToGrid w:val="0"/>
                      <w:color w:val="auto"/>
                    </w:rPr>
                    <w:t>农机拆除成品半成品及零件贮存库</w:t>
                  </w:r>
                </w:p>
              </w:tc>
              <w:tc>
                <w:tcPr>
                  <w:tcW w:w="1865" w:type="pct"/>
                  <w:vAlign w:val="center"/>
                </w:tcPr>
                <w:p>
                  <w:pPr>
                    <w:adjustRightInd w:val="0"/>
                    <w:snapToGrid w:val="0"/>
                    <w:jc w:val="center"/>
                    <w:rPr>
                      <w:snapToGrid w:val="0"/>
                      <w:color w:val="auto"/>
                    </w:rPr>
                  </w:pPr>
                  <w:r>
                    <w:rPr>
                      <w:rFonts w:hint="eastAsia"/>
                      <w:snapToGrid w:val="0"/>
                      <w:color w:val="auto"/>
                      <w:lang w:val="en-US" w:eastAsia="zh-CN"/>
                    </w:rPr>
                    <w:t>50</w:t>
                  </w:r>
                </w:p>
              </w:tc>
              <w:tc>
                <w:tcPr>
                  <w:tcW w:w="1470" w:type="pct"/>
                  <w:vAlign w:val="center"/>
                </w:tcPr>
                <w:p>
                  <w:pPr>
                    <w:jc w:val="center"/>
                    <w:rPr>
                      <w:snapToGrid w:val="0"/>
                      <w:color w:val="auto"/>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eastAsia="zh-CN"/>
                    </w:rPr>
                    <w:t>危险废物贮存库</w:t>
                  </w:r>
                </w:p>
              </w:tc>
              <w:tc>
                <w:tcPr>
                  <w:tcW w:w="1865" w:type="pct"/>
                  <w:vAlign w:val="center"/>
                </w:tcPr>
                <w:p>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5</w:t>
                  </w:r>
                  <w:r>
                    <w:rPr>
                      <w:rFonts w:hint="eastAsia" w:ascii="Times New Roman" w:hAnsi="Times New Roman" w:eastAsia="宋体" w:cs="Times New Roman"/>
                      <w:snapToGrid w:val="0"/>
                      <w:color w:val="auto"/>
                      <w:kern w:val="2"/>
                      <w:sz w:val="21"/>
                      <w:szCs w:val="24"/>
                      <w:lang w:val="en-US" w:eastAsia="zh-CN" w:bidi="ar-SA"/>
                    </w:rPr>
                    <w:t>0</w:t>
                  </w:r>
                </w:p>
              </w:tc>
              <w:tc>
                <w:tcPr>
                  <w:tcW w:w="1470" w:type="pct"/>
                  <w:vAlign w:val="top"/>
                </w:tcPr>
                <w:p>
                  <w:pPr>
                    <w:jc w:val="center"/>
                    <w:rPr>
                      <w:rFonts w:ascii="Times New Roman" w:hAnsi="Times New Roman" w:eastAsia="宋体" w:cs="Times New Roman"/>
                      <w:snapToGrid w:val="0"/>
                      <w:color w:val="auto"/>
                      <w:kern w:val="2"/>
                      <w:sz w:val="21"/>
                      <w:szCs w:val="24"/>
                      <w:lang w:val="en-US" w:eastAsia="zh-CN" w:bidi="ar-SA"/>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snapToGrid w:val="0"/>
                      <w:color w:val="auto"/>
                    </w:rPr>
                    <w:t>合计</w:t>
                  </w:r>
                </w:p>
              </w:tc>
              <w:tc>
                <w:tcPr>
                  <w:tcW w:w="1865" w:type="pct"/>
                  <w:vAlign w:val="center"/>
                </w:tcPr>
                <w:p>
                  <w:pPr>
                    <w:adjustRightInd w:val="0"/>
                    <w:snapToGrid w:val="0"/>
                    <w:jc w:val="center"/>
                    <w:rPr>
                      <w:rFonts w:hint="default" w:eastAsia="宋体"/>
                      <w:snapToGrid w:val="0"/>
                      <w:color w:val="auto"/>
                      <w:sz w:val="19"/>
                      <w:szCs w:val="22"/>
                      <w:lang w:val="en-US" w:eastAsia="zh-CN"/>
                    </w:rPr>
                  </w:pPr>
                  <w:r>
                    <w:rPr>
                      <w:rFonts w:hint="eastAsia"/>
                      <w:snapToGrid w:val="0"/>
                      <w:color w:val="auto"/>
                      <w:lang w:val="en-US" w:eastAsia="zh-CN"/>
                    </w:rPr>
                    <w:t>3700</w:t>
                  </w:r>
                </w:p>
              </w:tc>
              <w:tc>
                <w:tcPr>
                  <w:tcW w:w="1470" w:type="pct"/>
                  <w:vAlign w:val="center"/>
                </w:tcPr>
                <w:p>
                  <w:pPr>
                    <w:adjustRightInd w:val="0"/>
                    <w:snapToGrid w:val="0"/>
                    <w:jc w:val="center"/>
                    <w:rPr>
                      <w:snapToGrid w:val="0"/>
                      <w:color w:val="auto"/>
                    </w:rPr>
                  </w:pPr>
                  <w:r>
                    <w:rPr>
                      <w:snapToGrid w:val="0"/>
                      <w:color w:val="auto"/>
                    </w:rPr>
                    <w:t>/</w:t>
                  </w:r>
                </w:p>
              </w:tc>
            </w:tr>
            <w:bookmarkEnd w:id="5"/>
          </w:tbl>
          <w:p>
            <w:pPr>
              <w:pStyle w:val="82"/>
              <w:rPr>
                <w:color w:val="auto"/>
              </w:rPr>
            </w:pPr>
            <w:r>
              <w:rPr>
                <w:color w:val="auto"/>
              </w:rPr>
              <w:t>（二）建设内容</w:t>
            </w:r>
          </w:p>
          <w:p>
            <w:pPr>
              <w:pStyle w:val="75"/>
              <w:rPr>
                <w:color w:val="auto"/>
              </w:rPr>
            </w:pPr>
            <w:r>
              <w:rPr>
                <w:color w:val="auto"/>
              </w:rPr>
              <w:t>本项目主要包括主体工程、辅助工程、储运工程、公用工程、环保工程和依托工程。本项目建设内容只设拆解过程，不设置破碎过程，也无零件清洗及精细、翻新等步骤。</w:t>
            </w:r>
            <w:r>
              <w:rPr>
                <w:bCs/>
                <w:color w:val="auto"/>
              </w:rPr>
              <w:t>建设项目组成一览表见下表。</w:t>
            </w:r>
          </w:p>
          <w:p>
            <w:pPr>
              <w:pStyle w:val="76"/>
              <w:rPr>
                <w:color w:val="auto"/>
              </w:rPr>
            </w:pPr>
            <w:r>
              <w:rPr>
                <w:color w:val="auto"/>
              </w:rPr>
              <w:t>表2-2 项目组成一览表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958"/>
              <w:gridCol w:w="5583"/>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4" w:type="pct"/>
                  <w:gridSpan w:val="2"/>
                  <w:vAlign w:val="center"/>
                </w:tcPr>
                <w:p>
                  <w:pPr>
                    <w:pStyle w:val="49"/>
                    <w:rPr>
                      <w:color w:val="auto"/>
                      <w:szCs w:val="21"/>
                    </w:rPr>
                  </w:pPr>
                  <w:r>
                    <w:rPr>
                      <w:color w:val="auto"/>
                      <w:szCs w:val="21"/>
                    </w:rPr>
                    <w:t>项目类别</w:t>
                  </w:r>
                </w:p>
              </w:tc>
              <w:tc>
                <w:tcPr>
                  <w:tcW w:w="3414" w:type="pct"/>
                  <w:vAlign w:val="center"/>
                </w:tcPr>
                <w:p>
                  <w:pPr>
                    <w:pStyle w:val="49"/>
                    <w:rPr>
                      <w:color w:val="auto"/>
                      <w:szCs w:val="21"/>
                    </w:rPr>
                  </w:pPr>
                  <w:r>
                    <w:rPr>
                      <w:color w:val="auto"/>
                      <w:szCs w:val="21"/>
                    </w:rPr>
                    <w:t>建设内容</w:t>
                  </w:r>
                </w:p>
              </w:tc>
              <w:tc>
                <w:tcPr>
                  <w:tcW w:w="590" w:type="pct"/>
                  <w:vAlign w:val="center"/>
                </w:tcPr>
                <w:p>
                  <w:pPr>
                    <w:pStyle w:val="49"/>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8" w:type="pct"/>
                  <w:vAlign w:val="center"/>
                </w:tcPr>
                <w:p>
                  <w:pPr>
                    <w:pStyle w:val="49"/>
                    <w:rPr>
                      <w:color w:val="auto"/>
                      <w:szCs w:val="21"/>
                    </w:rPr>
                  </w:pPr>
                  <w:r>
                    <w:rPr>
                      <w:color w:val="auto"/>
                      <w:szCs w:val="21"/>
                    </w:rPr>
                    <w:t>主体工程</w:t>
                  </w:r>
                </w:p>
              </w:tc>
              <w:tc>
                <w:tcPr>
                  <w:tcW w:w="586" w:type="pct"/>
                  <w:vAlign w:val="center"/>
                </w:tcPr>
                <w:p>
                  <w:pPr>
                    <w:pStyle w:val="49"/>
                    <w:rPr>
                      <w:color w:val="auto"/>
                      <w:szCs w:val="21"/>
                    </w:rPr>
                  </w:pPr>
                  <w:r>
                    <w:rPr>
                      <w:color w:val="auto"/>
                      <w:szCs w:val="21"/>
                    </w:rPr>
                    <w:t>拆解</w:t>
                  </w:r>
                </w:p>
                <w:p>
                  <w:pPr>
                    <w:pStyle w:val="49"/>
                    <w:rPr>
                      <w:color w:val="auto"/>
                      <w:szCs w:val="21"/>
                    </w:rPr>
                  </w:pPr>
                  <w:r>
                    <w:rPr>
                      <w:color w:val="auto"/>
                      <w:szCs w:val="21"/>
                    </w:rPr>
                    <w:t>车间</w:t>
                  </w:r>
                </w:p>
              </w:tc>
              <w:tc>
                <w:tcPr>
                  <w:tcW w:w="3414" w:type="pct"/>
                  <w:vAlign w:val="center"/>
                </w:tcPr>
                <w:p>
                  <w:pPr>
                    <w:pStyle w:val="49"/>
                    <w:jc w:val="both"/>
                    <w:rPr>
                      <w:color w:val="auto"/>
                      <w:szCs w:val="21"/>
                    </w:rPr>
                  </w:pPr>
                  <w:r>
                    <w:rPr>
                      <w:color w:val="auto"/>
                      <w:szCs w:val="21"/>
                    </w:rPr>
                    <w:t>建筑面积为</w:t>
                  </w:r>
                  <w:r>
                    <w:rPr>
                      <w:rFonts w:hint="eastAsia"/>
                      <w:color w:val="auto"/>
                      <w:szCs w:val="21"/>
                      <w:lang w:val="en-US" w:eastAsia="zh-CN"/>
                    </w:rPr>
                    <w:t>2000</w:t>
                  </w:r>
                  <w:r>
                    <w:rPr>
                      <w:color w:val="auto"/>
                      <w:szCs w:val="21"/>
                    </w:rPr>
                    <w:t>m</w:t>
                  </w:r>
                  <w:r>
                    <w:rPr>
                      <w:color w:val="auto"/>
                      <w:szCs w:val="21"/>
                      <w:vertAlign w:val="superscript"/>
                    </w:rPr>
                    <w:t>2</w:t>
                  </w:r>
                  <w:r>
                    <w:rPr>
                      <w:color w:val="auto"/>
                      <w:szCs w:val="21"/>
                    </w:rPr>
                    <w:t>，全封闭。新建一条年拆解</w:t>
                  </w:r>
                  <w:r>
                    <w:rPr>
                      <w:rFonts w:hint="eastAsia"/>
                      <w:color w:val="auto"/>
                      <w:szCs w:val="21"/>
                      <w:lang w:val="en-US" w:eastAsia="zh-CN"/>
                    </w:rPr>
                    <w:t>1000辆</w:t>
                  </w:r>
                  <w:r>
                    <w:rPr>
                      <w:color w:val="auto"/>
                      <w:szCs w:val="21"/>
                    </w:rPr>
                    <w:t>报废农业机械生产线。内设置油液油排设备、等离子切割机等设备。</w:t>
                  </w:r>
                </w:p>
              </w:tc>
              <w:tc>
                <w:tcPr>
                  <w:tcW w:w="590" w:type="pct"/>
                  <w:vAlign w:val="center"/>
                </w:tcPr>
                <w:p>
                  <w:pPr>
                    <w:pStyle w:val="49"/>
                    <w:rPr>
                      <w:color w:val="auto"/>
                      <w:szCs w:val="21"/>
                    </w:rPr>
                  </w:pPr>
                  <w:r>
                    <w:rPr>
                      <w:rFonts w:hint="eastAsia"/>
                      <w:snapToGrid w:val="0"/>
                      <w:color w:val="auto"/>
                    </w:rPr>
                    <w:t>现有的敞开式建筑进行全封闭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08" w:type="pct"/>
                  <w:vMerge w:val="restart"/>
                  <w:vAlign w:val="center"/>
                </w:tcPr>
                <w:p>
                  <w:pPr>
                    <w:pStyle w:val="49"/>
                    <w:rPr>
                      <w:color w:val="auto"/>
                      <w:szCs w:val="21"/>
                    </w:rPr>
                  </w:pPr>
                  <w:r>
                    <w:rPr>
                      <w:color w:val="auto"/>
                      <w:szCs w:val="21"/>
                    </w:rPr>
                    <w:t>储运工程</w:t>
                  </w:r>
                </w:p>
              </w:tc>
              <w:tc>
                <w:tcPr>
                  <w:tcW w:w="586" w:type="pct"/>
                  <w:vAlign w:val="center"/>
                </w:tcPr>
                <w:p>
                  <w:pPr>
                    <w:pStyle w:val="49"/>
                    <w:rPr>
                      <w:color w:val="auto"/>
                      <w:szCs w:val="21"/>
                    </w:rPr>
                  </w:pPr>
                  <w:r>
                    <w:rPr>
                      <w:snapToGrid w:val="0"/>
                      <w:color w:val="auto"/>
                    </w:rPr>
                    <w:t>待拆车辆贮存场地</w:t>
                  </w:r>
                </w:p>
              </w:tc>
              <w:tc>
                <w:tcPr>
                  <w:tcW w:w="3414" w:type="pct"/>
                  <w:vAlign w:val="center"/>
                </w:tcPr>
                <w:p>
                  <w:pPr>
                    <w:pStyle w:val="49"/>
                    <w:jc w:val="both"/>
                    <w:rPr>
                      <w:color w:val="auto"/>
                      <w:szCs w:val="21"/>
                    </w:rPr>
                  </w:pPr>
                  <w:r>
                    <w:rPr>
                      <w:color w:val="auto"/>
                      <w:szCs w:val="21"/>
                    </w:rPr>
                    <w:t>占地面积为</w:t>
                  </w:r>
                  <w:r>
                    <w:rPr>
                      <w:rFonts w:hint="eastAsia"/>
                      <w:color w:val="auto"/>
                      <w:szCs w:val="21"/>
                      <w:lang w:val="en-US" w:eastAsia="zh-CN"/>
                    </w:rPr>
                    <w:t>3370</w:t>
                  </w:r>
                  <w:r>
                    <w:rPr>
                      <w:color w:val="auto"/>
                      <w:szCs w:val="21"/>
                    </w:rPr>
                    <w:t>m</w:t>
                  </w:r>
                  <w:r>
                    <w:rPr>
                      <w:color w:val="auto"/>
                      <w:szCs w:val="21"/>
                      <w:vertAlign w:val="superscript"/>
                    </w:rPr>
                    <w:t>2</w:t>
                  </w:r>
                  <w:r>
                    <w:rPr>
                      <w:color w:val="auto"/>
                      <w:szCs w:val="21"/>
                    </w:rPr>
                    <w:t>，用于存放待拆解报废车辆，堆放方式为露天形式，地面进行硬化防渗。</w:t>
                  </w:r>
                </w:p>
              </w:tc>
              <w:tc>
                <w:tcPr>
                  <w:tcW w:w="590" w:type="pct"/>
                  <w:vAlign w:val="center"/>
                </w:tcPr>
                <w:p>
                  <w:pPr>
                    <w:pStyle w:val="49"/>
                    <w:rPr>
                      <w:rFonts w:hint="eastAsia" w:eastAsia="宋体"/>
                      <w:color w:val="auto"/>
                      <w:szCs w:val="21"/>
                      <w:lang w:val="en-US" w:eastAsia="zh-CN"/>
                    </w:rPr>
                  </w:pPr>
                  <w:r>
                    <w:rPr>
                      <w:rFonts w:hint="eastAsia"/>
                      <w:color w:val="auto"/>
                      <w:lang w:val="en-US" w:eastAsia="zh-CN"/>
                    </w:rPr>
                    <w:t>依托</w:t>
                  </w:r>
                  <w:r>
                    <w:rPr>
                      <w:color w:val="auto"/>
                    </w:rPr>
                    <w:t>现有</w:t>
                  </w:r>
                  <w:r>
                    <w:rPr>
                      <w:rFonts w:hint="eastAsia"/>
                      <w:color w:val="auto"/>
                      <w:lang w:val="en-US" w:eastAsia="zh-CN"/>
                    </w:rPr>
                    <w:t>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rFonts w:hint="eastAsia"/>
                      <w:color w:val="auto"/>
                      <w:szCs w:val="21"/>
                    </w:rPr>
                    <w:t>农机拆除成品半成品及零件贮存库</w:t>
                  </w:r>
                </w:p>
              </w:tc>
              <w:tc>
                <w:tcPr>
                  <w:tcW w:w="3414" w:type="pct"/>
                  <w:vAlign w:val="center"/>
                </w:tcPr>
                <w:p>
                  <w:pPr>
                    <w:pStyle w:val="49"/>
                    <w:jc w:val="both"/>
                    <w:rPr>
                      <w:snapToGrid w:val="0"/>
                      <w:color w:val="auto"/>
                    </w:rPr>
                  </w:pPr>
                  <w:r>
                    <w:rPr>
                      <w:color w:val="auto"/>
                      <w:szCs w:val="21"/>
                    </w:rPr>
                    <w:t>建筑面积</w:t>
                  </w:r>
                  <w:r>
                    <w:rPr>
                      <w:rFonts w:hint="eastAsia"/>
                      <w:color w:val="auto"/>
                      <w:szCs w:val="21"/>
                      <w:lang w:val="en-US" w:eastAsia="zh-CN"/>
                    </w:rPr>
                    <w:t>5</w:t>
                  </w:r>
                  <w:r>
                    <w:rPr>
                      <w:color w:val="auto"/>
                      <w:szCs w:val="21"/>
                    </w:rPr>
                    <w:t>0m</w:t>
                  </w:r>
                  <w:r>
                    <w:rPr>
                      <w:color w:val="auto"/>
                      <w:szCs w:val="21"/>
                      <w:vertAlign w:val="superscript"/>
                    </w:rPr>
                    <w:t>2</w:t>
                  </w:r>
                  <w:r>
                    <w:rPr>
                      <w:color w:val="auto"/>
                      <w:szCs w:val="21"/>
                    </w:rPr>
                    <w:t>，全封闭</w:t>
                  </w:r>
                  <w:r>
                    <w:rPr>
                      <w:snapToGrid w:val="0"/>
                      <w:color w:val="auto"/>
                    </w:rPr>
                    <w:t>。</w:t>
                  </w:r>
                  <w:r>
                    <w:rPr>
                      <w:color w:val="auto"/>
                      <w:szCs w:val="21"/>
                    </w:rPr>
                    <w:t>用于储存拆解产品与一般固体废物。本项目</w:t>
                  </w:r>
                  <w:r>
                    <w:rPr>
                      <w:rFonts w:hint="eastAsia"/>
                      <w:color w:val="auto"/>
                      <w:szCs w:val="21"/>
                      <w:lang w:val="en-US" w:eastAsia="zh-CN"/>
                    </w:rPr>
                    <w:t>拆解产品</w:t>
                  </w:r>
                  <w:r>
                    <w:rPr>
                      <w:color w:val="auto"/>
                      <w:szCs w:val="21"/>
                    </w:rPr>
                    <w:t>定期拉运出场外售，</w:t>
                  </w:r>
                  <w:r>
                    <w:rPr>
                      <w:rFonts w:hint="eastAsia"/>
                      <w:color w:val="auto"/>
                      <w:szCs w:val="21"/>
                      <w:lang w:val="en-US" w:eastAsia="zh-CN"/>
                    </w:rPr>
                    <w:t>一般固体废物定期外售综合利用或交由市政部门统一清运，均</w:t>
                  </w:r>
                  <w:r>
                    <w:rPr>
                      <w:color w:val="auto"/>
                      <w:szCs w:val="21"/>
                    </w:rPr>
                    <w:t>不做长期储存。</w:t>
                  </w:r>
                </w:p>
              </w:tc>
              <w:tc>
                <w:tcPr>
                  <w:tcW w:w="590" w:type="pct"/>
                  <w:vAlign w:val="center"/>
                </w:tcPr>
                <w:p>
                  <w:pPr>
                    <w:pStyle w:val="49"/>
                    <w:rPr>
                      <w:color w:val="auto"/>
                      <w:szCs w:val="21"/>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408" w:type="pct"/>
                  <w:vMerge w:val="continue"/>
                  <w:vAlign w:val="center"/>
                </w:tcPr>
                <w:p>
                  <w:pPr>
                    <w:pStyle w:val="49"/>
                    <w:rPr>
                      <w:color w:val="auto"/>
                      <w:szCs w:val="21"/>
                    </w:rPr>
                  </w:pPr>
                </w:p>
              </w:tc>
              <w:tc>
                <w:tcPr>
                  <w:tcW w:w="586" w:type="pct"/>
                  <w:vAlign w:val="center"/>
                </w:tcPr>
                <w:p>
                  <w:pPr>
                    <w:pStyle w:val="49"/>
                    <w:rPr>
                      <w:rFonts w:hint="eastAsia" w:eastAsia="宋体"/>
                      <w:color w:val="auto"/>
                      <w:szCs w:val="21"/>
                      <w:lang w:eastAsia="zh-CN"/>
                    </w:rPr>
                  </w:pPr>
                  <w:r>
                    <w:rPr>
                      <w:rFonts w:hint="eastAsia"/>
                      <w:color w:val="auto"/>
                      <w:szCs w:val="21"/>
                      <w:lang w:eastAsia="zh-CN"/>
                    </w:rPr>
                    <w:t>危险废物贮存库</w:t>
                  </w:r>
                </w:p>
              </w:tc>
              <w:tc>
                <w:tcPr>
                  <w:tcW w:w="3414" w:type="pct"/>
                  <w:vAlign w:val="center"/>
                </w:tcPr>
                <w:p>
                  <w:pPr>
                    <w:pStyle w:val="49"/>
                    <w:jc w:val="both"/>
                    <w:rPr>
                      <w:bCs/>
                      <w:color w:val="auto"/>
                      <w:szCs w:val="21"/>
                    </w:rPr>
                  </w:pPr>
                  <w:r>
                    <w:rPr>
                      <w:bCs/>
                      <w:color w:val="auto"/>
                      <w:szCs w:val="21"/>
                    </w:rPr>
                    <w:t>位于</w:t>
                  </w:r>
                  <w:r>
                    <w:rPr>
                      <w:rFonts w:hint="eastAsia"/>
                      <w:bCs/>
                      <w:color w:val="auto"/>
                      <w:szCs w:val="21"/>
                      <w:lang w:val="en-US" w:eastAsia="zh-CN"/>
                    </w:rPr>
                    <w:t>拆解车间东侧</w:t>
                  </w:r>
                  <w:r>
                    <w:rPr>
                      <w:bCs/>
                      <w:color w:val="auto"/>
                      <w:szCs w:val="21"/>
                    </w:rPr>
                    <w:t>，面积为</w:t>
                  </w:r>
                  <w:r>
                    <w:rPr>
                      <w:rFonts w:hint="eastAsia"/>
                      <w:bCs/>
                      <w:color w:val="auto"/>
                      <w:szCs w:val="21"/>
                      <w:lang w:val="en-US" w:eastAsia="zh-CN"/>
                    </w:rPr>
                    <w:t>50</w:t>
                  </w:r>
                  <w:r>
                    <w:rPr>
                      <w:bCs/>
                      <w:color w:val="auto"/>
                      <w:szCs w:val="21"/>
                    </w:rPr>
                    <w:t>m</w:t>
                  </w:r>
                  <w:r>
                    <w:rPr>
                      <w:bCs/>
                      <w:color w:val="auto"/>
                      <w:szCs w:val="21"/>
                      <w:vertAlign w:val="superscript"/>
                    </w:rPr>
                    <w:t>2</w:t>
                  </w:r>
                  <w:r>
                    <w:rPr>
                      <w:bCs/>
                      <w:color w:val="auto"/>
                      <w:szCs w:val="21"/>
                    </w:rPr>
                    <w:t>，全封闭，用于暂存生产过程中产生的危险废物。建设严格按照</w:t>
                  </w:r>
                  <w:r>
                    <w:rPr>
                      <w:rFonts w:hint="eastAsia"/>
                      <w:bCs/>
                      <w:color w:val="auto"/>
                      <w:szCs w:val="21"/>
                      <w:lang w:eastAsia="zh-CN"/>
                    </w:rPr>
                    <w:t>《危险废物贮存污染控制标准》（GB18597-2023）</w:t>
                  </w:r>
                  <w:r>
                    <w:rPr>
                      <w:bCs/>
                      <w:color w:val="auto"/>
                      <w:szCs w:val="21"/>
                    </w:rPr>
                    <w:t>中相关规定进行设置，地面防渗、</w:t>
                  </w:r>
                  <w:r>
                    <w:rPr>
                      <w:rFonts w:hint="eastAsia"/>
                      <w:bCs/>
                      <w:color w:val="auto"/>
                      <w:szCs w:val="21"/>
                      <w:lang w:eastAsia="zh-CN"/>
                    </w:rPr>
                    <w:t>裙脚</w:t>
                  </w:r>
                  <w:r>
                    <w:rPr>
                      <w:bCs/>
                      <w:color w:val="auto"/>
                      <w:szCs w:val="21"/>
                    </w:rPr>
                    <w:t>防渗，防渗层为至少1米厚粘土层（渗透系数≤10</w:t>
                  </w:r>
                  <w:r>
                    <w:rPr>
                      <w:bCs/>
                      <w:color w:val="auto"/>
                      <w:szCs w:val="21"/>
                      <w:vertAlign w:val="superscript"/>
                    </w:rPr>
                    <w:t>-7</w:t>
                  </w:r>
                  <w:r>
                    <w:rPr>
                      <w:bCs/>
                      <w:color w:val="auto"/>
                      <w:szCs w:val="21"/>
                    </w:rPr>
                    <w:t>cm/s），或2mm厚高密度聚乙烯</w:t>
                  </w:r>
                  <w:r>
                    <w:rPr>
                      <w:rFonts w:hint="eastAsia"/>
                      <w:bCs/>
                      <w:color w:val="auto"/>
                      <w:szCs w:val="21"/>
                    </w:rPr>
                    <w:t>膜等人工防渗材料</w:t>
                  </w:r>
                  <w:r>
                    <w:rPr>
                      <w:rFonts w:hint="eastAsia"/>
                      <w:bCs/>
                      <w:color w:val="auto"/>
                      <w:szCs w:val="21"/>
                      <w:lang w:eastAsia="zh-CN"/>
                    </w:rPr>
                    <w:t>（</w:t>
                  </w:r>
                  <w:r>
                    <w:rPr>
                      <w:bCs/>
                      <w:color w:val="auto"/>
                      <w:szCs w:val="21"/>
                    </w:rPr>
                    <w:t>渗透系数≤10</w:t>
                  </w:r>
                  <w:r>
                    <w:rPr>
                      <w:bCs/>
                      <w:color w:val="auto"/>
                      <w:szCs w:val="21"/>
                      <w:vertAlign w:val="superscript"/>
                    </w:rPr>
                    <w:t>-10</w:t>
                  </w:r>
                  <w:r>
                    <w:rPr>
                      <w:bCs/>
                      <w:color w:val="auto"/>
                      <w:szCs w:val="21"/>
                    </w:rPr>
                    <w:t>cm/s</w:t>
                  </w:r>
                  <w:r>
                    <w:rPr>
                      <w:rFonts w:hint="eastAsia"/>
                      <w:bCs/>
                      <w:color w:val="auto"/>
                      <w:szCs w:val="21"/>
                      <w:lang w:eastAsia="zh-CN"/>
                    </w:rPr>
                    <w:t>）</w:t>
                  </w:r>
                  <w:r>
                    <w:rPr>
                      <w:bCs/>
                      <w:color w:val="auto"/>
                      <w:szCs w:val="21"/>
                    </w:rPr>
                    <w:t>。</w:t>
                  </w:r>
                  <w:r>
                    <w:rPr>
                      <w:rFonts w:hint="eastAsia"/>
                      <w:bCs/>
                      <w:color w:val="auto"/>
                      <w:szCs w:val="21"/>
                      <w:lang w:eastAsia="zh-CN"/>
                    </w:rPr>
                    <w:t>危险废物贮存库</w:t>
                  </w:r>
                  <w:r>
                    <w:rPr>
                      <w:rFonts w:hint="eastAsia"/>
                      <w:bCs/>
                      <w:color w:val="auto"/>
                      <w:szCs w:val="21"/>
                    </w:rPr>
                    <w:t>内设置泄漏液体收集装置等。危险废物采用密闭容器包装，控制挥发性有机气体的产生。</w:t>
                  </w:r>
                </w:p>
              </w:tc>
              <w:tc>
                <w:tcPr>
                  <w:tcW w:w="590" w:type="pct"/>
                  <w:vAlign w:val="center"/>
                </w:tcPr>
                <w:p>
                  <w:pPr>
                    <w:pStyle w:val="49"/>
                    <w:rPr>
                      <w:color w:val="auto"/>
                      <w:szCs w:val="21"/>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restart"/>
                  <w:vAlign w:val="center"/>
                </w:tcPr>
                <w:p>
                  <w:pPr>
                    <w:pStyle w:val="49"/>
                    <w:rPr>
                      <w:color w:val="auto"/>
                      <w:szCs w:val="21"/>
                    </w:rPr>
                  </w:pPr>
                  <w:r>
                    <w:rPr>
                      <w:color w:val="auto"/>
                      <w:szCs w:val="21"/>
                    </w:rPr>
                    <w:t>公用工程</w:t>
                  </w:r>
                </w:p>
              </w:tc>
              <w:tc>
                <w:tcPr>
                  <w:tcW w:w="586" w:type="pct"/>
                  <w:vAlign w:val="center"/>
                </w:tcPr>
                <w:p>
                  <w:pPr>
                    <w:pStyle w:val="49"/>
                    <w:rPr>
                      <w:color w:val="auto"/>
                      <w:szCs w:val="21"/>
                    </w:rPr>
                  </w:pPr>
                  <w:r>
                    <w:rPr>
                      <w:color w:val="auto"/>
                      <w:szCs w:val="21"/>
                    </w:rPr>
                    <w:t>给水</w:t>
                  </w:r>
                </w:p>
              </w:tc>
              <w:tc>
                <w:tcPr>
                  <w:tcW w:w="3414" w:type="pct"/>
                  <w:vAlign w:val="center"/>
                </w:tcPr>
                <w:p>
                  <w:pPr>
                    <w:pStyle w:val="49"/>
                    <w:jc w:val="both"/>
                    <w:rPr>
                      <w:color w:val="auto"/>
                      <w:szCs w:val="21"/>
                    </w:rPr>
                  </w:pPr>
                  <w:r>
                    <w:rPr>
                      <w:color w:val="auto"/>
                      <w:szCs w:val="21"/>
                    </w:rPr>
                    <w:t>由</w:t>
                  </w:r>
                  <w:r>
                    <w:rPr>
                      <w:rFonts w:hint="eastAsia"/>
                      <w:color w:val="auto"/>
                      <w:szCs w:val="21"/>
                      <w:lang w:val="en-US" w:eastAsia="zh-CN"/>
                    </w:rPr>
                    <w:t>市政</w:t>
                  </w:r>
                  <w:r>
                    <w:rPr>
                      <w:color w:val="auto"/>
                      <w:szCs w:val="21"/>
                    </w:rPr>
                    <w:t>供</w:t>
                  </w:r>
                  <w:r>
                    <w:rPr>
                      <w:rFonts w:hint="eastAsia"/>
                      <w:color w:val="auto"/>
                      <w:szCs w:val="21"/>
                      <w:lang w:val="en-US" w:eastAsia="zh-CN"/>
                    </w:rPr>
                    <w:t>水</w:t>
                  </w:r>
                  <w:r>
                    <w:rPr>
                      <w:color w:val="auto"/>
                      <w:szCs w:val="21"/>
                    </w:rPr>
                    <w:t>。</w:t>
                  </w:r>
                </w:p>
              </w:tc>
              <w:tc>
                <w:tcPr>
                  <w:tcW w:w="590" w:type="pct"/>
                  <w:vAlign w:val="center"/>
                </w:tcPr>
                <w:p>
                  <w:pPr>
                    <w:pStyle w:val="49"/>
                    <w:rPr>
                      <w:color w:val="auto"/>
                      <w:szCs w:val="21"/>
                    </w:rPr>
                  </w:pPr>
                  <w:r>
                    <w:rPr>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排水</w:t>
                  </w:r>
                </w:p>
              </w:tc>
              <w:tc>
                <w:tcPr>
                  <w:tcW w:w="3414" w:type="pct"/>
                  <w:vAlign w:val="center"/>
                </w:tcPr>
                <w:p>
                  <w:pPr>
                    <w:pStyle w:val="49"/>
                    <w:jc w:val="both"/>
                    <w:rPr>
                      <w:color w:val="auto"/>
                      <w:szCs w:val="21"/>
                    </w:rPr>
                  </w:pPr>
                  <w:r>
                    <w:rPr>
                      <w:color w:val="auto"/>
                    </w:rPr>
                    <w:t>本项目</w:t>
                  </w:r>
                  <w:r>
                    <w:rPr>
                      <w:rFonts w:hint="eastAsia"/>
                      <w:color w:val="auto"/>
                    </w:rPr>
                    <w:t>不进行拆解车间地面清洗，因此本项目</w:t>
                  </w:r>
                  <w:r>
                    <w:rPr>
                      <w:color w:val="auto"/>
                    </w:rPr>
                    <w:t>无拆解车间地面冲洗废水产生</w:t>
                  </w:r>
                  <w:r>
                    <w:rPr>
                      <w:color w:val="auto"/>
                      <w:szCs w:val="21"/>
                    </w:rPr>
                    <w:t>，主要为生活污水和待拆车辆存放区初期雨水。</w:t>
                  </w:r>
                </w:p>
                <w:p>
                  <w:pPr>
                    <w:pStyle w:val="49"/>
                    <w:jc w:val="both"/>
                    <w:rPr>
                      <w:color w:val="auto"/>
                      <w:szCs w:val="21"/>
                    </w:rPr>
                  </w:pPr>
                  <w:r>
                    <w:rPr>
                      <w:rFonts w:hint="eastAsia" w:ascii="宋体" w:hAnsi="宋体" w:cs="宋体"/>
                      <w:color w:val="auto"/>
                      <w:szCs w:val="21"/>
                    </w:rPr>
                    <w:t>①</w:t>
                  </w:r>
                  <w:r>
                    <w:rPr>
                      <w:color w:val="auto"/>
                      <w:szCs w:val="21"/>
                    </w:rPr>
                    <w:t>本项目生活污水排入</w:t>
                  </w:r>
                  <w:r>
                    <w:rPr>
                      <w:rFonts w:hint="eastAsia"/>
                      <w:color w:val="auto"/>
                      <w:szCs w:val="21"/>
                      <w:lang w:val="en-US" w:eastAsia="zh-CN"/>
                    </w:rPr>
                    <w:t>市政管网</w:t>
                  </w:r>
                  <w:r>
                    <w:rPr>
                      <w:color w:val="auto"/>
                      <w:szCs w:val="21"/>
                    </w:rPr>
                    <w:t>。</w:t>
                  </w:r>
                </w:p>
                <w:p>
                  <w:pPr>
                    <w:pStyle w:val="49"/>
                    <w:jc w:val="both"/>
                    <w:rPr>
                      <w:rFonts w:hint="default" w:eastAsia="宋体"/>
                      <w:b/>
                      <w:bCs/>
                      <w:color w:val="auto"/>
                      <w:szCs w:val="21"/>
                      <w:lang w:val="en-US" w:eastAsia="zh-CN"/>
                    </w:rPr>
                  </w:pPr>
                  <w:r>
                    <w:rPr>
                      <w:rFonts w:hint="eastAsia" w:ascii="宋体" w:hAnsi="宋体" w:cs="宋体"/>
                      <w:color w:val="auto"/>
                      <w:szCs w:val="21"/>
                      <w:lang w:eastAsia="ja-JP"/>
                    </w:rPr>
                    <w:t>②</w:t>
                  </w:r>
                  <w:r>
                    <w:rPr>
                      <w:rFonts w:hint="eastAsia" w:ascii="宋体" w:hAnsi="宋体" w:cs="宋体"/>
                      <w:color w:val="auto"/>
                      <w:szCs w:val="21"/>
                    </w:rPr>
                    <w:t>初期雨水</w:t>
                  </w:r>
                  <w:r>
                    <w:rPr>
                      <w:color w:val="auto"/>
                    </w:rPr>
                    <w:t>经待拆车辆存放区四周排水沟汇入厂区一座</w:t>
                  </w:r>
                  <w:r>
                    <w:rPr>
                      <w:rFonts w:hint="eastAsia"/>
                      <w:color w:val="auto"/>
                      <w:lang w:val="en-US" w:eastAsia="zh-CN"/>
                    </w:rPr>
                    <w:t>6</w:t>
                  </w:r>
                  <w:r>
                    <w:rPr>
                      <w:color w:val="auto"/>
                    </w:rPr>
                    <w:t>0m</w:t>
                  </w:r>
                  <w:r>
                    <w:rPr>
                      <w:color w:val="auto"/>
                      <w:vertAlign w:val="superscript"/>
                    </w:rPr>
                    <w:t>3</w:t>
                  </w:r>
                  <w:r>
                    <w:rPr>
                      <w:color w:val="auto"/>
                    </w:rPr>
                    <w:t>初期雨水收集池内，经油水分离器隔油处理</w:t>
                  </w:r>
                  <w:r>
                    <w:rPr>
                      <w:rFonts w:hint="eastAsia"/>
                      <w:color w:val="auto"/>
                      <w:lang w:val="en-US" w:eastAsia="zh-CN"/>
                    </w:rPr>
                    <w:t>用于厂区洒扫降尘</w:t>
                  </w:r>
                  <w:r>
                    <w:rPr>
                      <w:color w:val="auto"/>
                    </w:rPr>
                    <w:t>。</w:t>
                  </w:r>
                </w:p>
              </w:tc>
              <w:tc>
                <w:tcPr>
                  <w:tcW w:w="590" w:type="pct"/>
                  <w:vAlign w:val="center"/>
                </w:tcPr>
                <w:p>
                  <w:pPr>
                    <w:pStyle w:val="49"/>
                    <w:rPr>
                      <w:rFonts w:hint="eastAsia" w:eastAsia="宋体"/>
                      <w:color w:val="auto"/>
                      <w:szCs w:val="21"/>
                      <w:lang w:eastAsia="zh-CN"/>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供电</w:t>
                  </w:r>
                </w:p>
              </w:tc>
              <w:tc>
                <w:tcPr>
                  <w:tcW w:w="3414" w:type="pct"/>
                  <w:vAlign w:val="center"/>
                </w:tcPr>
                <w:p>
                  <w:pPr>
                    <w:pStyle w:val="49"/>
                    <w:jc w:val="left"/>
                    <w:rPr>
                      <w:color w:val="auto"/>
                      <w:szCs w:val="21"/>
                    </w:rPr>
                  </w:pPr>
                  <w:r>
                    <w:rPr>
                      <w:color w:val="auto"/>
                      <w:szCs w:val="21"/>
                    </w:rPr>
                    <w:t>本项目由市政电网提供。</w:t>
                  </w:r>
                </w:p>
              </w:tc>
              <w:tc>
                <w:tcPr>
                  <w:tcW w:w="590" w:type="pct"/>
                  <w:vAlign w:val="center"/>
                </w:tcPr>
                <w:p>
                  <w:pPr>
                    <w:pStyle w:val="49"/>
                    <w:rPr>
                      <w:color w:val="auto"/>
                      <w:szCs w:val="21"/>
                    </w:rPr>
                  </w:pPr>
                  <w:r>
                    <w:rPr>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供热</w:t>
                  </w:r>
                </w:p>
              </w:tc>
              <w:tc>
                <w:tcPr>
                  <w:tcW w:w="3414" w:type="pct"/>
                  <w:vAlign w:val="center"/>
                </w:tcPr>
                <w:p>
                  <w:pPr>
                    <w:pStyle w:val="49"/>
                    <w:jc w:val="both"/>
                    <w:rPr>
                      <w:color w:val="auto"/>
                      <w:szCs w:val="21"/>
                    </w:rPr>
                  </w:pPr>
                  <w:r>
                    <w:rPr>
                      <w:rFonts w:hint="eastAsia"/>
                      <w:color w:val="auto"/>
                      <w:szCs w:val="21"/>
                    </w:rPr>
                    <w:t>本项目冬季采取电取暖。</w:t>
                  </w:r>
                </w:p>
              </w:tc>
              <w:tc>
                <w:tcPr>
                  <w:tcW w:w="590" w:type="pct"/>
                  <w:vAlign w:val="center"/>
                </w:tcPr>
                <w:p>
                  <w:pPr>
                    <w:pStyle w:val="49"/>
                    <w:rPr>
                      <w:rFonts w:hint="eastAsia" w:eastAsia="宋体"/>
                      <w:color w:val="auto"/>
                      <w:szCs w:val="21"/>
                      <w:lang w:eastAsia="zh-CN"/>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restart"/>
                  <w:vAlign w:val="center"/>
                </w:tcPr>
                <w:p>
                  <w:pPr>
                    <w:pStyle w:val="49"/>
                    <w:rPr>
                      <w:color w:val="auto"/>
                      <w:szCs w:val="21"/>
                    </w:rPr>
                  </w:pPr>
                  <w:r>
                    <w:rPr>
                      <w:color w:val="auto"/>
                      <w:szCs w:val="21"/>
                    </w:rPr>
                    <w:t>环保工程</w:t>
                  </w:r>
                </w:p>
              </w:tc>
              <w:tc>
                <w:tcPr>
                  <w:tcW w:w="586" w:type="pct"/>
                  <w:vAlign w:val="center"/>
                </w:tcPr>
                <w:p>
                  <w:pPr>
                    <w:pStyle w:val="49"/>
                    <w:rPr>
                      <w:color w:val="auto"/>
                      <w:szCs w:val="21"/>
                    </w:rPr>
                  </w:pPr>
                  <w:r>
                    <w:rPr>
                      <w:color w:val="auto"/>
                      <w:szCs w:val="21"/>
                    </w:rPr>
                    <w:t>废气</w:t>
                  </w:r>
                </w:p>
              </w:tc>
              <w:tc>
                <w:tcPr>
                  <w:tcW w:w="3414" w:type="pct"/>
                  <w:vAlign w:val="center"/>
                </w:tcPr>
                <w:p>
                  <w:pPr>
                    <w:pStyle w:val="49"/>
                    <w:jc w:val="both"/>
                    <w:rPr>
                      <w:color w:val="auto"/>
                      <w:szCs w:val="21"/>
                    </w:rPr>
                  </w:pPr>
                  <w:r>
                    <w:rPr>
                      <w:color w:val="auto"/>
                      <w:szCs w:val="21"/>
                    </w:rPr>
                    <w:t>本项目废气主要为拆解车间废气。</w:t>
                  </w:r>
                </w:p>
                <w:p>
                  <w:pPr>
                    <w:pStyle w:val="49"/>
                    <w:jc w:val="both"/>
                    <w:rPr>
                      <w:color w:val="auto"/>
                      <w:szCs w:val="21"/>
                    </w:rPr>
                  </w:pPr>
                  <w:r>
                    <w:rPr>
                      <w:rFonts w:hint="eastAsia" w:ascii="宋体" w:hAnsi="宋体" w:cs="宋体"/>
                      <w:color w:val="auto"/>
                      <w:szCs w:val="21"/>
                    </w:rPr>
                    <w:t>①</w:t>
                  </w:r>
                  <w:r>
                    <w:rPr>
                      <w:color w:val="auto"/>
                      <w:szCs w:val="21"/>
                    </w:rPr>
                    <w:t>粉尘：</w:t>
                  </w:r>
                </w:p>
                <w:p>
                  <w:pPr>
                    <w:pStyle w:val="49"/>
                    <w:jc w:val="both"/>
                    <w:rPr>
                      <w:color w:val="auto"/>
                      <w:szCs w:val="21"/>
                    </w:rPr>
                  </w:pPr>
                  <w:r>
                    <w:rPr>
                      <w:color w:val="auto"/>
                      <w:kern w:val="0"/>
                    </w:rPr>
                    <w:t>本项目在全封闭拆解车间内切割工位设置移动式</w:t>
                  </w:r>
                  <w:r>
                    <w:rPr>
                      <w:rFonts w:hint="eastAsia"/>
                      <w:color w:val="auto"/>
                      <w:kern w:val="0"/>
                      <w:lang w:val="en-US" w:eastAsia="zh-CN"/>
                    </w:rPr>
                    <w:t>布袋除尘</w:t>
                  </w:r>
                  <w:r>
                    <w:rPr>
                      <w:color w:val="auto"/>
                      <w:kern w:val="0"/>
                    </w:rPr>
                    <w:t>器，除尘效率按99%计，净化处理后排出的气体经车间侧壁通风设施以无组织形式排放。</w:t>
                  </w:r>
                  <w:r>
                    <w:rPr>
                      <w:color w:val="auto"/>
                      <w:szCs w:val="21"/>
                    </w:rPr>
                    <w:t>拆解工段无组织颗粒物排放浓度执行《大气污染物综合排放标准》（GB16297-1996）表2中无组织排放监控浓度限值要求。</w:t>
                  </w:r>
                </w:p>
                <w:p>
                  <w:pPr>
                    <w:pStyle w:val="49"/>
                    <w:jc w:val="both"/>
                    <w:rPr>
                      <w:color w:val="auto"/>
                      <w:szCs w:val="21"/>
                    </w:rPr>
                  </w:pPr>
                  <w:r>
                    <w:rPr>
                      <w:rFonts w:hint="eastAsia" w:ascii="宋体" w:hAnsi="宋体" w:cs="宋体"/>
                      <w:color w:val="auto"/>
                      <w:szCs w:val="21"/>
                    </w:rPr>
                    <w:t>②</w:t>
                  </w:r>
                  <w:r>
                    <w:rPr>
                      <w:color w:val="auto"/>
                      <w:szCs w:val="21"/>
                    </w:rPr>
                    <w:t>非甲烷总烃：</w:t>
                  </w:r>
                </w:p>
                <w:p>
                  <w:pPr>
                    <w:pStyle w:val="49"/>
                    <w:jc w:val="both"/>
                    <w:rPr>
                      <w:color w:val="auto"/>
                      <w:szCs w:val="21"/>
                    </w:rPr>
                  </w:pPr>
                  <w:r>
                    <w:rPr>
                      <w:rFonts w:hint="eastAsia"/>
                      <w:color w:val="auto"/>
                      <w:szCs w:val="21"/>
                    </w:rPr>
                    <w:t>在工序上方设置集气罩（收集效率80%）+活性炭吸附（吸附效率60%）装置进行处理</w:t>
                  </w:r>
                  <w:r>
                    <w:rPr>
                      <w:color w:val="auto"/>
                      <w:szCs w:val="21"/>
                    </w:rPr>
                    <w:t>，车间应设置抽排风系统进行车间换气，有机废气通过无组织方式排至室外</w:t>
                  </w:r>
                  <w:r>
                    <w:rPr>
                      <w:rFonts w:hint="eastAsia"/>
                      <w:color w:val="auto"/>
                      <w:szCs w:val="21"/>
                      <w:lang w:eastAsia="zh-CN"/>
                    </w:rPr>
                    <w:t>。危险废物采用密闭容器包装，控制挥发性有机气体的产生。</w:t>
                  </w:r>
                  <w:r>
                    <w:rPr>
                      <w:color w:val="auto"/>
                      <w:szCs w:val="21"/>
                    </w:rPr>
                    <w:t>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tc>
              <w:tc>
                <w:tcPr>
                  <w:tcW w:w="590" w:type="pct"/>
                  <w:vAlign w:val="center"/>
                </w:tcPr>
                <w:p>
                  <w:pPr>
                    <w:pStyle w:val="49"/>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废水</w:t>
                  </w:r>
                </w:p>
              </w:tc>
              <w:tc>
                <w:tcPr>
                  <w:tcW w:w="3414" w:type="pct"/>
                  <w:vAlign w:val="center"/>
                </w:tcPr>
                <w:p>
                  <w:pPr>
                    <w:pStyle w:val="49"/>
                    <w:jc w:val="both"/>
                    <w:rPr>
                      <w:rFonts w:hint="eastAsia" w:eastAsia="宋体"/>
                      <w:color w:val="auto"/>
                      <w:lang w:val="en-US" w:eastAsia="zh-CN"/>
                    </w:rPr>
                  </w:pPr>
                  <w:r>
                    <w:rPr>
                      <w:color w:val="auto"/>
                    </w:rPr>
                    <w:t>本项目</w:t>
                  </w:r>
                  <w:r>
                    <w:rPr>
                      <w:rFonts w:hint="eastAsia"/>
                      <w:color w:val="auto"/>
                    </w:rPr>
                    <w:t>不进行拆解车间地面清洗，因此本项目</w:t>
                  </w:r>
                  <w:r>
                    <w:rPr>
                      <w:color w:val="auto"/>
                    </w:rPr>
                    <w:t>无拆解车间地面冲洗废水产生</w:t>
                  </w:r>
                  <w:r>
                    <w:rPr>
                      <w:color w:val="auto"/>
                      <w:szCs w:val="21"/>
                    </w:rPr>
                    <w:t>，主要为生活污水和待拆车辆存放区初期雨水。本项目生活污水排入</w:t>
                  </w:r>
                  <w:r>
                    <w:rPr>
                      <w:rFonts w:hint="eastAsia"/>
                      <w:color w:val="auto"/>
                      <w:szCs w:val="21"/>
                      <w:lang w:val="en-US" w:eastAsia="zh-CN"/>
                    </w:rPr>
                    <w:t>市政管网</w:t>
                  </w:r>
                  <w:r>
                    <w:rPr>
                      <w:color w:val="auto"/>
                      <w:szCs w:val="21"/>
                    </w:rPr>
                    <w:t>；</w:t>
                  </w:r>
                  <w:r>
                    <w:rPr>
                      <w:color w:val="auto"/>
                    </w:rPr>
                    <w:t>待拆车辆存放区初期雨水经待拆车辆存放区四周排水沟汇入厂区一座</w:t>
                  </w:r>
                  <w:r>
                    <w:rPr>
                      <w:rFonts w:hint="eastAsia"/>
                      <w:color w:val="auto"/>
                      <w:lang w:val="en-US" w:eastAsia="zh-CN"/>
                    </w:rPr>
                    <w:t>6</w:t>
                  </w:r>
                  <w:r>
                    <w:rPr>
                      <w:color w:val="auto"/>
                    </w:rPr>
                    <w:t>0m</w:t>
                  </w:r>
                  <w:r>
                    <w:rPr>
                      <w:color w:val="auto"/>
                      <w:vertAlign w:val="superscript"/>
                    </w:rPr>
                    <w:t>3</w:t>
                  </w:r>
                  <w:r>
                    <w:rPr>
                      <w:color w:val="auto"/>
                    </w:rPr>
                    <w:t>初期雨水收集池内，经油水分离器隔油处理后，</w:t>
                  </w:r>
                  <w:r>
                    <w:rPr>
                      <w:rFonts w:hint="eastAsia"/>
                      <w:color w:val="auto"/>
                      <w:lang w:val="en-US" w:eastAsia="zh-CN"/>
                    </w:rPr>
                    <w:t>用于厂区洒扫降尘。初期雨水收集池：位于车辆存放场地南侧，有效容积为60m</w:t>
                  </w:r>
                  <w:r>
                    <w:rPr>
                      <w:rFonts w:hint="eastAsia"/>
                      <w:color w:val="auto"/>
                      <w:vertAlign w:val="superscript"/>
                      <w:lang w:val="en-US" w:eastAsia="zh-CN"/>
                    </w:rPr>
                    <w:t>3</w:t>
                  </w:r>
                  <w:r>
                    <w:rPr>
                      <w:rFonts w:hint="eastAsia"/>
                      <w:color w:val="auto"/>
                      <w:lang w:val="en-US" w:eastAsia="zh-CN"/>
                    </w:rPr>
                    <w:t>，本项目在厂区内待拆车辆贮存场地四周设置环形排水沟，保证初期雨水能够收集至初期雨水收集池。采取抗渗钢纤维混凝土或高密度聚乙烯膜(HDPE)进行防渗，防渗技术要求达到等效黏土防渗层Mb≥6.0m，K≤1×10</w:t>
                  </w:r>
                  <w:r>
                    <w:rPr>
                      <w:rFonts w:hint="eastAsia"/>
                      <w:color w:val="auto"/>
                      <w:vertAlign w:val="superscript"/>
                      <w:lang w:val="en-US" w:eastAsia="zh-CN"/>
                    </w:rPr>
                    <w:t>-7</w:t>
                  </w:r>
                  <w:r>
                    <w:rPr>
                      <w:rFonts w:hint="eastAsia"/>
                      <w:color w:val="auto"/>
                      <w:lang w:val="en-US" w:eastAsia="zh-CN"/>
                    </w:rPr>
                    <w:t>cm/s的要求。初期雨水收集池平时必须保持空置状态，严禁存储各类废水。</w:t>
                  </w:r>
                </w:p>
              </w:tc>
              <w:tc>
                <w:tcPr>
                  <w:tcW w:w="590" w:type="pct"/>
                  <w:vAlign w:val="center"/>
                </w:tcPr>
                <w:p>
                  <w:pPr>
                    <w:pStyle w:val="49"/>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噪声</w:t>
                  </w:r>
                </w:p>
              </w:tc>
              <w:tc>
                <w:tcPr>
                  <w:tcW w:w="3414" w:type="pct"/>
                  <w:vAlign w:val="center"/>
                </w:tcPr>
                <w:p>
                  <w:pPr>
                    <w:pStyle w:val="49"/>
                    <w:jc w:val="both"/>
                    <w:rPr>
                      <w:color w:val="auto"/>
                      <w:szCs w:val="21"/>
                    </w:rPr>
                  </w:pPr>
                  <w:r>
                    <w:rPr>
                      <w:color w:val="auto"/>
                      <w:szCs w:val="21"/>
                    </w:rPr>
                    <w:t>采取选用低噪声设备，通过厂房隔声、基础减振等措施，限制噪声向外传播。生产中产生的噪声通过厂房、厂区距离衰减后对外环境影响较小，厂界噪声可满足《工业企业厂界环境噪声排放标准》（GB12348-2008）表1中2类标准要求。</w:t>
                  </w:r>
                </w:p>
              </w:tc>
              <w:tc>
                <w:tcPr>
                  <w:tcW w:w="590" w:type="pct"/>
                  <w:vAlign w:val="center"/>
                </w:tcPr>
                <w:p>
                  <w:pPr>
                    <w:pStyle w:val="49"/>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固体</w:t>
                  </w:r>
                </w:p>
                <w:p>
                  <w:pPr>
                    <w:pStyle w:val="49"/>
                    <w:rPr>
                      <w:color w:val="auto"/>
                      <w:szCs w:val="21"/>
                    </w:rPr>
                  </w:pPr>
                  <w:r>
                    <w:rPr>
                      <w:color w:val="auto"/>
                      <w:szCs w:val="21"/>
                    </w:rPr>
                    <w:t>废物</w:t>
                  </w:r>
                </w:p>
              </w:tc>
              <w:tc>
                <w:tcPr>
                  <w:tcW w:w="3414" w:type="pct"/>
                  <w:vAlign w:val="center"/>
                </w:tcPr>
                <w:p>
                  <w:pPr>
                    <w:pStyle w:val="49"/>
                    <w:jc w:val="both"/>
                    <w:rPr>
                      <w:color w:val="auto"/>
                      <w:szCs w:val="21"/>
                    </w:rPr>
                  </w:pPr>
                  <w:r>
                    <w:rPr>
                      <w:color w:val="auto"/>
                      <w:szCs w:val="21"/>
                    </w:rPr>
                    <w:t>（1）生活垃圾：集中收集，</w:t>
                  </w:r>
                  <w:r>
                    <w:rPr>
                      <w:rFonts w:hint="eastAsia"/>
                      <w:color w:val="auto"/>
                      <w:szCs w:val="21"/>
                      <w:lang w:val="en-US" w:eastAsia="zh-CN"/>
                    </w:rPr>
                    <w:t>定期</w:t>
                  </w:r>
                  <w:r>
                    <w:rPr>
                      <w:color w:val="auto"/>
                      <w:szCs w:val="21"/>
                    </w:rPr>
                    <w:t>清运；</w:t>
                  </w:r>
                </w:p>
                <w:p>
                  <w:pPr>
                    <w:pStyle w:val="49"/>
                    <w:jc w:val="both"/>
                    <w:rPr>
                      <w:color w:val="auto"/>
                      <w:szCs w:val="21"/>
                    </w:rPr>
                  </w:pPr>
                  <w:r>
                    <w:rPr>
                      <w:color w:val="auto"/>
                      <w:szCs w:val="21"/>
                    </w:rPr>
                    <w:t>（2）一般固体废物：</w:t>
                  </w:r>
                </w:p>
                <w:p>
                  <w:pPr>
                    <w:pStyle w:val="49"/>
                    <w:jc w:val="both"/>
                    <w:rPr>
                      <w:color w:val="auto"/>
                      <w:szCs w:val="21"/>
                    </w:rPr>
                  </w:pPr>
                  <w:r>
                    <w:rPr>
                      <w:rFonts w:hint="eastAsia" w:ascii="宋体" w:hAnsi="宋体" w:cs="宋体"/>
                      <w:color w:val="auto"/>
                      <w:szCs w:val="21"/>
                    </w:rPr>
                    <w:t>①</w:t>
                  </w:r>
                  <w:r>
                    <w:rPr>
                      <w:rFonts w:hint="eastAsia"/>
                      <w:color w:val="auto"/>
                      <w:szCs w:val="21"/>
                      <w:lang w:eastAsia="zh-CN"/>
                    </w:rPr>
                    <w:t>移动式布袋除尘器</w:t>
                  </w:r>
                  <w:r>
                    <w:rPr>
                      <w:color w:val="auto"/>
                      <w:szCs w:val="21"/>
                    </w:rPr>
                    <w:t>收尘：集中收集，外售综合利用。</w:t>
                  </w:r>
                </w:p>
                <w:p>
                  <w:pPr>
                    <w:pStyle w:val="49"/>
                    <w:jc w:val="both"/>
                    <w:rPr>
                      <w:color w:val="auto"/>
                      <w:szCs w:val="21"/>
                    </w:rPr>
                  </w:pPr>
                  <w:r>
                    <w:rPr>
                      <w:rFonts w:hint="eastAsia" w:ascii="宋体" w:hAnsi="宋体" w:cs="宋体"/>
                      <w:color w:val="auto"/>
                      <w:szCs w:val="21"/>
                    </w:rPr>
                    <w:t>②</w:t>
                  </w:r>
                  <w:r>
                    <w:rPr>
                      <w:color w:val="auto"/>
                      <w:szCs w:val="21"/>
                    </w:rPr>
                    <w:t>拆解过程产生的一般固体废物：集中收集，外售综合利用。</w:t>
                  </w:r>
                </w:p>
                <w:p>
                  <w:pPr>
                    <w:pStyle w:val="49"/>
                    <w:jc w:val="both"/>
                    <w:rPr>
                      <w:color w:val="auto"/>
                      <w:szCs w:val="21"/>
                    </w:rPr>
                  </w:pPr>
                  <w:r>
                    <w:rPr>
                      <w:color w:val="auto"/>
                      <w:szCs w:val="21"/>
                    </w:rPr>
                    <w:t>（3）危险废物：分类暂存于</w:t>
                  </w:r>
                  <w:r>
                    <w:rPr>
                      <w:rFonts w:hint="eastAsia"/>
                      <w:color w:val="auto"/>
                      <w:szCs w:val="21"/>
                      <w:lang w:eastAsia="zh-CN"/>
                    </w:rPr>
                    <w:t>危险废物贮存库</w:t>
                  </w:r>
                  <w:r>
                    <w:rPr>
                      <w:color w:val="auto"/>
                      <w:szCs w:val="21"/>
                    </w:rPr>
                    <w:t>专用容器中，定期交由有资质单位回收处置。</w:t>
                  </w:r>
                </w:p>
              </w:tc>
              <w:tc>
                <w:tcPr>
                  <w:tcW w:w="590" w:type="pct"/>
                  <w:vAlign w:val="center"/>
                </w:tcPr>
                <w:p>
                  <w:pPr>
                    <w:pStyle w:val="49"/>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地下水污染防治</w:t>
                  </w:r>
                </w:p>
              </w:tc>
              <w:tc>
                <w:tcPr>
                  <w:tcW w:w="3414" w:type="pct"/>
                  <w:vAlign w:val="center"/>
                </w:tcPr>
                <w:p>
                  <w:pPr>
                    <w:pStyle w:val="49"/>
                    <w:jc w:val="both"/>
                    <w:rPr>
                      <w:color w:val="auto"/>
                    </w:rPr>
                  </w:pPr>
                  <w:r>
                    <w:rPr>
                      <w:rFonts w:hint="eastAsia" w:ascii="宋体" w:hAnsi="宋体" w:cs="宋体"/>
                      <w:color w:val="auto"/>
                    </w:rPr>
                    <w:t>①</w:t>
                  </w:r>
                  <w:r>
                    <w:rPr>
                      <w:color w:val="auto"/>
                    </w:rPr>
                    <w:t>重点防渗区：</w:t>
                  </w:r>
                </w:p>
                <w:p>
                  <w:pPr>
                    <w:pStyle w:val="49"/>
                    <w:jc w:val="both"/>
                    <w:rPr>
                      <w:bCs/>
                      <w:color w:val="auto"/>
                    </w:rPr>
                  </w:pPr>
                  <w:r>
                    <w:rPr>
                      <w:color w:val="auto"/>
                    </w:rPr>
                    <w:t>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w:t>
                  </w:r>
                </w:p>
                <w:p>
                  <w:pPr>
                    <w:pStyle w:val="49"/>
                    <w:jc w:val="both"/>
                    <w:rPr>
                      <w:color w:val="auto"/>
                    </w:rPr>
                  </w:pPr>
                  <w:r>
                    <w:rPr>
                      <w:rFonts w:hint="eastAsia" w:ascii="宋体" w:hAnsi="宋体" w:cs="宋体"/>
                      <w:color w:val="auto"/>
                    </w:rPr>
                    <w:t>②</w:t>
                  </w:r>
                  <w:r>
                    <w:rPr>
                      <w:color w:val="auto"/>
                    </w:rPr>
                    <w:t>一般防渗区：</w:t>
                  </w:r>
                </w:p>
                <w:p>
                  <w:pPr>
                    <w:pStyle w:val="49"/>
                    <w:jc w:val="both"/>
                    <w:rPr>
                      <w:color w:val="auto"/>
                    </w:rPr>
                  </w:pPr>
                  <w:r>
                    <w:rPr>
                      <w:color w:val="auto"/>
                    </w:rPr>
                    <w:t>包括拆解车间、待拆车辆贮存场地、</w:t>
                  </w:r>
                  <w:r>
                    <w:rPr>
                      <w:rFonts w:hint="eastAsia"/>
                      <w:color w:val="auto"/>
                    </w:rPr>
                    <w:t>农机拆除成品半成品及零件贮存库</w:t>
                  </w:r>
                  <w:r>
                    <w:rPr>
                      <w:color w:val="auto"/>
                    </w:rPr>
                    <w:t>和一般固废存放区。采用防渗混凝土或HDPE膜进行防渗，其防渗技术要求可满足等效黏土防渗层Mb≥1.5m，K≤1×10</w:t>
                  </w:r>
                  <w:r>
                    <w:rPr>
                      <w:color w:val="auto"/>
                      <w:vertAlign w:val="superscript"/>
                    </w:rPr>
                    <w:t>-7</w:t>
                  </w:r>
                  <w:r>
                    <w:rPr>
                      <w:color w:val="auto"/>
                    </w:rPr>
                    <w:t>cm/s的要求。</w:t>
                  </w:r>
                </w:p>
                <w:p>
                  <w:pPr>
                    <w:pStyle w:val="49"/>
                    <w:jc w:val="both"/>
                    <w:rPr>
                      <w:color w:val="auto"/>
                    </w:rPr>
                  </w:pPr>
                  <w:r>
                    <w:rPr>
                      <w:rFonts w:hint="eastAsia" w:ascii="宋体" w:hAnsi="宋体" w:cs="宋体"/>
                      <w:color w:val="auto"/>
                    </w:rPr>
                    <w:t>③</w:t>
                  </w:r>
                  <w:r>
                    <w:rPr>
                      <w:color w:val="auto"/>
                    </w:rPr>
                    <w:t>简单防渗区：</w:t>
                  </w:r>
                </w:p>
                <w:p>
                  <w:pPr>
                    <w:pStyle w:val="49"/>
                    <w:jc w:val="both"/>
                    <w:rPr>
                      <w:color w:val="auto"/>
                    </w:rPr>
                  </w:pPr>
                  <w:r>
                    <w:rPr>
                      <w:color w:val="auto"/>
                    </w:rPr>
                    <w:t>包括厂区道路</w:t>
                  </w:r>
                  <w:r>
                    <w:rPr>
                      <w:rFonts w:hint="eastAsia"/>
                      <w:color w:val="auto"/>
                      <w:lang w:eastAsia="zh-CN"/>
                    </w:rPr>
                    <w:t>、</w:t>
                  </w:r>
                  <w:r>
                    <w:rPr>
                      <w:rFonts w:hint="eastAsia"/>
                      <w:color w:val="auto"/>
                      <w:lang w:val="en-US" w:eastAsia="zh-CN"/>
                    </w:rPr>
                    <w:t>办公室</w:t>
                  </w:r>
                  <w:r>
                    <w:rPr>
                      <w:color w:val="auto"/>
                    </w:rPr>
                    <w:t>。进行一般地面水泥硬化。</w:t>
                  </w:r>
                </w:p>
              </w:tc>
              <w:tc>
                <w:tcPr>
                  <w:tcW w:w="590" w:type="pct"/>
                  <w:vAlign w:val="center"/>
                </w:tcPr>
                <w:p>
                  <w:pPr>
                    <w:pStyle w:val="49"/>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pPr>
                    <w:pStyle w:val="49"/>
                    <w:rPr>
                      <w:color w:val="auto"/>
                      <w:szCs w:val="21"/>
                    </w:rPr>
                  </w:pPr>
                </w:p>
              </w:tc>
              <w:tc>
                <w:tcPr>
                  <w:tcW w:w="586" w:type="pct"/>
                  <w:vAlign w:val="center"/>
                </w:tcPr>
                <w:p>
                  <w:pPr>
                    <w:pStyle w:val="49"/>
                    <w:rPr>
                      <w:color w:val="auto"/>
                      <w:szCs w:val="21"/>
                    </w:rPr>
                  </w:pPr>
                  <w:r>
                    <w:rPr>
                      <w:color w:val="auto"/>
                      <w:szCs w:val="21"/>
                    </w:rPr>
                    <w:t>环境</w:t>
                  </w:r>
                </w:p>
                <w:p>
                  <w:pPr>
                    <w:pStyle w:val="49"/>
                    <w:rPr>
                      <w:color w:val="auto"/>
                      <w:szCs w:val="21"/>
                    </w:rPr>
                  </w:pPr>
                  <w:r>
                    <w:rPr>
                      <w:color w:val="auto"/>
                      <w:szCs w:val="21"/>
                    </w:rPr>
                    <w:t>风险</w:t>
                  </w:r>
                </w:p>
              </w:tc>
              <w:tc>
                <w:tcPr>
                  <w:tcW w:w="3414" w:type="pct"/>
                  <w:vAlign w:val="center"/>
                </w:tcPr>
                <w:p>
                  <w:pPr>
                    <w:pStyle w:val="49"/>
                    <w:jc w:val="both"/>
                    <w:rPr>
                      <w:color w:val="auto"/>
                    </w:rPr>
                  </w:pPr>
                  <w:r>
                    <w:rPr>
                      <w:color w:val="auto"/>
                      <w:szCs w:val="21"/>
                    </w:rPr>
                    <w:t>按照相关规范要求安装火灾自动报警系统、灭火系统。</w:t>
                  </w:r>
                </w:p>
              </w:tc>
              <w:tc>
                <w:tcPr>
                  <w:tcW w:w="590" w:type="pct"/>
                  <w:vAlign w:val="center"/>
                </w:tcPr>
                <w:p>
                  <w:pPr>
                    <w:pStyle w:val="49"/>
                    <w:rPr>
                      <w:color w:val="auto"/>
                      <w:szCs w:val="21"/>
                    </w:rPr>
                  </w:pPr>
                  <w:r>
                    <w:rPr>
                      <w:color w:val="auto"/>
                      <w:szCs w:val="21"/>
                    </w:rPr>
                    <w:t>新建</w:t>
                  </w:r>
                </w:p>
              </w:tc>
            </w:tr>
          </w:tbl>
          <w:p>
            <w:pPr>
              <w:pStyle w:val="82"/>
              <w:rPr>
                <w:color w:val="auto"/>
              </w:rPr>
            </w:pPr>
            <w:r>
              <w:rPr>
                <w:color w:val="auto"/>
              </w:rPr>
              <w:t>二、原辅材料用量</w:t>
            </w:r>
          </w:p>
          <w:p>
            <w:pPr>
              <w:pStyle w:val="75"/>
              <w:rPr>
                <w:color w:val="auto"/>
              </w:rPr>
            </w:pPr>
            <w:r>
              <w:rPr>
                <w:color w:val="auto"/>
              </w:rPr>
              <w:t>本项目年拆解报废农业机械</w:t>
            </w:r>
            <w:r>
              <w:rPr>
                <w:rFonts w:hint="eastAsia"/>
                <w:color w:val="auto"/>
                <w:lang w:val="en-US" w:eastAsia="zh-CN"/>
              </w:rPr>
              <w:t>1000辆</w:t>
            </w:r>
            <w:r>
              <w:rPr>
                <w:color w:val="auto"/>
              </w:rPr>
              <w:t>，</w:t>
            </w:r>
            <w:r>
              <w:rPr>
                <w:rFonts w:hint="eastAsia"/>
                <w:color w:val="auto"/>
              </w:rPr>
              <w:t>报废农业机械主要为拖拉机和联合收割机等，</w:t>
            </w:r>
            <w:r>
              <w:rPr>
                <w:color w:val="auto"/>
              </w:rPr>
              <w:t>不涉及特种汽车（油罐车、消防车、危险品运输车等）车辆的拆解。</w:t>
            </w:r>
          </w:p>
          <w:p>
            <w:pPr>
              <w:pStyle w:val="76"/>
              <w:rPr>
                <w:color w:val="auto"/>
              </w:rPr>
            </w:pPr>
            <w:r>
              <w:rPr>
                <w:color w:val="auto"/>
              </w:rPr>
              <w:t>表2-3 本项目原辅材料一览表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577"/>
              <w:gridCol w:w="1693"/>
              <w:gridCol w:w="1850"/>
              <w:gridCol w:w="2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823" w:type="dxa"/>
                  <w:vAlign w:val="center"/>
                </w:tcPr>
                <w:p>
                  <w:pPr>
                    <w:pStyle w:val="49"/>
                    <w:rPr>
                      <w:color w:val="auto"/>
                    </w:rPr>
                  </w:pPr>
                  <w:r>
                    <w:rPr>
                      <w:color w:val="auto"/>
                    </w:rPr>
                    <w:t>序号</w:t>
                  </w:r>
                </w:p>
              </w:tc>
              <w:tc>
                <w:tcPr>
                  <w:tcW w:w="1577" w:type="dxa"/>
                  <w:vAlign w:val="center"/>
                </w:tcPr>
                <w:p>
                  <w:pPr>
                    <w:pStyle w:val="49"/>
                    <w:rPr>
                      <w:color w:val="auto"/>
                    </w:rPr>
                  </w:pPr>
                  <w:r>
                    <w:rPr>
                      <w:color w:val="auto"/>
                    </w:rPr>
                    <w:t>原辅料名称</w:t>
                  </w:r>
                </w:p>
              </w:tc>
              <w:tc>
                <w:tcPr>
                  <w:tcW w:w="1693" w:type="dxa"/>
                  <w:vAlign w:val="center"/>
                </w:tcPr>
                <w:p>
                  <w:pPr>
                    <w:pStyle w:val="49"/>
                    <w:rPr>
                      <w:color w:val="auto"/>
                    </w:rPr>
                  </w:pPr>
                  <w:r>
                    <w:rPr>
                      <w:color w:val="auto"/>
                    </w:rPr>
                    <w:t>数量（辆/a）</w:t>
                  </w:r>
                </w:p>
              </w:tc>
              <w:tc>
                <w:tcPr>
                  <w:tcW w:w="1850" w:type="dxa"/>
                  <w:vAlign w:val="center"/>
                </w:tcPr>
                <w:p>
                  <w:pPr>
                    <w:pStyle w:val="49"/>
                    <w:rPr>
                      <w:color w:val="auto"/>
                    </w:rPr>
                  </w:pPr>
                  <w:r>
                    <w:rPr>
                      <w:color w:val="auto"/>
                    </w:rPr>
                    <w:t>拆解量（t/a）</w:t>
                  </w:r>
                </w:p>
              </w:tc>
              <w:tc>
                <w:tcPr>
                  <w:tcW w:w="2230" w:type="dxa"/>
                  <w:vAlign w:val="center"/>
                </w:tcPr>
                <w:p>
                  <w:pPr>
                    <w:pStyle w:val="49"/>
                    <w:rPr>
                      <w:color w:val="auto"/>
                    </w:rPr>
                  </w:pPr>
                  <w:r>
                    <w:rPr>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0" w:hRule="atLeast"/>
                <w:jc w:val="center"/>
              </w:trPr>
              <w:tc>
                <w:tcPr>
                  <w:tcW w:w="823" w:type="dxa"/>
                  <w:tcBorders>
                    <w:bottom w:val="single" w:color="auto" w:sz="4" w:space="0"/>
                  </w:tcBorders>
                  <w:vAlign w:val="center"/>
                </w:tcPr>
                <w:p>
                  <w:pPr>
                    <w:pStyle w:val="49"/>
                    <w:rPr>
                      <w:color w:val="auto"/>
                    </w:rPr>
                  </w:pPr>
                  <w:r>
                    <w:rPr>
                      <w:color w:val="auto"/>
                    </w:rPr>
                    <w:t>1</w:t>
                  </w:r>
                </w:p>
              </w:tc>
              <w:tc>
                <w:tcPr>
                  <w:tcW w:w="1577" w:type="dxa"/>
                  <w:tcBorders>
                    <w:bottom w:val="single" w:color="auto" w:sz="4" w:space="0"/>
                  </w:tcBorders>
                  <w:vAlign w:val="center"/>
                </w:tcPr>
                <w:p>
                  <w:pPr>
                    <w:pStyle w:val="49"/>
                    <w:rPr>
                      <w:color w:val="auto"/>
                    </w:rPr>
                  </w:pPr>
                  <w:r>
                    <w:rPr>
                      <w:color w:val="auto"/>
                    </w:rPr>
                    <w:t>报废</w:t>
                  </w:r>
                  <w:r>
                    <w:rPr>
                      <w:rFonts w:hint="eastAsia"/>
                      <w:color w:val="auto"/>
                    </w:rPr>
                    <w:t>农业机械</w:t>
                  </w:r>
                </w:p>
              </w:tc>
              <w:tc>
                <w:tcPr>
                  <w:tcW w:w="1693" w:type="dxa"/>
                  <w:tcBorders>
                    <w:bottom w:val="single" w:color="auto" w:sz="4" w:space="0"/>
                  </w:tcBorders>
                  <w:vAlign w:val="center"/>
                </w:tcPr>
                <w:p>
                  <w:pPr>
                    <w:pStyle w:val="49"/>
                    <w:rPr>
                      <w:rFonts w:hint="default"/>
                      <w:color w:val="auto"/>
                      <w:lang w:val="en-US"/>
                    </w:rPr>
                  </w:pPr>
                  <w:r>
                    <w:rPr>
                      <w:rFonts w:hint="eastAsia"/>
                      <w:color w:val="auto"/>
                      <w:lang w:val="en-US" w:eastAsia="zh-CN"/>
                    </w:rPr>
                    <w:t>1000</w:t>
                  </w:r>
                </w:p>
              </w:tc>
              <w:tc>
                <w:tcPr>
                  <w:tcW w:w="1850" w:type="dxa"/>
                  <w:tcBorders>
                    <w:bottom w:val="single" w:color="auto" w:sz="4" w:space="0"/>
                  </w:tcBorders>
                  <w:vAlign w:val="center"/>
                </w:tcPr>
                <w:p>
                  <w:pPr>
                    <w:pStyle w:val="49"/>
                    <w:rPr>
                      <w:color w:val="auto"/>
                    </w:rPr>
                  </w:pPr>
                  <w:r>
                    <w:rPr>
                      <w:rFonts w:hint="eastAsia"/>
                      <w:color w:val="auto"/>
                      <w:lang w:val="en-US" w:eastAsia="zh-CN"/>
                    </w:rPr>
                    <w:t>30</w:t>
                  </w:r>
                  <w:r>
                    <w:rPr>
                      <w:color w:val="auto"/>
                    </w:rPr>
                    <w:t>00</w:t>
                  </w:r>
                </w:p>
              </w:tc>
              <w:tc>
                <w:tcPr>
                  <w:tcW w:w="2230" w:type="dxa"/>
                  <w:tcBorders>
                    <w:bottom w:val="single" w:color="auto" w:sz="4" w:space="0"/>
                  </w:tcBorders>
                  <w:vAlign w:val="center"/>
                </w:tcPr>
                <w:p>
                  <w:pPr>
                    <w:pStyle w:val="49"/>
                    <w:rPr>
                      <w:color w:val="auto"/>
                    </w:rPr>
                  </w:pPr>
                  <w:r>
                    <w:rPr>
                      <w:color w:val="auto"/>
                      <w:kern w:val="0"/>
                      <w:szCs w:val="21"/>
                    </w:rPr>
                    <w:t>3t/辆，</w:t>
                  </w:r>
                  <w:r>
                    <w:rPr>
                      <w:color w:val="auto"/>
                    </w:rPr>
                    <w:t>外购</w:t>
                  </w:r>
                </w:p>
              </w:tc>
            </w:tr>
          </w:tbl>
          <w:p>
            <w:pPr>
              <w:pStyle w:val="82"/>
              <w:rPr>
                <w:color w:val="auto"/>
              </w:rPr>
            </w:pPr>
            <w:r>
              <w:rPr>
                <w:color w:val="auto"/>
              </w:rPr>
              <w:t>三、产品方案</w:t>
            </w:r>
          </w:p>
          <w:p>
            <w:pPr>
              <w:pStyle w:val="75"/>
              <w:rPr>
                <w:snapToGrid w:val="0"/>
                <w:color w:val="auto"/>
              </w:rPr>
            </w:pPr>
            <w:r>
              <w:rPr>
                <w:snapToGrid w:val="0"/>
                <w:color w:val="auto"/>
              </w:rPr>
              <w:t>本项目产品为报废</w:t>
            </w:r>
            <w:r>
              <w:rPr>
                <w:snapToGrid w:val="0"/>
                <w:color w:val="auto"/>
                <w:szCs w:val="21"/>
              </w:rPr>
              <w:t>农用机械</w:t>
            </w:r>
            <w:r>
              <w:rPr>
                <w:snapToGrid w:val="0"/>
                <w:color w:val="auto"/>
              </w:rPr>
              <w:t>拆解下来的各种可回收利用物品和零部件，包括废钢铁、废有色金属、废塑料、废玻璃、废橡胶等，根据行业相关资料，报废</w:t>
            </w:r>
            <w:r>
              <w:rPr>
                <w:snapToGrid w:val="0"/>
                <w:color w:val="auto"/>
                <w:szCs w:val="21"/>
              </w:rPr>
              <w:t>农用机械</w:t>
            </w:r>
            <w:r>
              <w:rPr>
                <w:snapToGrid w:val="0"/>
                <w:color w:val="auto"/>
              </w:rPr>
              <w:t>拆解产物种类及产量见下表。</w:t>
            </w:r>
          </w:p>
          <w:p>
            <w:pPr>
              <w:pStyle w:val="56"/>
              <w:rPr>
                <w:color w:val="auto"/>
              </w:rPr>
            </w:pPr>
            <w:r>
              <w:rPr>
                <w:color w:val="auto"/>
              </w:rPr>
              <w:object>
                <v:shape id="_x0000_i1025" o:spt="75" type="#_x0000_t75" style="height:624.75pt;width:333.75pt;" o:ole="t" filled="f" o:preferrelative="t" stroked="f" coordsize="21600,21600">
                  <v:path/>
                  <v:fill on="f" focussize="0,0"/>
                  <v:stroke on="f"/>
                  <v:imagedata r:id="rId12" o:title=""/>
                  <o:lock v:ext="edit" aspectratio="f"/>
                  <w10:wrap type="none"/>
                  <w10:anchorlock/>
                </v:shape>
                <o:OLEObject Type="Embed" ProgID="Visio.Drawing.15" ShapeID="_x0000_i1025" DrawAspect="Content" ObjectID="_1468075725" r:id="rId11">
                  <o:LockedField>false</o:LockedField>
                </o:OLEObject>
              </w:object>
            </w:r>
          </w:p>
          <w:p>
            <w:pPr>
              <w:pStyle w:val="76"/>
              <w:rPr>
                <w:rFonts w:hint="eastAsia" w:eastAsia="宋体"/>
                <w:color w:val="auto"/>
                <w:lang w:eastAsia="zh-CN"/>
              </w:rPr>
            </w:pPr>
            <w:r>
              <w:rPr>
                <w:rFonts w:hint="eastAsia"/>
                <w:color w:val="auto"/>
              </w:rPr>
              <w:t>图2</w:t>
            </w:r>
            <w:r>
              <w:rPr>
                <w:color w:val="auto"/>
              </w:rPr>
              <w:t xml:space="preserve">-1 </w:t>
            </w:r>
            <w:r>
              <w:rPr>
                <w:rFonts w:hint="eastAsia"/>
                <w:color w:val="auto"/>
              </w:rPr>
              <w:t>物料平衡图</w:t>
            </w:r>
            <w:r>
              <w:rPr>
                <w:rFonts w:hint="eastAsia"/>
                <w:color w:val="auto"/>
                <w:lang w:eastAsia="zh-CN"/>
              </w:rPr>
              <w:t>（</w:t>
            </w:r>
            <w:r>
              <w:rPr>
                <w:rFonts w:hint="eastAsia"/>
                <w:color w:val="auto"/>
                <w:lang w:val="en-US" w:eastAsia="zh-CN"/>
              </w:rPr>
              <w:t>t/a</w:t>
            </w:r>
            <w:r>
              <w:rPr>
                <w:rFonts w:hint="eastAsia"/>
                <w:color w:val="auto"/>
                <w:lang w:eastAsia="zh-CN"/>
              </w:rPr>
              <w:t>）</w:t>
            </w:r>
          </w:p>
          <w:p>
            <w:pPr>
              <w:pStyle w:val="76"/>
              <w:rPr>
                <w:color w:val="auto"/>
              </w:rPr>
            </w:pPr>
            <w:r>
              <w:rPr>
                <w:color w:val="auto"/>
              </w:rPr>
              <w:t>表2-4 拆解物品产生量一览表</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2114"/>
              <w:gridCol w:w="1089"/>
              <w:gridCol w:w="1324"/>
              <w:gridCol w:w="29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序号</w:t>
                  </w:r>
                </w:p>
              </w:tc>
              <w:tc>
                <w:tcPr>
                  <w:tcW w:w="1914" w:type="dxa"/>
                  <w:vAlign w:val="center"/>
                </w:tcPr>
                <w:p>
                  <w:pPr>
                    <w:adjustRightInd w:val="0"/>
                    <w:snapToGrid w:val="0"/>
                    <w:jc w:val="center"/>
                    <w:rPr>
                      <w:bCs/>
                      <w:color w:val="auto"/>
                      <w:szCs w:val="21"/>
                    </w:rPr>
                  </w:pPr>
                  <w:r>
                    <w:rPr>
                      <w:bCs/>
                      <w:color w:val="auto"/>
                      <w:szCs w:val="21"/>
                    </w:rPr>
                    <w:t>名称</w:t>
                  </w:r>
                </w:p>
              </w:tc>
              <w:tc>
                <w:tcPr>
                  <w:tcW w:w="986" w:type="dxa"/>
                  <w:vAlign w:val="center"/>
                </w:tcPr>
                <w:p>
                  <w:pPr>
                    <w:adjustRightInd w:val="0"/>
                    <w:snapToGrid w:val="0"/>
                    <w:jc w:val="center"/>
                    <w:rPr>
                      <w:bCs/>
                      <w:color w:val="auto"/>
                      <w:szCs w:val="21"/>
                    </w:rPr>
                  </w:pPr>
                  <w:r>
                    <w:rPr>
                      <w:bCs/>
                      <w:color w:val="auto"/>
                      <w:szCs w:val="21"/>
                    </w:rPr>
                    <w:t>比例（%）</w:t>
                  </w:r>
                </w:p>
              </w:tc>
              <w:tc>
                <w:tcPr>
                  <w:tcW w:w="1199" w:type="dxa"/>
                  <w:vAlign w:val="center"/>
                </w:tcPr>
                <w:p>
                  <w:pPr>
                    <w:adjustRightInd w:val="0"/>
                    <w:snapToGrid w:val="0"/>
                    <w:jc w:val="center"/>
                    <w:rPr>
                      <w:bCs/>
                      <w:color w:val="auto"/>
                      <w:szCs w:val="21"/>
                    </w:rPr>
                  </w:pPr>
                  <w:r>
                    <w:rPr>
                      <w:bCs/>
                      <w:color w:val="auto"/>
                      <w:szCs w:val="21"/>
                    </w:rPr>
                    <w:t>数量（t/a）</w:t>
                  </w:r>
                </w:p>
              </w:tc>
              <w:tc>
                <w:tcPr>
                  <w:tcW w:w="2630" w:type="dxa"/>
                  <w:vAlign w:val="center"/>
                </w:tcPr>
                <w:p>
                  <w:pPr>
                    <w:adjustRightInd w:val="0"/>
                    <w:snapToGrid w:val="0"/>
                    <w:jc w:val="center"/>
                    <w:rPr>
                      <w:bCs/>
                      <w:color w:val="auto"/>
                      <w:szCs w:val="21"/>
                    </w:rPr>
                  </w:pPr>
                  <w:r>
                    <w:rPr>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adjustRightInd w:val="0"/>
                    <w:snapToGrid w:val="0"/>
                    <w:jc w:val="left"/>
                    <w:rPr>
                      <w:b/>
                      <w:color w:val="auto"/>
                      <w:szCs w:val="21"/>
                    </w:rPr>
                  </w:pPr>
                  <w:r>
                    <w:rPr>
                      <w:b/>
                      <w:color w:val="auto"/>
                      <w:szCs w:val="21"/>
                    </w:rPr>
                    <w:t>一、拆解产品（可回收利用）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w:t>
                  </w:r>
                </w:p>
              </w:tc>
              <w:tc>
                <w:tcPr>
                  <w:tcW w:w="1914" w:type="dxa"/>
                  <w:vAlign w:val="center"/>
                </w:tcPr>
                <w:p>
                  <w:pPr>
                    <w:adjustRightInd w:val="0"/>
                    <w:snapToGrid w:val="0"/>
                    <w:jc w:val="center"/>
                    <w:rPr>
                      <w:bCs/>
                      <w:color w:val="auto"/>
                      <w:szCs w:val="21"/>
                    </w:rPr>
                  </w:pPr>
                  <w:r>
                    <w:rPr>
                      <w:bCs/>
                      <w:color w:val="auto"/>
                      <w:szCs w:val="21"/>
                    </w:rPr>
                    <w:t>废钢铁</w:t>
                  </w:r>
                </w:p>
              </w:tc>
              <w:tc>
                <w:tcPr>
                  <w:tcW w:w="986" w:type="dxa"/>
                  <w:vAlign w:val="center"/>
                </w:tcPr>
                <w:p>
                  <w:pPr>
                    <w:adjustRightInd w:val="0"/>
                    <w:snapToGrid w:val="0"/>
                    <w:jc w:val="center"/>
                    <w:rPr>
                      <w:bCs/>
                      <w:color w:val="auto"/>
                      <w:szCs w:val="21"/>
                    </w:rPr>
                  </w:pPr>
                  <w:r>
                    <w:rPr>
                      <w:bCs/>
                      <w:color w:val="auto"/>
                      <w:szCs w:val="21"/>
                    </w:rPr>
                    <w:t>65.98</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1979.4</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2</w:t>
                  </w:r>
                </w:p>
              </w:tc>
              <w:tc>
                <w:tcPr>
                  <w:tcW w:w="1914" w:type="dxa"/>
                  <w:vAlign w:val="center"/>
                </w:tcPr>
                <w:p>
                  <w:pPr>
                    <w:adjustRightInd w:val="0"/>
                    <w:snapToGrid w:val="0"/>
                    <w:jc w:val="center"/>
                    <w:rPr>
                      <w:bCs/>
                      <w:color w:val="auto"/>
                      <w:szCs w:val="21"/>
                    </w:rPr>
                  </w:pPr>
                  <w:r>
                    <w:rPr>
                      <w:bCs/>
                      <w:color w:val="auto"/>
                      <w:szCs w:val="21"/>
                    </w:rPr>
                    <w:t>废有色金属</w:t>
                  </w:r>
                </w:p>
              </w:tc>
              <w:tc>
                <w:tcPr>
                  <w:tcW w:w="986" w:type="dxa"/>
                  <w:vAlign w:val="center"/>
                </w:tcPr>
                <w:p>
                  <w:pPr>
                    <w:adjustRightInd w:val="0"/>
                    <w:snapToGrid w:val="0"/>
                    <w:jc w:val="center"/>
                    <w:rPr>
                      <w:bCs/>
                      <w:color w:val="auto"/>
                      <w:szCs w:val="21"/>
                    </w:rPr>
                  </w:pPr>
                  <w:r>
                    <w:rPr>
                      <w:bCs/>
                      <w:color w:val="auto"/>
                      <w:szCs w:val="21"/>
                    </w:rPr>
                    <w:t>10</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300</w:t>
                  </w:r>
                </w:p>
              </w:tc>
              <w:tc>
                <w:tcPr>
                  <w:tcW w:w="2630" w:type="dxa"/>
                  <w:vAlign w:val="center"/>
                </w:tcPr>
                <w:p>
                  <w:pPr>
                    <w:adjustRightInd w:val="0"/>
                    <w:snapToGrid w:val="0"/>
                    <w:rPr>
                      <w:bCs/>
                      <w:color w:val="auto"/>
                      <w:szCs w:val="21"/>
                    </w:rPr>
                  </w:pPr>
                  <w:r>
                    <w:rPr>
                      <w:bCs/>
                      <w:color w:val="auto"/>
                      <w:szCs w:val="21"/>
                    </w:rPr>
                    <w:t>铝71%、铜21%、镁0.3%、钛0.13%、其他7.57%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3</w:t>
                  </w:r>
                </w:p>
              </w:tc>
              <w:tc>
                <w:tcPr>
                  <w:tcW w:w="1914" w:type="dxa"/>
                  <w:vAlign w:val="center"/>
                </w:tcPr>
                <w:p>
                  <w:pPr>
                    <w:adjustRightInd w:val="0"/>
                    <w:snapToGrid w:val="0"/>
                    <w:jc w:val="center"/>
                    <w:rPr>
                      <w:bCs/>
                      <w:color w:val="auto"/>
                      <w:szCs w:val="21"/>
                    </w:rPr>
                  </w:pPr>
                  <w:r>
                    <w:rPr>
                      <w:bCs/>
                      <w:color w:val="auto"/>
                      <w:szCs w:val="21"/>
                    </w:rPr>
                    <w:t>废塑料</w:t>
                  </w:r>
                </w:p>
              </w:tc>
              <w:tc>
                <w:tcPr>
                  <w:tcW w:w="986" w:type="dxa"/>
                  <w:vAlign w:val="center"/>
                </w:tcPr>
                <w:p>
                  <w:pPr>
                    <w:adjustRightInd w:val="0"/>
                    <w:snapToGrid w:val="0"/>
                    <w:jc w:val="center"/>
                    <w:rPr>
                      <w:bCs/>
                      <w:color w:val="auto"/>
                      <w:szCs w:val="21"/>
                    </w:rPr>
                  </w:pPr>
                  <w:r>
                    <w:rPr>
                      <w:bCs/>
                      <w:color w:val="auto"/>
                      <w:szCs w:val="21"/>
                    </w:rPr>
                    <w:t>8</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240</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4</w:t>
                  </w:r>
                </w:p>
              </w:tc>
              <w:tc>
                <w:tcPr>
                  <w:tcW w:w="1914" w:type="dxa"/>
                  <w:vAlign w:val="center"/>
                </w:tcPr>
                <w:p>
                  <w:pPr>
                    <w:adjustRightInd w:val="0"/>
                    <w:snapToGrid w:val="0"/>
                    <w:jc w:val="center"/>
                    <w:rPr>
                      <w:bCs/>
                      <w:color w:val="auto"/>
                      <w:szCs w:val="21"/>
                    </w:rPr>
                  </w:pPr>
                  <w:r>
                    <w:rPr>
                      <w:bCs/>
                      <w:color w:val="auto"/>
                      <w:szCs w:val="21"/>
                    </w:rPr>
                    <w:t>废座椅</w:t>
                  </w:r>
                </w:p>
              </w:tc>
              <w:tc>
                <w:tcPr>
                  <w:tcW w:w="986" w:type="dxa"/>
                  <w:vAlign w:val="center"/>
                </w:tcPr>
                <w:p>
                  <w:pPr>
                    <w:adjustRightInd w:val="0"/>
                    <w:snapToGrid w:val="0"/>
                    <w:jc w:val="center"/>
                    <w:rPr>
                      <w:bCs/>
                      <w:color w:val="auto"/>
                      <w:szCs w:val="21"/>
                    </w:rPr>
                  </w:pPr>
                  <w:r>
                    <w:rPr>
                      <w:bCs/>
                      <w:color w:val="auto"/>
                      <w:szCs w:val="21"/>
                    </w:rPr>
                    <w:t>2.2</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66</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5</w:t>
                  </w:r>
                </w:p>
              </w:tc>
              <w:tc>
                <w:tcPr>
                  <w:tcW w:w="1914" w:type="dxa"/>
                  <w:vAlign w:val="center"/>
                </w:tcPr>
                <w:p>
                  <w:pPr>
                    <w:adjustRightInd w:val="0"/>
                    <w:snapToGrid w:val="0"/>
                    <w:jc w:val="center"/>
                    <w:rPr>
                      <w:bCs/>
                      <w:color w:val="auto"/>
                      <w:szCs w:val="21"/>
                    </w:rPr>
                  </w:pPr>
                  <w:r>
                    <w:rPr>
                      <w:bCs/>
                      <w:color w:val="auto"/>
                      <w:szCs w:val="21"/>
                    </w:rPr>
                    <w:t>废玻璃</w:t>
                  </w:r>
                </w:p>
              </w:tc>
              <w:tc>
                <w:tcPr>
                  <w:tcW w:w="986" w:type="dxa"/>
                  <w:vAlign w:val="center"/>
                </w:tcPr>
                <w:p>
                  <w:pPr>
                    <w:adjustRightInd w:val="0"/>
                    <w:snapToGrid w:val="0"/>
                    <w:jc w:val="center"/>
                    <w:rPr>
                      <w:bCs/>
                      <w:color w:val="auto"/>
                      <w:szCs w:val="21"/>
                    </w:rPr>
                  </w:pPr>
                  <w:r>
                    <w:rPr>
                      <w:bCs/>
                      <w:color w:val="auto"/>
                      <w:szCs w:val="21"/>
                    </w:rPr>
                    <w:t>3.2</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96</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6</w:t>
                  </w:r>
                </w:p>
              </w:tc>
              <w:tc>
                <w:tcPr>
                  <w:tcW w:w="1914" w:type="dxa"/>
                  <w:vAlign w:val="center"/>
                </w:tcPr>
                <w:p>
                  <w:pPr>
                    <w:adjustRightInd w:val="0"/>
                    <w:snapToGrid w:val="0"/>
                    <w:jc w:val="center"/>
                    <w:rPr>
                      <w:bCs/>
                      <w:color w:val="auto"/>
                      <w:szCs w:val="21"/>
                    </w:rPr>
                  </w:pPr>
                  <w:r>
                    <w:rPr>
                      <w:bCs/>
                      <w:color w:val="auto"/>
                      <w:szCs w:val="21"/>
                    </w:rPr>
                    <w:t>废橡胶</w:t>
                  </w:r>
                </w:p>
              </w:tc>
              <w:tc>
                <w:tcPr>
                  <w:tcW w:w="986" w:type="dxa"/>
                  <w:vAlign w:val="center"/>
                </w:tcPr>
                <w:p>
                  <w:pPr>
                    <w:adjustRightInd w:val="0"/>
                    <w:snapToGrid w:val="0"/>
                    <w:jc w:val="center"/>
                    <w:rPr>
                      <w:bCs/>
                      <w:color w:val="auto"/>
                      <w:szCs w:val="21"/>
                    </w:rPr>
                  </w:pPr>
                  <w:r>
                    <w:rPr>
                      <w:bCs/>
                      <w:color w:val="auto"/>
                      <w:szCs w:val="21"/>
                    </w:rPr>
                    <w:t>5</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150</w:t>
                  </w:r>
                </w:p>
              </w:tc>
              <w:tc>
                <w:tcPr>
                  <w:tcW w:w="2630" w:type="dxa"/>
                  <w:vAlign w:val="center"/>
                </w:tcPr>
                <w:p>
                  <w:pPr>
                    <w:adjustRightInd w:val="0"/>
                    <w:snapToGrid w:val="0"/>
                    <w:jc w:val="center"/>
                    <w:rPr>
                      <w:b/>
                      <w:color w:val="auto"/>
                      <w:szCs w:val="21"/>
                    </w:rPr>
                  </w:pPr>
                  <w:r>
                    <w:rPr>
                      <w:bCs/>
                      <w:color w:val="auto"/>
                      <w:szCs w:val="21"/>
                    </w:rPr>
                    <w:t>含废轮胎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7</w:t>
                  </w:r>
                </w:p>
              </w:tc>
              <w:tc>
                <w:tcPr>
                  <w:tcW w:w="1914" w:type="dxa"/>
                  <w:vAlign w:val="center"/>
                </w:tcPr>
                <w:p>
                  <w:pPr>
                    <w:adjustRightInd w:val="0"/>
                    <w:snapToGrid w:val="0"/>
                    <w:jc w:val="center"/>
                    <w:rPr>
                      <w:bCs/>
                      <w:color w:val="auto"/>
                      <w:szCs w:val="21"/>
                    </w:rPr>
                  </w:pPr>
                  <w:r>
                    <w:rPr>
                      <w:bCs/>
                      <w:color w:val="auto"/>
                      <w:szCs w:val="21"/>
                    </w:rPr>
                    <w:t>废电子电器部件</w:t>
                  </w:r>
                </w:p>
              </w:tc>
              <w:tc>
                <w:tcPr>
                  <w:tcW w:w="986" w:type="dxa"/>
                  <w:vAlign w:val="center"/>
                </w:tcPr>
                <w:p>
                  <w:pPr>
                    <w:adjustRightInd w:val="0"/>
                    <w:snapToGrid w:val="0"/>
                    <w:jc w:val="center"/>
                    <w:rPr>
                      <w:bCs/>
                      <w:color w:val="auto"/>
                      <w:szCs w:val="21"/>
                    </w:rPr>
                  </w:pPr>
                  <w:r>
                    <w:rPr>
                      <w:bCs/>
                      <w:color w:val="auto"/>
                      <w:szCs w:val="21"/>
                    </w:rPr>
                    <w:t>0.5</w:t>
                  </w:r>
                </w:p>
              </w:tc>
              <w:tc>
                <w:tcPr>
                  <w:tcW w:w="1199" w:type="dxa"/>
                  <w:vAlign w:val="center"/>
                </w:tcPr>
                <w:p>
                  <w:pPr>
                    <w:adjustRightInd w:val="0"/>
                    <w:snapToGrid w:val="0"/>
                    <w:jc w:val="center"/>
                    <w:rPr>
                      <w:rFonts w:hint="default"/>
                      <w:bCs/>
                      <w:color w:val="auto"/>
                      <w:szCs w:val="21"/>
                      <w:lang w:val="en-US" w:eastAsia="zh-CN"/>
                    </w:rPr>
                  </w:pPr>
                  <w:r>
                    <w:rPr>
                      <w:rFonts w:hint="eastAsia"/>
                      <w:bCs/>
                      <w:color w:val="auto"/>
                      <w:szCs w:val="21"/>
                      <w:lang w:val="en-US" w:eastAsia="zh-CN"/>
                    </w:rPr>
                    <w:t>15</w:t>
                  </w:r>
                </w:p>
              </w:tc>
              <w:tc>
                <w:tcPr>
                  <w:tcW w:w="2630" w:type="dxa"/>
                  <w:vAlign w:val="center"/>
                </w:tcPr>
                <w:p>
                  <w:pPr>
                    <w:adjustRightInd w:val="0"/>
                    <w:snapToGrid w:val="0"/>
                    <w:rPr>
                      <w:b/>
                      <w:color w:val="auto"/>
                      <w:szCs w:val="21"/>
                    </w:rPr>
                  </w:pPr>
                  <w:r>
                    <w:rPr>
                      <w:bCs/>
                      <w:color w:val="auto"/>
                      <w:szCs w:val="21"/>
                    </w:rPr>
                    <w:t>包括仪表盘、电动机和发电机、电线电缆以及其他电子电器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adjustRightInd w:val="0"/>
                    <w:snapToGrid w:val="0"/>
                    <w:rPr>
                      <w:b/>
                      <w:color w:val="auto"/>
                      <w:szCs w:val="21"/>
                    </w:rPr>
                  </w:pPr>
                  <w:r>
                    <w:rPr>
                      <w:b/>
                      <w:color w:val="auto"/>
                      <w:szCs w:val="21"/>
                    </w:rPr>
                    <w:t>二、拆解废物（不可利用）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8</w:t>
                  </w:r>
                </w:p>
              </w:tc>
              <w:tc>
                <w:tcPr>
                  <w:tcW w:w="1914" w:type="dxa"/>
                  <w:vAlign w:val="center"/>
                </w:tcPr>
                <w:p>
                  <w:pPr>
                    <w:adjustRightInd w:val="0"/>
                    <w:snapToGrid w:val="0"/>
                    <w:jc w:val="center"/>
                    <w:rPr>
                      <w:bCs/>
                      <w:color w:val="auto"/>
                      <w:szCs w:val="21"/>
                    </w:rPr>
                  </w:pPr>
                  <w:r>
                    <w:rPr>
                      <w:bCs/>
                      <w:color w:val="auto"/>
                      <w:szCs w:val="21"/>
                    </w:rPr>
                    <w:t>水箱废水</w:t>
                  </w:r>
                </w:p>
                <w:p>
                  <w:pPr>
                    <w:adjustRightInd w:val="0"/>
                    <w:snapToGrid w:val="0"/>
                    <w:jc w:val="center"/>
                    <w:rPr>
                      <w:bCs/>
                      <w:color w:val="auto"/>
                      <w:szCs w:val="21"/>
                    </w:rPr>
                  </w:pPr>
                  <w:r>
                    <w:rPr>
                      <w:bCs/>
                      <w:color w:val="auto"/>
                      <w:szCs w:val="21"/>
                    </w:rPr>
                    <w:t>（废防冻液）</w:t>
                  </w:r>
                </w:p>
              </w:tc>
              <w:tc>
                <w:tcPr>
                  <w:tcW w:w="986" w:type="dxa"/>
                  <w:vAlign w:val="center"/>
                </w:tcPr>
                <w:p>
                  <w:pPr>
                    <w:adjustRightInd w:val="0"/>
                    <w:snapToGrid w:val="0"/>
                    <w:jc w:val="center"/>
                    <w:rPr>
                      <w:bCs/>
                      <w:color w:val="auto"/>
                      <w:szCs w:val="21"/>
                    </w:rPr>
                  </w:pPr>
                  <w:r>
                    <w:rPr>
                      <w:bCs/>
                      <w:color w:val="auto"/>
                      <w:szCs w:val="21"/>
                    </w:rPr>
                    <w:t>0.05</w:t>
                  </w:r>
                </w:p>
              </w:tc>
              <w:tc>
                <w:tcPr>
                  <w:tcW w:w="1199" w:type="dxa"/>
                  <w:vAlign w:val="center"/>
                </w:tcPr>
                <w:p>
                  <w:pPr>
                    <w:adjustRightInd w:val="0"/>
                    <w:snapToGrid w:val="0"/>
                    <w:jc w:val="center"/>
                    <w:rPr>
                      <w:rFonts w:hint="default"/>
                      <w:bCs/>
                      <w:color w:val="auto"/>
                      <w:szCs w:val="21"/>
                      <w:lang w:val="en-US"/>
                    </w:rPr>
                  </w:pPr>
                  <w:r>
                    <w:rPr>
                      <w:rFonts w:hint="eastAsia"/>
                      <w:bCs/>
                      <w:color w:val="auto"/>
                      <w:szCs w:val="21"/>
                      <w:lang w:val="en-US" w:eastAsia="zh-CN"/>
                    </w:rPr>
                    <w:t>1.5</w:t>
                  </w:r>
                </w:p>
              </w:tc>
              <w:tc>
                <w:tcPr>
                  <w:tcW w:w="2630" w:type="dxa"/>
                  <w:vAlign w:val="center"/>
                </w:tcPr>
                <w:p>
                  <w:pPr>
                    <w:adjustRightInd w:val="0"/>
                    <w:snapToGrid w:val="0"/>
                    <w:jc w:val="center"/>
                    <w:rPr>
                      <w:rFonts w:hint="default" w:eastAsia="宋体"/>
                      <w:bCs/>
                      <w:color w:val="auto"/>
                      <w:szCs w:val="21"/>
                      <w:lang w:val="en-US" w:eastAsia="zh-CN"/>
                    </w:rPr>
                  </w:pPr>
                  <w:r>
                    <w:rPr>
                      <w:rFonts w:hint="eastAsia"/>
                      <w:snapToGrid w:val="0"/>
                      <w:color w:val="auto"/>
                      <w:szCs w:val="21"/>
                    </w:rPr>
                    <w:t>危险废物</w:t>
                  </w:r>
                  <w:r>
                    <w:rPr>
                      <w:rFonts w:hint="eastAsia"/>
                      <w:snapToGrid w:val="0"/>
                      <w:color w:val="auto"/>
                      <w:szCs w:val="21"/>
                      <w:lang w:eastAsia="zh-CN"/>
                    </w:rPr>
                    <w:t>，</w:t>
                  </w:r>
                  <w:r>
                    <w:rPr>
                      <w:rFonts w:hint="eastAsia"/>
                      <w:snapToGrid w:val="0"/>
                      <w:color w:val="auto"/>
                      <w:szCs w:val="21"/>
                      <w:lang w:val="en-US" w:eastAsia="zh-CN"/>
                    </w:rPr>
                    <w:t>主要为防冻液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9</w:t>
                  </w:r>
                </w:p>
              </w:tc>
              <w:tc>
                <w:tcPr>
                  <w:tcW w:w="1914" w:type="dxa"/>
                  <w:vAlign w:val="center"/>
                </w:tcPr>
                <w:p>
                  <w:pPr>
                    <w:adjustRightInd w:val="0"/>
                    <w:snapToGrid w:val="0"/>
                    <w:jc w:val="center"/>
                    <w:rPr>
                      <w:bCs/>
                      <w:color w:val="auto"/>
                      <w:szCs w:val="21"/>
                    </w:rPr>
                  </w:pPr>
                  <w:r>
                    <w:rPr>
                      <w:bCs/>
                      <w:color w:val="auto"/>
                      <w:szCs w:val="21"/>
                    </w:rPr>
                    <w:t>废蓄电池</w:t>
                  </w:r>
                </w:p>
              </w:tc>
              <w:tc>
                <w:tcPr>
                  <w:tcW w:w="986" w:type="dxa"/>
                  <w:vAlign w:val="center"/>
                </w:tcPr>
                <w:p>
                  <w:pPr>
                    <w:adjustRightInd w:val="0"/>
                    <w:snapToGrid w:val="0"/>
                    <w:jc w:val="center"/>
                    <w:rPr>
                      <w:bCs/>
                      <w:color w:val="auto"/>
                      <w:szCs w:val="21"/>
                    </w:rPr>
                  </w:pPr>
                  <w:r>
                    <w:rPr>
                      <w:bCs/>
                      <w:color w:val="auto"/>
                      <w:szCs w:val="21"/>
                    </w:rPr>
                    <w:t>0.75</w:t>
                  </w:r>
                </w:p>
              </w:tc>
              <w:tc>
                <w:tcPr>
                  <w:tcW w:w="1199" w:type="dxa"/>
                  <w:vAlign w:val="center"/>
                </w:tcPr>
                <w:p>
                  <w:pPr>
                    <w:adjustRightInd w:val="0"/>
                    <w:snapToGrid w:val="0"/>
                    <w:jc w:val="center"/>
                    <w:rPr>
                      <w:rFonts w:hint="default"/>
                      <w:bCs/>
                      <w:color w:val="auto"/>
                      <w:szCs w:val="21"/>
                      <w:lang w:val="en-US"/>
                    </w:rPr>
                  </w:pPr>
                  <w:r>
                    <w:rPr>
                      <w:rFonts w:hint="eastAsia"/>
                      <w:bCs/>
                      <w:color w:val="auto"/>
                      <w:szCs w:val="21"/>
                      <w:lang w:val="en-US" w:eastAsia="zh-CN"/>
                    </w:rPr>
                    <w:t>22.5</w:t>
                  </w:r>
                </w:p>
              </w:tc>
              <w:tc>
                <w:tcPr>
                  <w:tcW w:w="2630" w:type="dxa"/>
                  <w:vAlign w:val="center"/>
                </w:tcPr>
                <w:p>
                  <w:pPr>
                    <w:adjustRightInd w:val="0"/>
                    <w:snapToGrid w:val="0"/>
                    <w:jc w:val="center"/>
                    <w:rPr>
                      <w:b/>
                      <w:color w:val="auto"/>
                      <w:szCs w:val="21"/>
                    </w:rPr>
                  </w:pPr>
                  <w:r>
                    <w:rPr>
                      <w:bCs/>
                      <w:color w:val="auto"/>
                      <w:szCs w:val="21"/>
                    </w:rPr>
                    <w:t>危险废物，包括铅酸蓄电池和镉镍电池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10</w:t>
                  </w:r>
                </w:p>
              </w:tc>
              <w:tc>
                <w:tcPr>
                  <w:tcW w:w="1914" w:type="dxa"/>
                  <w:vAlign w:val="center"/>
                </w:tcPr>
                <w:p>
                  <w:pPr>
                    <w:adjustRightInd w:val="0"/>
                    <w:snapToGrid w:val="0"/>
                    <w:jc w:val="center"/>
                    <w:rPr>
                      <w:bCs/>
                      <w:color w:val="auto"/>
                      <w:szCs w:val="21"/>
                    </w:rPr>
                  </w:pPr>
                  <w:r>
                    <w:rPr>
                      <w:bCs/>
                      <w:color w:val="auto"/>
                      <w:szCs w:val="21"/>
                    </w:rPr>
                    <w:t>废油液</w:t>
                  </w:r>
                </w:p>
              </w:tc>
              <w:tc>
                <w:tcPr>
                  <w:tcW w:w="986" w:type="dxa"/>
                  <w:vAlign w:val="center"/>
                </w:tcPr>
                <w:p>
                  <w:pPr>
                    <w:adjustRightInd w:val="0"/>
                    <w:snapToGrid w:val="0"/>
                    <w:jc w:val="center"/>
                    <w:rPr>
                      <w:bCs/>
                      <w:color w:val="auto"/>
                      <w:szCs w:val="21"/>
                    </w:rPr>
                  </w:pPr>
                  <w:r>
                    <w:rPr>
                      <w:bCs/>
                      <w:color w:val="auto"/>
                      <w:szCs w:val="21"/>
                    </w:rPr>
                    <w:t>1.1</w:t>
                  </w:r>
                </w:p>
              </w:tc>
              <w:tc>
                <w:tcPr>
                  <w:tcW w:w="1199" w:type="dxa"/>
                  <w:vAlign w:val="center"/>
                </w:tcPr>
                <w:p>
                  <w:pPr>
                    <w:adjustRightInd w:val="0"/>
                    <w:snapToGrid w:val="0"/>
                    <w:jc w:val="center"/>
                    <w:rPr>
                      <w:rFonts w:hint="default"/>
                      <w:bCs/>
                      <w:color w:val="auto"/>
                      <w:szCs w:val="21"/>
                      <w:lang w:val="en-US"/>
                    </w:rPr>
                  </w:pPr>
                  <w:r>
                    <w:rPr>
                      <w:rFonts w:hint="eastAsia"/>
                      <w:bCs/>
                      <w:color w:val="auto"/>
                      <w:szCs w:val="21"/>
                      <w:lang w:val="en-US" w:eastAsia="zh-CN"/>
                    </w:rPr>
                    <w:t>33</w:t>
                  </w:r>
                </w:p>
              </w:tc>
              <w:tc>
                <w:tcPr>
                  <w:tcW w:w="2630" w:type="dxa"/>
                  <w:vAlign w:val="center"/>
                </w:tcPr>
                <w:p>
                  <w:pPr>
                    <w:adjustRightInd w:val="0"/>
                    <w:snapToGrid w:val="0"/>
                    <w:rPr>
                      <w:bCs/>
                      <w:color w:val="auto"/>
                      <w:szCs w:val="21"/>
                    </w:rPr>
                  </w:pPr>
                  <w:r>
                    <w:rPr>
                      <w:bCs/>
                      <w:color w:val="auto"/>
                      <w:szCs w:val="21"/>
                    </w:rPr>
                    <w:t>危险废物，柴油、机油、润滑剂、液压油等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11</w:t>
                  </w:r>
                </w:p>
              </w:tc>
              <w:tc>
                <w:tcPr>
                  <w:tcW w:w="1914" w:type="dxa"/>
                  <w:vAlign w:val="center"/>
                </w:tcPr>
                <w:p>
                  <w:pPr>
                    <w:adjustRightInd w:val="0"/>
                    <w:snapToGrid w:val="0"/>
                    <w:jc w:val="center"/>
                    <w:rPr>
                      <w:bCs/>
                      <w:color w:val="auto"/>
                      <w:szCs w:val="21"/>
                    </w:rPr>
                  </w:pPr>
                  <w:r>
                    <w:rPr>
                      <w:bCs/>
                      <w:color w:val="auto"/>
                      <w:szCs w:val="21"/>
                    </w:rPr>
                    <w:t>废电容器</w:t>
                  </w:r>
                </w:p>
              </w:tc>
              <w:tc>
                <w:tcPr>
                  <w:tcW w:w="986" w:type="dxa"/>
                  <w:vAlign w:val="center"/>
                </w:tcPr>
                <w:p>
                  <w:pPr>
                    <w:adjustRightInd w:val="0"/>
                    <w:snapToGrid w:val="0"/>
                    <w:jc w:val="center"/>
                    <w:rPr>
                      <w:bCs/>
                      <w:color w:val="auto"/>
                      <w:szCs w:val="21"/>
                    </w:rPr>
                  </w:pPr>
                  <w:r>
                    <w:rPr>
                      <w:bCs/>
                      <w:color w:val="auto"/>
                      <w:szCs w:val="21"/>
                    </w:rPr>
                    <w:t>0.02</w:t>
                  </w:r>
                </w:p>
              </w:tc>
              <w:tc>
                <w:tcPr>
                  <w:tcW w:w="1199" w:type="dxa"/>
                  <w:vAlign w:val="center"/>
                </w:tcPr>
                <w:p>
                  <w:pPr>
                    <w:adjustRightInd w:val="0"/>
                    <w:snapToGrid w:val="0"/>
                    <w:jc w:val="center"/>
                    <w:rPr>
                      <w:rFonts w:hint="default"/>
                      <w:bCs/>
                      <w:color w:val="auto"/>
                      <w:szCs w:val="21"/>
                      <w:lang w:val="en-US"/>
                    </w:rPr>
                  </w:pPr>
                  <w:r>
                    <w:rPr>
                      <w:rFonts w:hint="eastAsia"/>
                      <w:bCs/>
                      <w:color w:val="auto"/>
                      <w:szCs w:val="21"/>
                      <w:lang w:val="en-US" w:eastAsia="zh-CN"/>
                    </w:rPr>
                    <w:t>0.6</w:t>
                  </w:r>
                </w:p>
              </w:tc>
              <w:tc>
                <w:tcPr>
                  <w:tcW w:w="2630" w:type="dxa"/>
                  <w:vAlign w:val="center"/>
                </w:tcPr>
                <w:p>
                  <w:pPr>
                    <w:adjustRightInd w:val="0"/>
                    <w:snapToGrid w:val="0"/>
                    <w:rPr>
                      <w:bCs/>
                      <w:color w:val="auto"/>
                      <w:szCs w:val="21"/>
                    </w:rPr>
                  </w:pPr>
                  <w:r>
                    <w:rPr>
                      <w:bCs/>
                      <w:color w:val="auto"/>
                      <w:szCs w:val="21"/>
                    </w:rPr>
                    <w:t>危险废物，内含多氯联苯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12</w:t>
                  </w:r>
                </w:p>
              </w:tc>
              <w:tc>
                <w:tcPr>
                  <w:tcW w:w="1914" w:type="dxa"/>
                  <w:vAlign w:val="center"/>
                </w:tcPr>
                <w:p>
                  <w:pPr>
                    <w:adjustRightInd w:val="0"/>
                    <w:snapToGrid w:val="0"/>
                    <w:jc w:val="center"/>
                    <w:rPr>
                      <w:rFonts w:hint="eastAsia" w:eastAsia="宋体"/>
                      <w:bCs/>
                      <w:color w:val="auto"/>
                      <w:szCs w:val="21"/>
                      <w:lang w:eastAsia="zh-CN"/>
                    </w:rPr>
                  </w:pPr>
                  <w:r>
                    <w:rPr>
                      <w:rFonts w:hint="eastAsia"/>
                      <w:bCs/>
                      <w:color w:val="auto"/>
                      <w:szCs w:val="21"/>
                      <w:lang w:eastAsia="zh-CN"/>
                    </w:rPr>
                    <w:t>其他固体废物</w:t>
                  </w:r>
                </w:p>
              </w:tc>
              <w:tc>
                <w:tcPr>
                  <w:tcW w:w="986" w:type="dxa"/>
                  <w:vAlign w:val="center"/>
                </w:tcPr>
                <w:p>
                  <w:pPr>
                    <w:adjustRightInd w:val="0"/>
                    <w:snapToGrid w:val="0"/>
                    <w:jc w:val="center"/>
                    <w:rPr>
                      <w:bCs/>
                      <w:color w:val="auto"/>
                      <w:szCs w:val="21"/>
                    </w:rPr>
                  </w:pPr>
                  <w:r>
                    <w:rPr>
                      <w:bCs/>
                      <w:color w:val="auto"/>
                      <w:szCs w:val="21"/>
                    </w:rPr>
                    <w:t>3.2</w:t>
                  </w:r>
                </w:p>
              </w:tc>
              <w:tc>
                <w:tcPr>
                  <w:tcW w:w="1199" w:type="dxa"/>
                  <w:vAlign w:val="center"/>
                </w:tcPr>
                <w:p>
                  <w:pPr>
                    <w:adjustRightInd w:val="0"/>
                    <w:snapToGrid w:val="0"/>
                    <w:jc w:val="center"/>
                    <w:rPr>
                      <w:rFonts w:hint="default"/>
                      <w:bCs/>
                      <w:color w:val="auto"/>
                      <w:szCs w:val="21"/>
                      <w:lang w:val="en-US"/>
                    </w:rPr>
                  </w:pPr>
                  <w:r>
                    <w:rPr>
                      <w:rFonts w:hint="eastAsia"/>
                      <w:bCs/>
                      <w:color w:val="auto"/>
                      <w:szCs w:val="21"/>
                      <w:lang w:val="en-US" w:eastAsia="zh-CN"/>
                    </w:rPr>
                    <w:t>96</w:t>
                  </w:r>
                </w:p>
              </w:tc>
              <w:tc>
                <w:tcPr>
                  <w:tcW w:w="2630" w:type="dxa"/>
                  <w:vAlign w:val="center"/>
                </w:tcPr>
                <w:p>
                  <w:pPr>
                    <w:adjustRightInd w:val="0"/>
                    <w:snapToGrid w:val="0"/>
                    <w:rPr>
                      <w:bCs/>
                      <w:color w:val="auto"/>
                      <w:szCs w:val="21"/>
                    </w:rPr>
                  </w:pPr>
                  <w:r>
                    <w:rPr>
                      <w:rFonts w:hint="eastAsia"/>
                      <w:bCs/>
                      <w:color w:val="auto"/>
                      <w:szCs w:val="21"/>
                      <w:lang w:val="en-US" w:eastAsia="zh-CN"/>
                    </w:rPr>
                    <w:t>废石棉为危险废物，产生量约12.5t/a。其他为</w:t>
                  </w:r>
                  <w:r>
                    <w:rPr>
                      <w:bCs/>
                      <w:color w:val="auto"/>
                      <w:szCs w:val="21"/>
                    </w:rPr>
                    <w:t>一般固体废物，主要为废棉、麻织物、废海绵、废皮革等</w:t>
                  </w:r>
                  <w:r>
                    <w:rPr>
                      <w:rFonts w:hint="eastAsia"/>
                      <w:bCs/>
                      <w:color w:val="auto"/>
                      <w:szCs w:val="21"/>
                      <w:lang w:eastAsia="zh-CN"/>
                    </w:rPr>
                    <w:t>，</w:t>
                  </w:r>
                  <w:r>
                    <w:rPr>
                      <w:rFonts w:hint="eastAsia"/>
                      <w:bCs/>
                      <w:color w:val="auto"/>
                      <w:szCs w:val="21"/>
                      <w:lang w:val="en-US" w:eastAsia="zh-CN"/>
                    </w:rPr>
                    <w:t>产生量约1907.5t/a。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85" w:type="dxa"/>
                  <w:gridSpan w:val="2"/>
                  <w:vAlign w:val="center"/>
                </w:tcPr>
                <w:p>
                  <w:pPr>
                    <w:adjustRightInd w:val="0"/>
                    <w:snapToGrid w:val="0"/>
                    <w:jc w:val="center"/>
                    <w:rPr>
                      <w:b/>
                      <w:color w:val="auto"/>
                      <w:szCs w:val="21"/>
                    </w:rPr>
                  </w:pPr>
                  <w:r>
                    <w:rPr>
                      <w:bCs/>
                      <w:color w:val="auto"/>
                      <w:szCs w:val="21"/>
                    </w:rPr>
                    <w:t>合计</w:t>
                  </w:r>
                </w:p>
              </w:tc>
              <w:tc>
                <w:tcPr>
                  <w:tcW w:w="986" w:type="dxa"/>
                  <w:vAlign w:val="center"/>
                </w:tcPr>
                <w:p>
                  <w:pPr>
                    <w:adjustRightInd w:val="0"/>
                    <w:snapToGrid w:val="0"/>
                    <w:jc w:val="center"/>
                    <w:rPr>
                      <w:bCs/>
                      <w:color w:val="auto"/>
                      <w:szCs w:val="21"/>
                    </w:rPr>
                  </w:pPr>
                  <w:r>
                    <w:rPr>
                      <w:bCs/>
                      <w:color w:val="auto"/>
                      <w:szCs w:val="21"/>
                    </w:rPr>
                    <w:t>100</w:t>
                  </w:r>
                </w:p>
              </w:tc>
              <w:tc>
                <w:tcPr>
                  <w:tcW w:w="1199" w:type="dxa"/>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3000</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rPr>
                      <w:snapToGrid w:val="0"/>
                      <w:color w:val="auto"/>
                      <w:szCs w:val="21"/>
                      <w:lang w:val="zh-CN"/>
                    </w:rPr>
                  </w:pPr>
                  <w:r>
                    <w:rPr>
                      <w:snapToGrid w:val="0"/>
                      <w:color w:val="auto"/>
                      <w:szCs w:val="21"/>
                      <w:lang w:val="zh-CN"/>
                    </w:rPr>
                    <w:t>拆解产物去向：</w:t>
                  </w:r>
                </w:p>
                <w:p>
                  <w:pPr>
                    <w:rPr>
                      <w:snapToGrid w:val="0"/>
                      <w:color w:val="auto"/>
                      <w:szCs w:val="21"/>
                      <w:lang w:val="zh-CN"/>
                    </w:rPr>
                  </w:pPr>
                  <w:r>
                    <w:rPr>
                      <w:rFonts w:hint="eastAsia" w:ascii="宋体" w:hAnsi="宋体" w:cs="宋体"/>
                      <w:snapToGrid w:val="0"/>
                      <w:color w:val="auto"/>
                      <w:szCs w:val="21"/>
                      <w:lang w:val="zh-CN"/>
                    </w:rPr>
                    <w:t>①</w:t>
                  </w:r>
                  <w:r>
                    <w:rPr>
                      <w:snapToGrid w:val="0"/>
                      <w:color w:val="auto"/>
                      <w:szCs w:val="21"/>
                      <w:lang w:val="zh-CN"/>
                    </w:rPr>
                    <w:t>报废</w:t>
                  </w:r>
                  <w:r>
                    <w:rPr>
                      <w:snapToGrid w:val="0"/>
                      <w:color w:val="auto"/>
                      <w:kern w:val="0"/>
                      <w:szCs w:val="21"/>
                    </w:rPr>
                    <w:t>农用机械</w:t>
                  </w:r>
                  <w:r>
                    <w:rPr>
                      <w:snapToGrid w:val="0"/>
                      <w:color w:val="auto"/>
                      <w:szCs w:val="21"/>
                      <w:lang w:val="zh-CN"/>
                    </w:rPr>
                    <w:t>拆解后可回收产物：如钢铁、有色金属、非金属等出售给需要的企业，由购买方自行运输；</w:t>
                  </w:r>
                </w:p>
                <w:p>
                  <w:pPr>
                    <w:adjustRightInd w:val="0"/>
                    <w:snapToGrid w:val="0"/>
                    <w:rPr>
                      <w:snapToGrid w:val="0"/>
                      <w:color w:val="auto"/>
                      <w:szCs w:val="21"/>
                      <w:lang w:val="zh-CN"/>
                    </w:rPr>
                  </w:pPr>
                  <w:r>
                    <w:rPr>
                      <w:rFonts w:hint="eastAsia" w:ascii="宋体" w:hAnsi="宋体" w:cs="宋体"/>
                      <w:snapToGrid w:val="0"/>
                      <w:color w:val="auto"/>
                      <w:szCs w:val="21"/>
                      <w:lang w:val="zh-CN"/>
                    </w:rPr>
                    <w:t>②</w:t>
                  </w:r>
                  <w:r>
                    <w:rPr>
                      <w:snapToGrid w:val="0"/>
                      <w:color w:val="auto"/>
                      <w:szCs w:val="21"/>
                      <w:lang w:val="zh-CN"/>
                    </w:rPr>
                    <w:t>其余产物：按一般固体废物处理，拆解后的一般固体废物</w:t>
                  </w:r>
                  <w:r>
                    <w:rPr>
                      <w:rFonts w:hint="eastAsia"/>
                      <w:snapToGrid w:val="0"/>
                      <w:color w:val="auto"/>
                      <w:szCs w:val="21"/>
                      <w:lang w:val="en-US" w:eastAsia="zh-CN"/>
                    </w:rPr>
                    <w:t>外售，综合利用。</w:t>
                  </w:r>
                </w:p>
                <w:p>
                  <w:pPr>
                    <w:adjustRightInd w:val="0"/>
                    <w:snapToGrid w:val="0"/>
                    <w:rPr>
                      <w:b/>
                      <w:color w:val="auto"/>
                      <w:szCs w:val="21"/>
                    </w:rPr>
                  </w:pPr>
                  <w:r>
                    <w:rPr>
                      <w:rFonts w:hint="eastAsia" w:ascii="宋体" w:hAnsi="宋体" w:cs="宋体"/>
                      <w:snapToGrid w:val="0"/>
                      <w:color w:val="auto"/>
                      <w:szCs w:val="21"/>
                      <w:lang w:val="zh-CN"/>
                    </w:rPr>
                    <w:t>③</w:t>
                  </w:r>
                  <w:r>
                    <w:rPr>
                      <w:snapToGrid w:val="0"/>
                      <w:color w:val="auto"/>
                      <w:szCs w:val="21"/>
                      <w:lang w:val="zh-CN"/>
                    </w:rPr>
                    <w:t>拆解后的危险废物：严格按照《</w:t>
                  </w:r>
                  <w:r>
                    <w:rPr>
                      <w:rFonts w:hint="eastAsia"/>
                      <w:color w:val="auto"/>
                    </w:rPr>
                    <w:t>危险废物转移管理办法</w:t>
                  </w:r>
                  <w:r>
                    <w:rPr>
                      <w:snapToGrid w:val="0"/>
                      <w:color w:val="auto"/>
                      <w:szCs w:val="21"/>
                      <w:lang w:val="zh-CN"/>
                    </w:rPr>
                    <w:t>》管理交由有资质的单位处理处置。</w:t>
                  </w:r>
                </w:p>
              </w:tc>
            </w:tr>
          </w:tbl>
          <w:p>
            <w:pPr>
              <w:pStyle w:val="82"/>
              <w:rPr>
                <w:color w:val="auto"/>
              </w:rPr>
            </w:pPr>
            <w:r>
              <w:rPr>
                <w:color w:val="auto"/>
              </w:rPr>
              <w:t>四、主要设备</w:t>
            </w:r>
          </w:p>
          <w:p>
            <w:pPr>
              <w:pStyle w:val="75"/>
              <w:rPr>
                <w:color w:val="auto"/>
              </w:rPr>
            </w:pPr>
            <w:r>
              <w:rPr>
                <w:color w:val="auto"/>
              </w:rPr>
              <w:t>本项目主要设备清单见下表。</w:t>
            </w:r>
          </w:p>
          <w:p>
            <w:pPr>
              <w:pStyle w:val="76"/>
              <w:rPr>
                <w:color w:val="auto"/>
              </w:rPr>
            </w:pPr>
            <w:r>
              <w:rPr>
                <w:color w:val="auto"/>
              </w:rPr>
              <w:t>表2-5 本项目主要生产设备一览表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2730"/>
              <w:gridCol w:w="1949"/>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b/>
                      <w:bCs/>
                      <w:color w:val="auto"/>
                    </w:rPr>
                  </w:pPr>
                  <w:r>
                    <w:rPr>
                      <w:b/>
                      <w:bCs/>
                      <w:color w:val="auto"/>
                    </w:rPr>
                    <w:t>序号</w:t>
                  </w:r>
                </w:p>
              </w:tc>
              <w:tc>
                <w:tcPr>
                  <w:tcW w:w="2730" w:type="dxa"/>
                  <w:vAlign w:val="center"/>
                </w:tcPr>
                <w:p>
                  <w:pPr>
                    <w:pStyle w:val="49"/>
                    <w:rPr>
                      <w:b/>
                      <w:bCs/>
                      <w:color w:val="auto"/>
                    </w:rPr>
                  </w:pPr>
                  <w:r>
                    <w:rPr>
                      <w:b/>
                      <w:bCs/>
                      <w:color w:val="auto"/>
                    </w:rPr>
                    <w:t>设备名称</w:t>
                  </w:r>
                </w:p>
              </w:tc>
              <w:tc>
                <w:tcPr>
                  <w:tcW w:w="1949" w:type="dxa"/>
                </w:tcPr>
                <w:p>
                  <w:pPr>
                    <w:pStyle w:val="49"/>
                    <w:rPr>
                      <w:b/>
                      <w:bCs/>
                      <w:color w:val="auto"/>
                    </w:rPr>
                  </w:pPr>
                  <w:r>
                    <w:rPr>
                      <w:b/>
                      <w:bCs/>
                      <w:color w:val="auto"/>
                    </w:rPr>
                    <w:t>单位</w:t>
                  </w:r>
                </w:p>
              </w:tc>
              <w:tc>
                <w:tcPr>
                  <w:tcW w:w="2130" w:type="dxa"/>
                </w:tcPr>
                <w:p>
                  <w:pPr>
                    <w:pStyle w:val="49"/>
                    <w:rPr>
                      <w:b/>
                      <w:bCs/>
                      <w:color w:val="auto"/>
                    </w:rPr>
                  </w:pPr>
                  <w:r>
                    <w:rPr>
                      <w:b/>
                      <w:bCs/>
                      <w:color w:val="auto"/>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1</w:t>
                  </w:r>
                </w:p>
              </w:tc>
              <w:tc>
                <w:tcPr>
                  <w:tcW w:w="2730" w:type="dxa"/>
                  <w:vAlign w:val="center"/>
                </w:tcPr>
                <w:p>
                  <w:pPr>
                    <w:pStyle w:val="49"/>
                    <w:rPr>
                      <w:color w:val="auto"/>
                    </w:rPr>
                  </w:pPr>
                  <w:r>
                    <w:rPr>
                      <w:color w:val="auto"/>
                    </w:rPr>
                    <w:t>龙门吊</w:t>
                  </w:r>
                </w:p>
              </w:tc>
              <w:tc>
                <w:tcPr>
                  <w:tcW w:w="1949" w:type="dxa"/>
                </w:tcPr>
                <w:p>
                  <w:pPr>
                    <w:pStyle w:val="49"/>
                    <w:rPr>
                      <w:color w:val="auto"/>
                    </w:rPr>
                  </w:pPr>
                  <w:r>
                    <w:rPr>
                      <w:color w:val="auto"/>
                    </w:rPr>
                    <w:t>台</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2</w:t>
                  </w:r>
                </w:p>
              </w:tc>
              <w:tc>
                <w:tcPr>
                  <w:tcW w:w="2730" w:type="dxa"/>
                  <w:vAlign w:val="center"/>
                </w:tcPr>
                <w:p>
                  <w:pPr>
                    <w:pStyle w:val="49"/>
                    <w:rPr>
                      <w:color w:val="auto"/>
                    </w:rPr>
                  </w:pPr>
                  <w:r>
                    <w:rPr>
                      <w:color w:val="auto"/>
                    </w:rPr>
                    <w:t>等离子切割机</w:t>
                  </w:r>
                </w:p>
              </w:tc>
              <w:tc>
                <w:tcPr>
                  <w:tcW w:w="1949" w:type="dxa"/>
                </w:tcPr>
                <w:p>
                  <w:pPr>
                    <w:pStyle w:val="49"/>
                    <w:rPr>
                      <w:color w:val="auto"/>
                    </w:rPr>
                  </w:pPr>
                  <w:r>
                    <w:rPr>
                      <w:color w:val="auto"/>
                    </w:rPr>
                    <w:t>台</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3</w:t>
                  </w:r>
                </w:p>
              </w:tc>
              <w:tc>
                <w:tcPr>
                  <w:tcW w:w="2730" w:type="dxa"/>
                  <w:vAlign w:val="center"/>
                </w:tcPr>
                <w:p>
                  <w:pPr>
                    <w:pStyle w:val="49"/>
                    <w:rPr>
                      <w:color w:val="auto"/>
                    </w:rPr>
                  </w:pPr>
                  <w:r>
                    <w:rPr>
                      <w:color w:val="auto"/>
                    </w:rPr>
                    <w:t>无齿锯</w:t>
                  </w:r>
                </w:p>
              </w:tc>
              <w:tc>
                <w:tcPr>
                  <w:tcW w:w="1949" w:type="dxa"/>
                </w:tcPr>
                <w:p>
                  <w:pPr>
                    <w:pStyle w:val="49"/>
                    <w:rPr>
                      <w:b/>
                      <w:bCs/>
                      <w:color w:val="auto"/>
                    </w:rPr>
                  </w:pPr>
                  <w:r>
                    <w:rPr>
                      <w:color w:val="auto"/>
                    </w:rPr>
                    <w:t>台</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4</w:t>
                  </w:r>
                </w:p>
              </w:tc>
              <w:tc>
                <w:tcPr>
                  <w:tcW w:w="2730" w:type="dxa"/>
                  <w:vAlign w:val="center"/>
                </w:tcPr>
                <w:p>
                  <w:pPr>
                    <w:pStyle w:val="49"/>
                    <w:rPr>
                      <w:color w:val="auto"/>
                    </w:rPr>
                  </w:pPr>
                  <w:r>
                    <w:rPr>
                      <w:color w:val="auto"/>
                    </w:rPr>
                    <w:t>液压剪</w:t>
                  </w:r>
                </w:p>
              </w:tc>
              <w:tc>
                <w:tcPr>
                  <w:tcW w:w="1949" w:type="dxa"/>
                </w:tcPr>
                <w:p>
                  <w:pPr>
                    <w:pStyle w:val="49"/>
                    <w:rPr>
                      <w:color w:val="auto"/>
                    </w:rPr>
                  </w:pPr>
                  <w:r>
                    <w:rPr>
                      <w:color w:val="auto"/>
                    </w:rPr>
                    <w:t>套</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5</w:t>
                  </w:r>
                </w:p>
              </w:tc>
              <w:tc>
                <w:tcPr>
                  <w:tcW w:w="2730" w:type="dxa"/>
                  <w:vAlign w:val="center"/>
                </w:tcPr>
                <w:p>
                  <w:pPr>
                    <w:pStyle w:val="49"/>
                    <w:rPr>
                      <w:color w:val="auto"/>
                    </w:rPr>
                  </w:pPr>
                  <w:r>
                    <w:rPr>
                      <w:color w:val="auto"/>
                    </w:rPr>
                    <w:t>油液油排设备</w:t>
                  </w:r>
                </w:p>
              </w:tc>
              <w:tc>
                <w:tcPr>
                  <w:tcW w:w="1949" w:type="dxa"/>
                </w:tcPr>
                <w:p>
                  <w:pPr>
                    <w:pStyle w:val="49"/>
                    <w:rPr>
                      <w:color w:val="auto"/>
                    </w:rPr>
                  </w:pPr>
                  <w:r>
                    <w:rPr>
                      <w:color w:val="auto"/>
                    </w:rPr>
                    <w:t>台</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color w:val="auto"/>
                    </w:rPr>
                  </w:pPr>
                  <w:r>
                    <w:rPr>
                      <w:color w:val="auto"/>
                    </w:rPr>
                    <w:t>6</w:t>
                  </w:r>
                </w:p>
              </w:tc>
              <w:tc>
                <w:tcPr>
                  <w:tcW w:w="2730" w:type="dxa"/>
                  <w:vAlign w:val="center"/>
                </w:tcPr>
                <w:p>
                  <w:pPr>
                    <w:pStyle w:val="49"/>
                    <w:rPr>
                      <w:rFonts w:hint="eastAsia" w:eastAsia="宋体"/>
                      <w:color w:val="auto"/>
                      <w:lang w:eastAsia="zh-CN"/>
                    </w:rPr>
                  </w:pPr>
                  <w:r>
                    <w:rPr>
                      <w:rFonts w:hint="eastAsia"/>
                      <w:color w:val="auto"/>
                      <w:szCs w:val="21"/>
                      <w:lang w:eastAsia="zh-CN"/>
                    </w:rPr>
                    <w:t>移动式布袋除尘器</w:t>
                  </w:r>
                </w:p>
              </w:tc>
              <w:tc>
                <w:tcPr>
                  <w:tcW w:w="1949" w:type="dxa"/>
                </w:tcPr>
                <w:p>
                  <w:pPr>
                    <w:pStyle w:val="49"/>
                    <w:rPr>
                      <w:color w:val="auto"/>
                    </w:rPr>
                  </w:pPr>
                  <w:r>
                    <w:rPr>
                      <w:color w:val="auto"/>
                    </w:rPr>
                    <w:t>套</w:t>
                  </w:r>
                </w:p>
              </w:tc>
              <w:tc>
                <w:tcPr>
                  <w:tcW w:w="2130" w:type="dxa"/>
                  <w:vAlign w:val="center"/>
                </w:tcPr>
                <w:p>
                  <w:pPr>
                    <w:pStyle w:val="49"/>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rFonts w:hint="eastAsia" w:eastAsia="宋体"/>
                      <w:color w:val="auto"/>
                      <w:lang w:val="en-US" w:eastAsia="zh-CN"/>
                    </w:rPr>
                  </w:pPr>
                  <w:r>
                    <w:rPr>
                      <w:rFonts w:hint="eastAsia"/>
                      <w:color w:val="auto"/>
                      <w:lang w:val="en-US" w:eastAsia="zh-CN"/>
                    </w:rPr>
                    <w:t>7</w:t>
                  </w:r>
                </w:p>
              </w:tc>
              <w:tc>
                <w:tcPr>
                  <w:tcW w:w="2730" w:type="dxa"/>
                  <w:vAlign w:val="center"/>
                </w:tcPr>
                <w:p>
                  <w:pPr>
                    <w:pStyle w:val="49"/>
                    <w:rPr>
                      <w:rFonts w:hint="default"/>
                      <w:color w:val="auto"/>
                      <w:szCs w:val="21"/>
                      <w:lang w:val="en-US" w:eastAsia="zh-CN"/>
                    </w:rPr>
                  </w:pPr>
                  <w:r>
                    <w:rPr>
                      <w:rFonts w:hint="eastAsia"/>
                      <w:color w:val="auto"/>
                      <w:szCs w:val="21"/>
                      <w:lang w:val="en-US" w:eastAsia="zh-CN"/>
                    </w:rPr>
                    <w:t>活性炭吸附装置</w:t>
                  </w:r>
                </w:p>
              </w:tc>
              <w:tc>
                <w:tcPr>
                  <w:tcW w:w="1949" w:type="dxa"/>
                </w:tcPr>
                <w:p>
                  <w:pPr>
                    <w:pStyle w:val="49"/>
                    <w:rPr>
                      <w:color w:val="auto"/>
                    </w:rPr>
                  </w:pPr>
                  <w:r>
                    <w:rPr>
                      <w:rFonts w:hint="eastAsia"/>
                      <w:color w:val="auto"/>
                    </w:rPr>
                    <w:t>套</w:t>
                  </w:r>
                </w:p>
              </w:tc>
              <w:tc>
                <w:tcPr>
                  <w:tcW w:w="2130" w:type="dxa"/>
                  <w:vAlign w:val="center"/>
                </w:tcPr>
                <w:p>
                  <w:pPr>
                    <w:pStyle w:val="49"/>
                    <w:rPr>
                      <w:rFonts w:hint="eastAsia" w:eastAsia="宋体"/>
                      <w:color w:val="auto"/>
                      <w:lang w:val="en-US" w:eastAsia="zh-CN"/>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pPr>
                    <w:pStyle w:val="49"/>
                    <w:rPr>
                      <w:rFonts w:hint="default"/>
                      <w:color w:val="auto"/>
                      <w:lang w:val="en-US" w:eastAsia="zh-CN"/>
                    </w:rPr>
                  </w:pPr>
                  <w:r>
                    <w:rPr>
                      <w:rFonts w:hint="eastAsia"/>
                      <w:color w:val="auto"/>
                      <w:lang w:val="en-US" w:eastAsia="zh-CN"/>
                    </w:rPr>
                    <w:t>8</w:t>
                  </w:r>
                </w:p>
              </w:tc>
              <w:tc>
                <w:tcPr>
                  <w:tcW w:w="2730" w:type="dxa"/>
                  <w:vAlign w:val="center"/>
                </w:tcPr>
                <w:p>
                  <w:pPr>
                    <w:pStyle w:val="49"/>
                    <w:rPr>
                      <w:rFonts w:hint="eastAsia"/>
                      <w:color w:val="auto"/>
                      <w:szCs w:val="21"/>
                      <w:lang w:val="en-US" w:eastAsia="zh-CN"/>
                    </w:rPr>
                  </w:pPr>
                  <w:r>
                    <w:rPr>
                      <w:rFonts w:hint="eastAsia"/>
                      <w:color w:val="auto"/>
                      <w:szCs w:val="21"/>
                      <w:lang w:val="en-US" w:eastAsia="zh-CN"/>
                    </w:rPr>
                    <w:t>油水分离器</w:t>
                  </w:r>
                </w:p>
              </w:tc>
              <w:tc>
                <w:tcPr>
                  <w:tcW w:w="1949" w:type="dxa"/>
                  <w:vAlign w:val="top"/>
                </w:tcPr>
                <w:p>
                  <w:pPr>
                    <w:pStyle w:val="49"/>
                    <w:rPr>
                      <w:rFonts w:hint="eastAsia" w:ascii="Times New Roman" w:hAnsi="Times New Roman" w:eastAsia="宋体" w:cs="Times New Roman"/>
                      <w:color w:val="auto"/>
                      <w:kern w:val="2"/>
                      <w:sz w:val="21"/>
                      <w:szCs w:val="24"/>
                      <w:lang w:val="en-US" w:eastAsia="zh-CN" w:bidi="ar-SA"/>
                    </w:rPr>
                  </w:pPr>
                  <w:r>
                    <w:rPr>
                      <w:rFonts w:hint="eastAsia"/>
                      <w:color w:val="auto"/>
                    </w:rPr>
                    <w:t>套</w:t>
                  </w:r>
                </w:p>
              </w:tc>
              <w:tc>
                <w:tcPr>
                  <w:tcW w:w="2130" w:type="dxa"/>
                  <w:vAlign w:val="center"/>
                </w:tcPr>
                <w:p>
                  <w:pPr>
                    <w:pStyle w:val="49"/>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bl>
          <w:p>
            <w:pPr>
              <w:pStyle w:val="54"/>
              <w:spacing w:before="120" w:beforeLines="50"/>
              <w:ind w:firstLine="482"/>
              <w:rPr>
                <w:b/>
                <w:bCs/>
                <w:color w:val="auto"/>
              </w:rPr>
            </w:pPr>
            <w:r>
              <w:rPr>
                <w:b/>
                <w:bCs/>
                <w:color w:val="auto"/>
              </w:rPr>
              <w:t>五、劳动定员</w:t>
            </w:r>
          </w:p>
          <w:p>
            <w:pPr>
              <w:pStyle w:val="59"/>
              <w:ind w:firstLine="480"/>
              <w:rPr>
                <w:color w:val="auto"/>
                <w:kern w:val="0"/>
              </w:rPr>
            </w:pPr>
            <w:r>
              <w:rPr>
                <w:color w:val="auto"/>
                <w:kern w:val="0"/>
              </w:rPr>
              <w:t>本项目劳动定员</w:t>
            </w:r>
            <w:r>
              <w:rPr>
                <w:rFonts w:hint="eastAsia"/>
                <w:color w:val="auto"/>
                <w:kern w:val="0"/>
                <w:lang w:val="en-US" w:eastAsia="zh-CN"/>
              </w:rPr>
              <w:t>5人</w:t>
            </w:r>
            <w:r>
              <w:rPr>
                <w:color w:val="auto"/>
                <w:kern w:val="0"/>
              </w:rPr>
              <w:t>，一班制，日工作8小时，年生产</w:t>
            </w:r>
            <w:r>
              <w:rPr>
                <w:rFonts w:hint="eastAsia"/>
                <w:color w:val="auto"/>
                <w:kern w:val="0"/>
                <w:lang w:val="en-US" w:eastAsia="zh-CN"/>
              </w:rPr>
              <w:t>300</w:t>
            </w:r>
            <w:r>
              <w:rPr>
                <w:color w:val="auto"/>
                <w:kern w:val="0"/>
              </w:rPr>
              <w:t>天，</w:t>
            </w:r>
            <w:r>
              <w:rPr>
                <w:rFonts w:hint="eastAsia"/>
                <w:color w:val="auto"/>
                <w:kern w:val="0"/>
                <w:lang w:val="en-US" w:eastAsia="zh-CN"/>
              </w:rPr>
              <w:t>2400</w:t>
            </w:r>
            <w:r>
              <w:rPr>
                <w:color w:val="auto"/>
                <w:kern w:val="0"/>
              </w:rPr>
              <w:t>h。</w:t>
            </w:r>
            <w:r>
              <w:rPr>
                <w:color w:val="auto"/>
              </w:rPr>
              <w:t>厂区内无食堂、无宿舍。</w:t>
            </w:r>
          </w:p>
          <w:p>
            <w:pPr>
              <w:pStyle w:val="82"/>
              <w:rPr>
                <w:color w:val="auto"/>
              </w:rPr>
            </w:pPr>
            <w:r>
              <w:rPr>
                <w:color w:val="auto"/>
              </w:rPr>
              <w:t>六、公共工程</w:t>
            </w:r>
          </w:p>
          <w:p>
            <w:pPr>
              <w:pStyle w:val="75"/>
              <w:rPr>
                <w:color w:val="auto"/>
              </w:rPr>
            </w:pPr>
            <w:r>
              <w:rPr>
                <w:color w:val="auto"/>
              </w:rPr>
              <w:t>1、供水工程</w:t>
            </w:r>
          </w:p>
          <w:p>
            <w:pPr>
              <w:pStyle w:val="75"/>
              <w:rPr>
                <w:color w:val="auto"/>
              </w:rPr>
            </w:pPr>
            <w:r>
              <w:rPr>
                <w:color w:val="auto"/>
              </w:rPr>
              <w:t>（1）水源：来自</w:t>
            </w:r>
            <w:r>
              <w:rPr>
                <w:rFonts w:hint="eastAsia"/>
                <w:color w:val="auto"/>
                <w:lang w:val="en-US" w:eastAsia="zh-CN"/>
              </w:rPr>
              <w:t>市政供水管网</w:t>
            </w:r>
            <w:r>
              <w:rPr>
                <w:color w:val="auto"/>
              </w:rPr>
              <w:t>。</w:t>
            </w:r>
          </w:p>
          <w:p>
            <w:pPr>
              <w:pStyle w:val="75"/>
              <w:rPr>
                <w:color w:val="auto"/>
              </w:rPr>
            </w:pPr>
            <w:r>
              <w:rPr>
                <w:color w:val="auto"/>
              </w:rPr>
              <w:t>（2）用水量：本项目用水主要为生活用水，</w:t>
            </w:r>
            <w:r>
              <w:rPr>
                <w:rFonts w:hint="eastAsia"/>
                <w:color w:val="auto"/>
              </w:rPr>
              <w:t>拆解车间清洗</w:t>
            </w:r>
            <w:r>
              <w:rPr>
                <w:rFonts w:hint="eastAsia"/>
                <w:color w:val="auto"/>
                <w:lang w:val="en-US" w:eastAsia="zh-CN"/>
              </w:rPr>
              <w:t>用</w:t>
            </w:r>
            <w:r>
              <w:rPr>
                <w:rFonts w:hint="eastAsia"/>
                <w:color w:val="auto"/>
              </w:rPr>
              <w:t>水</w:t>
            </w:r>
            <w:r>
              <w:rPr>
                <w:color w:val="auto"/>
              </w:rPr>
              <w:t>。</w:t>
            </w:r>
          </w:p>
          <w:p>
            <w:pPr>
              <w:pStyle w:val="75"/>
              <w:rPr>
                <w:color w:val="auto"/>
              </w:rPr>
            </w:pPr>
            <w:r>
              <w:rPr>
                <w:rFonts w:hint="eastAsia" w:ascii="宋体" w:hAnsi="宋体" w:cs="宋体"/>
                <w:color w:val="auto"/>
              </w:rPr>
              <w:t>①</w:t>
            </w:r>
            <w:r>
              <w:rPr>
                <w:color w:val="auto"/>
              </w:rPr>
              <w:t>生活用水：本项目职工人数为</w:t>
            </w:r>
            <w:r>
              <w:rPr>
                <w:rFonts w:hint="eastAsia"/>
                <w:color w:val="auto"/>
                <w:lang w:val="en-US" w:eastAsia="zh-CN"/>
              </w:rPr>
              <w:t>5人</w:t>
            </w:r>
            <w:r>
              <w:rPr>
                <w:color w:val="auto"/>
              </w:rPr>
              <w:t>，根据黑龙江省地方标准《用水定额》（DB23/T727-2021），按“U983 农村居民生活用水定额 80L/人·d计”，则生活用水量为</w:t>
            </w:r>
            <w:r>
              <w:rPr>
                <w:rFonts w:hint="eastAsia"/>
                <w:color w:val="auto"/>
                <w:lang w:eastAsia="zh-CN"/>
              </w:rPr>
              <w:t>0.4t/d</w:t>
            </w:r>
            <w:r>
              <w:rPr>
                <w:color w:val="auto"/>
              </w:rPr>
              <w:t>，</w:t>
            </w:r>
            <w:r>
              <w:rPr>
                <w:rFonts w:hint="eastAsia"/>
                <w:color w:val="auto"/>
                <w:lang w:val="en-US" w:eastAsia="zh-CN"/>
              </w:rPr>
              <w:t>120t/a</w:t>
            </w:r>
            <w:r>
              <w:rPr>
                <w:color w:val="auto"/>
              </w:rPr>
              <w:t>。</w:t>
            </w:r>
          </w:p>
          <w:p>
            <w:pPr>
              <w:pStyle w:val="75"/>
              <w:rPr>
                <w:color w:val="auto"/>
              </w:rPr>
            </w:pPr>
            <w:r>
              <w:rPr>
                <w:rFonts w:hint="eastAsia" w:ascii="宋体" w:hAnsi="宋体" w:cs="宋体"/>
                <w:color w:val="auto"/>
              </w:rPr>
              <w:t>②</w:t>
            </w:r>
            <w:r>
              <w:rPr>
                <w:rFonts w:hint="eastAsia"/>
                <w:color w:val="auto"/>
              </w:rPr>
              <w:t>拆解车间清洗</w:t>
            </w:r>
            <w:r>
              <w:rPr>
                <w:rFonts w:hint="eastAsia"/>
                <w:color w:val="auto"/>
                <w:lang w:val="en-US" w:eastAsia="zh-CN"/>
              </w:rPr>
              <w:t>用</w:t>
            </w:r>
            <w:r>
              <w:rPr>
                <w:rFonts w:hint="eastAsia"/>
                <w:color w:val="auto"/>
              </w:rPr>
              <w:t>水</w:t>
            </w:r>
            <w:r>
              <w:rPr>
                <w:color w:val="auto"/>
              </w:rPr>
              <w:t>：</w:t>
            </w:r>
            <w:r>
              <w:rPr>
                <w:rFonts w:hint="eastAsia"/>
                <w:color w:val="auto"/>
              </w:rPr>
              <w:t>根据业主提供资料，厂区地面每半月清洗1次，主要使用拖把清洁地面，水分自然蒸发，每次约</w:t>
            </w:r>
            <w:r>
              <w:rPr>
                <w:rFonts w:hint="eastAsia"/>
                <w:color w:val="auto"/>
                <w:lang w:val="en-US" w:eastAsia="zh-CN"/>
              </w:rPr>
              <w:t>1</w:t>
            </w:r>
            <w:r>
              <w:rPr>
                <w:rFonts w:hint="eastAsia"/>
                <w:color w:val="auto"/>
              </w:rPr>
              <w:t>m</w:t>
            </w:r>
            <w:r>
              <w:rPr>
                <w:rFonts w:hint="eastAsia"/>
                <w:color w:val="auto"/>
                <w:vertAlign w:val="superscript"/>
              </w:rPr>
              <w:t>3</w:t>
            </w:r>
            <w:r>
              <w:rPr>
                <w:rFonts w:hint="eastAsia"/>
                <w:color w:val="auto"/>
              </w:rPr>
              <w:t>/次，则用水量为</w:t>
            </w:r>
            <w:r>
              <w:rPr>
                <w:rFonts w:hint="eastAsia"/>
                <w:color w:val="auto"/>
                <w:lang w:val="en-US" w:eastAsia="zh-CN"/>
              </w:rPr>
              <w:t>20</w:t>
            </w:r>
            <w:r>
              <w:rPr>
                <w:rFonts w:hint="eastAsia"/>
                <w:color w:val="auto"/>
              </w:rPr>
              <w:t>m</w:t>
            </w:r>
            <w:r>
              <w:rPr>
                <w:rFonts w:hint="eastAsia"/>
                <w:color w:val="auto"/>
                <w:vertAlign w:val="superscript"/>
              </w:rPr>
              <w:t>3</w:t>
            </w:r>
            <w:r>
              <w:rPr>
                <w:rFonts w:hint="eastAsia"/>
                <w:color w:val="auto"/>
              </w:rPr>
              <w:t>/a。</w:t>
            </w:r>
          </w:p>
          <w:p>
            <w:pPr>
              <w:pStyle w:val="75"/>
              <w:rPr>
                <w:color w:val="auto"/>
              </w:rPr>
            </w:pPr>
            <w:r>
              <w:rPr>
                <w:color w:val="auto"/>
              </w:rPr>
              <w:t>2、排水工程</w:t>
            </w:r>
          </w:p>
          <w:p>
            <w:pPr>
              <w:pStyle w:val="75"/>
              <w:rPr>
                <w:color w:val="auto"/>
                <w:highlight w:val="none"/>
              </w:rPr>
            </w:pPr>
            <w:r>
              <w:rPr>
                <w:rFonts w:hint="eastAsia"/>
                <w:color w:val="auto"/>
              </w:rPr>
              <w:t>本项目无工艺</w:t>
            </w:r>
            <w:r>
              <w:rPr>
                <w:rFonts w:hint="eastAsia"/>
                <w:color w:val="auto"/>
                <w:lang w:val="en-US" w:eastAsia="zh-CN"/>
              </w:rPr>
              <w:t>废</w:t>
            </w:r>
            <w:r>
              <w:rPr>
                <w:rFonts w:hint="eastAsia"/>
                <w:color w:val="auto"/>
              </w:rPr>
              <w:t>水，</w:t>
            </w:r>
            <w:r>
              <w:rPr>
                <w:rFonts w:hint="eastAsia"/>
                <w:color w:val="auto"/>
                <w:lang w:val="en-US" w:eastAsia="zh-CN"/>
              </w:rPr>
              <w:t>废</w:t>
            </w:r>
            <w:r>
              <w:rPr>
                <w:rFonts w:hint="eastAsia"/>
                <w:color w:val="auto"/>
              </w:rPr>
              <w:t>水主要为员工生活</w:t>
            </w:r>
            <w:r>
              <w:rPr>
                <w:rFonts w:hint="eastAsia"/>
                <w:color w:val="auto"/>
                <w:lang w:val="en-US" w:eastAsia="zh-CN"/>
              </w:rPr>
              <w:t>污</w:t>
            </w:r>
            <w:r>
              <w:rPr>
                <w:rFonts w:hint="eastAsia"/>
                <w:color w:val="auto"/>
              </w:rPr>
              <w:t>水。</w:t>
            </w:r>
            <w:r>
              <w:rPr>
                <w:color w:val="auto"/>
              </w:rPr>
              <w:t>排放量按生活用水量的80%计算，则生活污水产生量为</w:t>
            </w:r>
            <w:r>
              <w:rPr>
                <w:rFonts w:hint="eastAsia"/>
                <w:color w:val="auto"/>
                <w:lang w:eastAsia="zh-CN"/>
              </w:rPr>
              <w:t>0.32t/d</w:t>
            </w:r>
            <w:r>
              <w:rPr>
                <w:color w:val="auto"/>
              </w:rPr>
              <w:t>，</w:t>
            </w:r>
            <w:r>
              <w:rPr>
                <w:rFonts w:hint="eastAsia"/>
                <w:color w:val="auto"/>
                <w:lang w:val="en-US" w:eastAsia="zh-CN"/>
              </w:rPr>
              <w:t>96t/a</w:t>
            </w:r>
            <w:r>
              <w:rPr>
                <w:color w:val="auto"/>
                <w:highlight w:val="none"/>
              </w:rPr>
              <w:t>。本项目生活污水</w:t>
            </w:r>
            <w:r>
              <w:rPr>
                <w:rFonts w:hint="eastAsia"/>
                <w:color w:val="auto"/>
                <w:highlight w:val="none"/>
                <w:lang w:val="en-US" w:eastAsia="zh-CN"/>
              </w:rPr>
              <w:t>排入市政污水管网</w:t>
            </w:r>
            <w:r>
              <w:rPr>
                <w:color w:val="auto"/>
                <w:highlight w:val="none"/>
              </w:rPr>
              <w:t>。</w:t>
            </w:r>
          </w:p>
          <w:p>
            <w:pPr>
              <w:pStyle w:val="82"/>
              <w:rPr>
                <w:color w:val="auto"/>
              </w:rPr>
            </w:pPr>
            <w:r>
              <w:rPr>
                <w:color w:val="auto"/>
              </w:rPr>
              <w:t>七、厂区平面布置</w:t>
            </w:r>
          </w:p>
          <w:p>
            <w:pPr>
              <w:pStyle w:val="75"/>
              <w:rPr>
                <w:color w:val="auto"/>
                <w:lang w:val="zh-CN"/>
              </w:rPr>
            </w:pPr>
            <w:r>
              <w:rPr>
                <w:color w:val="auto"/>
              </w:rPr>
              <w:t>本项目位于</w:t>
            </w:r>
            <w:r>
              <w:rPr>
                <w:rFonts w:hint="eastAsia"/>
                <w:color w:val="auto"/>
                <w:lang w:eastAsia="zh-CN"/>
              </w:rPr>
              <w:t>黑龙江省</w:t>
            </w:r>
            <w:r>
              <w:rPr>
                <w:rFonts w:hint="eastAsia"/>
                <w:color w:val="auto"/>
                <w:lang w:val="en-US" w:eastAsia="zh-CN"/>
              </w:rPr>
              <w:t>七台河</w:t>
            </w:r>
            <w:r>
              <w:rPr>
                <w:rFonts w:hint="eastAsia"/>
                <w:color w:val="auto"/>
                <w:lang w:eastAsia="zh-CN"/>
              </w:rPr>
              <w:t>市郊区</w:t>
            </w:r>
            <w:r>
              <w:rPr>
                <w:rFonts w:hint="eastAsia"/>
                <w:color w:val="auto"/>
                <w:lang w:val="en-US" w:eastAsia="zh-CN"/>
              </w:rPr>
              <w:t>勃利县南大直路217号</w:t>
            </w:r>
            <w:r>
              <w:rPr>
                <w:color w:val="auto"/>
              </w:rPr>
              <w:t>，</w:t>
            </w:r>
            <w:r>
              <w:rPr>
                <w:color w:val="auto"/>
                <w:lang w:val="zh-CN"/>
              </w:rPr>
              <w:t>本项目总占地面积</w:t>
            </w:r>
            <w:r>
              <w:rPr>
                <w:rFonts w:hint="eastAsia"/>
                <w:color w:val="auto"/>
                <w:lang w:val="en-US" w:eastAsia="zh-CN"/>
              </w:rPr>
              <w:t>3700</w:t>
            </w:r>
            <w:r>
              <w:rPr>
                <w:color w:val="auto"/>
                <w:lang w:val="zh-CN"/>
              </w:rPr>
              <w:t>m</w:t>
            </w:r>
            <w:r>
              <w:rPr>
                <w:color w:val="auto"/>
                <w:vertAlign w:val="superscript"/>
                <w:lang w:val="zh-CN"/>
              </w:rPr>
              <w:t>2</w:t>
            </w:r>
            <w:r>
              <w:rPr>
                <w:color w:val="auto"/>
                <w:lang w:val="zh-CN"/>
              </w:rPr>
              <w:t>，总建筑面积</w:t>
            </w:r>
            <w:r>
              <w:rPr>
                <w:rFonts w:hint="eastAsia"/>
                <w:color w:val="auto"/>
                <w:lang w:val="en-US" w:eastAsia="zh-CN"/>
              </w:rPr>
              <w:t>330</w:t>
            </w:r>
            <w:r>
              <w:rPr>
                <w:color w:val="auto"/>
                <w:lang w:val="zh-CN"/>
              </w:rPr>
              <w:t>m</w:t>
            </w:r>
            <w:r>
              <w:rPr>
                <w:color w:val="auto"/>
                <w:vertAlign w:val="superscript"/>
                <w:lang w:val="zh-CN"/>
              </w:rPr>
              <w:t>2</w:t>
            </w:r>
            <w:r>
              <w:rPr>
                <w:color w:val="auto"/>
                <w:lang w:val="zh-CN"/>
              </w:rPr>
              <w:t>。</w:t>
            </w:r>
            <w:r>
              <w:rPr>
                <w:color w:val="auto"/>
              </w:rPr>
              <w:t>本项目拆解车间位于</w:t>
            </w:r>
            <w:r>
              <w:rPr>
                <w:rFonts w:hint="eastAsia"/>
                <w:color w:val="auto"/>
                <w:lang w:val="en-US" w:eastAsia="zh-CN"/>
              </w:rPr>
              <w:t>厂区北</w:t>
            </w:r>
            <w:r>
              <w:rPr>
                <w:color w:val="auto"/>
              </w:rPr>
              <w:t>侧，</w:t>
            </w:r>
            <w:r>
              <w:rPr>
                <w:rFonts w:hint="eastAsia"/>
                <w:color w:val="auto"/>
              </w:rPr>
              <w:t>农机拆除成品半成品及零件贮存库</w:t>
            </w:r>
            <w:r>
              <w:rPr>
                <w:rFonts w:hint="eastAsia"/>
                <w:color w:val="auto"/>
                <w:lang w:val="en-US" w:eastAsia="zh-CN"/>
              </w:rPr>
              <w:t>位于拆解车间东侧，危险废物贮存库位于拆解车间东侧，</w:t>
            </w:r>
            <w:r>
              <w:rPr>
                <w:color w:val="auto"/>
              </w:rPr>
              <w:t>待拆车辆贮存场地位于</w:t>
            </w:r>
            <w:r>
              <w:rPr>
                <w:rFonts w:hint="eastAsia"/>
                <w:color w:val="auto"/>
                <w:lang w:val="en-US" w:eastAsia="zh-CN"/>
              </w:rPr>
              <w:t>厂区中间</w:t>
            </w:r>
            <w:r>
              <w:rPr>
                <w:color w:val="auto"/>
              </w:rPr>
              <w:t>。</w:t>
            </w:r>
            <w:r>
              <w:rPr>
                <w:rFonts w:hint="eastAsia"/>
                <w:color w:val="auto"/>
              </w:rPr>
              <w:t>各工序紧密相接，符合生产行业要求，满足生产工艺要求，厂区布局合理、物流顺畅，卫生条件和交通、安全、消防均满足企业需要及行业要求，</w:t>
            </w:r>
            <w:r>
              <w:rPr>
                <w:bCs/>
                <w:color w:val="auto"/>
              </w:rPr>
              <w:t>本项目地理位置图见附图</w:t>
            </w:r>
            <w:r>
              <w:rPr>
                <w:rFonts w:hint="eastAsia"/>
                <w:bCs/>
                <w:color w:val="auto"/>
                <w:lang w:val="en-US" w:eastAsia="zh-CN"/>
              </w:rPr>
              <w:t>1</w:t>
            </w:r>
            <w:r>
              <w:rPr>
                <w:bCs/>
                <w:color w:val="auto"/>
              </w:rPr>
              <w:t>，</w:t>
            </w:r>
            <w:r>
              <w:rPr>
                <w:color w:val="auto"/>
                <w:lang w:val="zh-CN"/>
              </w:rPr>
              <w:t>现场照片见附图</w:t>
            </w:r>
            <w:r>
              <w:rPr>
                <w:rFonts w:hint="eastAsia"/>
                <w:color w:val="auto"/>
                <w:lang w:val="en-US" w:eastAsia="zh-CN"/>
              </w:rPr>
              <w:t>3</w:t>
            </w:r>
            <w:r>
              <w:rPr>
                <w:color w:val="auto"/>
                <w:lang w:val="zh-CN"/>
              </w:rPr>
              <w:t>，平面布置图见附图</w:t>
            </w:r>
            <w:r>
              <w:rPr>
                <w:rFonts w:hint="eastAsia"/>
                <w:color w:val="auto"/>
                <w:lang w:val="en-US" w:eastAsia="zh-CN"/>
              </w:rPr>
              <w:t>4</w:t>
            </w:r>
            <w:r>
              <w:rPr>
                <w:color w:val="auto"/>
                <w:lang w:val="zh-CN"/>
              </w:rPr>
              <w:t>。</w:t>
            </w:r>
          </w:p>
          <w:p>
            <w:pPr>
              <w:pStyle w:val="75"/>
              <w:ind w:left="0" w:leftChars="0" w:firstLine="0" w:firstLineChars="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20" w:hRule="atLeast"/>
          <w:jc w:val="center"/>
        </w:trPr>
        <w:tc>
          <w:tcPr>
            <w:tcW w:w="448" w:type="dxa"/>
            <w:vAlign w:val="center"/>
          </w:tcPr>
          <w:p>
            <w:pPr>
              <w:jc w:val="center"/>
              <w:rPr>
                <w:b/>
                <w:bCs/>
                <w:color w:val="auto"/>
                <w:sz w:val="24"/>
              </w:rPr>
            </w:pPr>
            <w:r>
              <w:rPr>
                <w:b/>
                <w:bCs/>
                <w:color w:val="auto"/>
                <w:sz w:val="24"/>
              </w:rPr>
              <w:t>工</w:t>
            </w:r>
          </w:p>
          <w:p>
            <w:pPr>
              <w:jc w:val="center"/>
              <w:rPr>
                <w:b/>
                <w:bCs/>
                <w:color w:val="auto"/>
                <w:sz w:val="24"/>
              </w:rPr>
            </w:pPr>
            <w:r>
              <w:rPr>
                <w:b/>
                <w:bCs/>
                <w:color w:val="auto"/>
                <w:sz w:val="24"/>
              </w:rPr>
              <w:t>艺</w:t>
            </w:r>
          </w:p>
          <w:p>
            <w:pPr>
              <w:jc w:val="center"/>
              <w:rPr>
                <w:b/>
                <w:bCs/>
                <w:color w:val="auto"/>
                <w:sz w:val="24"/>
              </w:rPr>
            </w:pPr>
            <w:r>
              <w:rPr>
                <w:b/>
                <w:bCs/>
                <w:color w:val="auto"/>
                <w:sz w:val="24"/>
              </w:rPr>
              <w:t>流</w:t>
            </w:r>
          </w:p>
          <w:p>
            <w:pPr>
              <w:jc w:val="center"/>
              <w:rPr>
                <w:b/>
                <w:bCs/>
                <w:color w:val="auto"/>
                <w:sz w:val="24"/>
              </w:rPr>
            </w:pPr>
            <w:r>
              <w:rPr>
                <w:b/>
                <w:bCs/>
                <w:color w:val="auto"/>
                <w:sz w:val="24"/>
              </w:rPr>
              <w:t>程</w:t>
            </w:r>
          </w:p>
          <w:p>
            <w:pPr>
              <w:jc w:val="center"/>
              <w:rPr>
                <w:b/>
                <w:bCs/>
                <w:color w:val="auto"/>
                <w:sz w:val="24"/>
              </w:rPr>
            </w:pPr>
            <w:r>
              <w:rPr>
                <w:b/>
                <w:bCs/>
                <w:color w:val="auto"/>
                <w:sz w:val="24"/>
              </w:rPr>
              <w:t>和</w:t>
            </w:r>
          </w:p>
          <w:p>
            <w:pPr>
              <w:jc w:val="center"/>
              <w:rPr>
                <w:b/>
                <w:bCs/>
                <w:color w:val="auto"/>
                <w:sz w:val="24"/>
              </w:rPr>
            </w:pPr>
            <w:r>
              <w:rPr>
                <w:b/>
                <w:bCs/>
                <w:color w:val="auto"/>
                <w:sz w:val="24"/>
              </w:rPr>
              <w:t>产</w:t>
            </w:r>
          </w:p>
          <w:p>
            <w:pPr>
              <w:jc w:val="center"/>
              <w:rPr>
                <w:b/>
                <w:bCs/>
                <w:color w:val="auto"/>
                <w:sz w:val="24"/>
              </w:rPr>
            </w:pPr>
            <w:r>
              <w:rPr>
                <w:b/>
                <w:bCs/>
                <w:color w:val="auto"/>
                <w:sz w:val="24"/>
              </w:rPr>
              <w:t>排</w:t>
            </w:r>
          </w:p>
          <w:p>
            <w:pPr>
              <w:jc w:val="center"/>
              <w:rPr>
                <w:b/>
                <w:bCs/>
                <w:color w:val="auto"/>
                <w:sz w:val="24"/>
              </w:rPr>
            </w:pPr>
            <w:r>
              <w:rPr>
                <w:b/>
                <w:bCs/>
                <w:color w:val="auto"/>
                <w:sz w:val="24"/>
              </w:rPr>
              <w:t>污</w:t>
            </w:r>
          </w:p>
          <w:p>
            <w:pPr>
              <w:jc w:val="center"/>
              <w:rPr>
                <w:b/>
                <w:bCs/>
                <w:color w:val="auto"/>
                <w:sz w:val="24"/>
              </w:rPr>
            </w:pPr>
            <w:r>
              <w:rPr>
                <w:b/>
                <w:bCs/>
                <w:color w:val="auto"/>
                <w:sz w:val="24"/>
              </w:rPr>
              <w:t>环</w:t>
            </w:r>
          </w:p>
          <w:p>
            <w:pPr>
              <w:jc w:val="center"/>
              <w:rPr>
                <w:b/>
                <w:bCs/>
                <w:color w:val="auto"/>
                <w:sz w:val="24"/>
              </w:rPr>
            </w:pPr>
            <w:r>
              <w:rPr>
                <w:b/>
                <w:bCs/>
                <w:color w:val="auto"/>
                <w:sz w:val="24"/>
              </w:rPr>
              <w:t>节</w:t>
            </w:r>
          </w:p>
        </w:tc>
        <w:tc>
          <w:tcPr>
            <w:tcW w:w="8004" w:type="dxa"/>
          </w:tcPr>
          <w:p>
            <w:pPr>
              <w:pStyle w:val="82"/>
              <w:rPr>
                <w:color w:val="auto"/>
              </w:rPr>
            </w:pPr>
            <w:r>
              <w:rPr>
                <w:color w:val="auto"/>
              </w:rPr>
              <w:t>一、施工期</w:t>
            </w:r>
          </w:p>
          <w:p>
            <w:pPr>
              <w:pStyle w:val="75"/>
              <w:rPr>
                <w:color w:val="auto"/>
              </w:rPr>
            </w:pPr>
            <w:r>
              <w:rPr>
                <w:color w:val="auto"/>
              </w:rPr>
              <w:t>本项目利用现有厂房及建筑进行建设，施工期主要为拆解车间封闭</w:t>
            </w:r>
            <w:r>
              <w:rPr>
                <w:rFonts w:hint="eastAsia"/>
                <w:color w:val="auto"/>
              </w:rPr>
              <w:t>以及环保设施安装，不涉及土建工程。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p>
            <w:pPr>
              <w:pStyle w:val="82"/>
              <w:rPr>
                <w:rFonts w:hint="eastAsia" w:eastAsia="宋体"/>
                <w:color w:val="auto"/>
                <w:lang w:val="en-US" w:eastAsia="zh-CN"/>
              </w:rPr>
            </w:pPr>
            <w:r>
              <w:rPr>
                <w:color w:val="auto"/>
              </w:rPr>
              <w:t>二、营运期</w:t>
            </w:r>
          </w:p>
          <w:p>
            <w:pPr>
              <w:pStyle w:val="75"/>
              <w:rPr>
                <w:color w:val="auto"/>
              </w:rPr>
            </w:pP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2106930</wp:posOffset>
                      </wp:positionH>
                      <wp:positionV relativeFrom="paragraph">
                        <wp:posOffset>262255</wp:posOffset>
                      </wp:positionV>
                      <wp:extent cx="448945" cy="272415"/>
                      <wp:effectExtent l="0" t="0" r="0" b="0"/>
                      <wp:wrapNone/>
                      <wp:docPr id="11" name="文本框 11"/>
                      <wp:cNvGraphicFramePr/>
                      <a:graphic xmlns:a="http://schemas.openxmlformats.org/drawingml/2006/main">
                        <a:graphicData uri="http://schemas.microsoft.com/office/word/2010/wordprocessingShape">
                          <wps:wsp>
                            <wps:cNvSpPr txBox="1"/>
                            <wps:spPr>
                              <a:xfrm>
                                <a:off x="3522345" y="4022090"/>
                                <a:ext cx="448945" cy="27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tLeast"/>
                                    <w:textAlignment w:val="auto"/>
                                    <w:rPr>
                                      <w:rFonts w:hint="eastAsia" w:ascii="华文中宋" w:hAnsi="华文中宋" w:eastAsia="华文中宋" w:cs="华文中宋"/>
                                      <w:sz w:val="15"/>
                                      <w:szCs w:val="15"/>
                                      <w:lang w:val="en-US" w:eastAsia="zh-CN"/>
                                    </w:rPr>
                                  </w:pPr>
                                  <w:r>
                                    <w:rPr>
                                      <w:rFonts w:hint="eastAsia" w:ascii="华文中宋" w:hAnsi="华文中宋" w:eastAsia="华文中宋" w:cs="华文中宋"/>
                                      <w:sz w:val="15"/>
                                      <w:szCs w:val="15"/>
                                      <w:lang w:val="en-US" w:eastAsia="zh-CN"/>
                                    </w:rPr>
                                    <w:t>、泥土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9pt;margin-top:20.65pt;height:21.45pt;width:35.35pt;z-index:251661312;mso-width-relative:page;mso-height-relative:page;" filled="f" stroked="f" coordsize="21600,21600" o:gfxdata="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203t9oAAAAJAQAADwAAAAAAAAAB&#10;ACAAAAAiAAAAZHJzL2Rvd25yZXYueG1sUEsBAhQAFAAAAAgAh07iQPM2pTpHAgAAcwQAAA4AAAAA&#10;AAAAAQAgAAAAKQ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tLeast"/>
                              <w:textAlignment w:val="auto"/>
                              <w:rPr>
                                <w:rFonts w:hint="eastAsia" w:ascii="华文中宋" w:hAnsi="华文中宋" w:eastAsia="华文中宋" w:cs="华文中宋"/>
                                <w:sz w:val="15"/>
                                <w:szCs w:val="15"/>
                                <w:lang w:val="en-US" w:eastAsia="zh-CN"/>
                              </w:rPr>
                            </w:pPr>
                            <w:r>
                              <w:rPr>
                                <w:rFonts w:hint="eastAsia" w:ascii="华文中宋" w:hAnsi="华文中宋" w:eastAsia="华文中宋" w:cs="华文中宋"/>
                                <w:sz w:val="15"/>
                                <w:szCs w:val="15"/>
                                <w:lang w:val="en-US" w:eastAsia="zh-CN"/>
                              </w:rPr>
                              <w:t>、泥土</w:t>
                            </w:r>
                          </w:p>
                        </w:txbxContent>
                      </v:textbox>
                    </v:shape>
                  </w:pict>
                </mc:Fallback>
              </mc:AlternateContent>
            </w:r>
            <w:r>
              <w:rPr>
                <w:color w:val="auto"/>
              </w:rPr>
              <w:t>（一）工艺流程图</w:t>
            </w:r>
          </w:p>
          <w:p>
            <w:pPr>
              <w:pStyle w:val="59"/>
              <w:ind w:firstLine="0" w:firstLineChars="0"/>
              <w:jc w:val="center"/>
              <w:rPr>
                <w:color w:val="auto"/>
              </w:rPr>
            </w:pPr>
            <w:r>
              <w:rPr>
                <w:color w:val="auto"/>
              </w:rPr>
              <w:drawing>
                <wp:inline distT="0" distB="0" distL="0" distR="0">
                  <wp:extent cx="4797425" cy="3648710"/>
                  <wp:effectExtent l="0" t="0" r="317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rcRect l="5090" t="1911" r="3931"/>
                          <a:stretch>
                            <a:fillRect/>
                          </a:stretch>
                        </pic:blipFill>
                        <pic:spPr>
                          <a:xfrm>
                            <a:off x="0" y="0"/>
                            <a:ext cx="4805055" cy="3655015"/>
                          </a:xfrm>
                          <a:prstGeom prst="rect">
                            <a:avLst/>
                          </a:prstGeom>
                          <a:ln>
                            <a:noFill/>
                          </a:ln>
                        </pic:spPr>
                      </pic:pic>
                    </a:graphicData>
                  </a:graphic>
                </wp:inline>
              </w:drawing>
            </w:r>
          </w:p>
          <w:p>
            <w:pPr>
              <w:pStyle w:val="76"/>
              <w:rPr>
                <w:color w:val="auto"/>
                <w:highlight w:val="none"/>
              </w:rPr>
            </w:pPr>
            <w:r>
              <w:rPr>
                <w:color w:val="auto"/>
                <w:highlight w:val="none"/>
              </w:rPr>
              <w:t>图2-</w:t>
            </w:r>
            <w:r>
              <w:rPr>
                <w:rFonts w:hint="eastAsia"/>
                <w:color w:val="auto"/>
                <w:highlight w:val="none"/>
                <w:lang w:val="en-US" w:eastAsia="zh-CN"/>
              </w:rPr>
              <w:t>2</w:t>
            </w:r>
            <w:r>
              <w:rPr>
                <w:color w:val="auto"/>
                <w:highlight w:val="none"/>
              </w:rPr>
              <w:t xml:space="preserve"> 本项目工艺流程图及产污环节图</w:t>
            </w:r>
          </w:p>
          <w:p>
            <w:pPr>
              <w:pStyle w:val="75"/>
              <w:rPr>
                <w:color w:val="auto"/>
              </w:rPr>
            </w:pPr>
            <w:r>
              <w:rPr>
                <w:color w:val="auto"/>
              </w:rPr>
              <w:t>（二）产污环节简述</w:t>
            </w:r>
          </w:p>
          <w:p>
            <w:pPr>
              <w:pStyle w:val="75"/>
              <w:rPr>
                <w:color w:val="auto"/>
              </w:rPr>
            </w:pPr>
            <w:r>
              <w:rPr>
                <w:color w:val="auto"/>
              </w:rPr>
              <w:t>报废农业机械回收拆解应严格遵循安全环保和循环利用的原则进行。回收拆解报废农业机械应按检查和登记→拆解前存储→拆解→拆解后存储和处置的流程作业。</w:t>
            </w:r>
          </w:p>
          <w:p>
            <w:pPr>
              <w:pStyle w:val="75"/>
              <w:rPr>
                <w:color w:val="auto"/>
              </w:rPr>
            </w:pPr>
            <w:r>
              <w:rPr>
                <w:color w:val="auto"/>
              </w:rPr>
              <w:t>本项目为农业机械拆解项目，一般而言，拆解工艺有“非破坏性拆解”、“准破坏性抵触”、“破坏性拆解”之分。绝大多数农业机械经长年使用报废后，零件的回收价值已不大；另一方面，本项目拆解工艺不考虑零件回收问题；根据农业机械各部分的具体结构情况及拆解操作的方便程度，综合利用各种手工、电动拆解工具进行拆解，属于“破坏性拆解”。</w:t>
            </w:r>
          </w:p>
          <w:p>
            <w:pPr>
              <w:pStyle w:val="75"/>
              <w:rPr>
                <w:color w:val="auto"/>
              </w:rPr>
            </w:pPr>
            <w:r>
              <w:rPr>
                <w:rFonts w:hint="eastAsia" w:ascii="宋体" w:hAnsi="宋体" w:cs="宋体"/>
                <w:color w:val="auto"/>
              </w:rPr>
              <w:t>①</w:t>
            </w:r>
            <w:r>
              <w:rPr>
                <w:color w:val="auto"/>
              </w:rPr>
              <w:t>农业机械入厂</w:t>
            </w:r>
          </w:p>
          <w:p>
            <w:pPr>
              <w:pStyle w:val="75"/>
              <w:rPr>
                <w:color w:val="auto"/>
              </w:rPr>
            </w:pPr>
            <w:r>
              <w:rPr>
                <w:color w:val="auto"/>
              </w:rPr>
              <w:t>用户报废农业机械入厂后，办理农业机械回收证明手续、双方与农业机械合影留证，以便用户按相关程序办理农业机械报废更新补贴手续。</w:t>
            </w:r>
          </w:p>
          <w:p>
            <w:pPr>
              <w:pStyle w:val="75"/>
              <w:rPr>
                <w:color w:val="auto"/>
              </w:rPr>
            </w:pPr>
            <w:r>
              <w:rPr>
                <w:rFonts w:hint="eastAsia" w:ascii="宋体" w:hAnsi="宋体" w:cs="宋体"/>
                <w:color w:val="auto"/>
              </w:rPr>
              <w:t>②</w:t>
            </w:r>
            <w:r>
              <w:rPr>
                <w:color w:val="auto"/>
              </w:rPr>
              <w:t>拆解前预处理</w:t>
            </w:r>
          </w:p>
          <w:p>
            <w:pPr>
              <w:pStyle w:val="75"/>
              <w:rPr>
                <w:color w:val="auto"/>
              </w:rPr>
            </w:pPr>
            <w:r>
              <w:rPr>
                <w:color w:val="auto"/>
              </w:rPr>
              <w:t>预处理：在正式拆解前，</w:t>
            </w:r>
            <w:r>
              <w:rPr>
                <w:rFonts w:hint="eastAsia"/>
                <w:color w:val="auto"/>
              </w:rPr>
              <w:t>对报废农业机动车进行清洁处理，</w:t>
            </w:r>
            <w:r>
              <w:rPr>
                <w:rFonts w:hint="eastAsia"/>
                <w:color w:val="auto"/>
                <w:lang w:val="en-US" w:eastAsia="zh-CN"/>
              </w:rPr>
              <w:t>然后</w:t>
            </w:r>
            <w:r>
              <w:rPr>
                <w:color w:val="auto"/>
              </w:rPr>
              <w:t>拆下蓄电池，放净发动机、变速箱总成的内部机油；油箱中如有残余燃油，放净回收，然后拆下油箱。预处理是为了保证安全拆解、防止污染，其中蓄电池仅拆下，不进行拆解。</w:t>
            </w:r>
          </w:p>
          <w:p>
            <w:pPr>
              <w:pStyle w:val="75"/>
              <w:rPr>
                <w:color w:val="auto"/>
              </w:rPr>
            </w:pPr>
            <w:r>
              <w:rPr>
                <w:rFonts w:hint="eastAsia" w:ascii="宋体" w:hAnsi="宋体" w:cs="宋体"/>
                <w:color w:val="auto"/>
              </w:rPr>
              <w:t>③</w:t>
            </w:r>
            <w:r>
              <w:rPr>
                <w:color w:val="auto"/>
              </w:rPr>
              <w:t>总成拆除</w:t>
            </w:r>
          </w:p>
          <w:p>
            <w:pPr>
              <w:pStyle w:val="75"/>
              <w:rPr>
                <w:color w:val="auto"/>
              </w:rPr>
            </w:pPr>
            <w:r>
              <w:rPr>
                <w:color w:val="auto"/>
              </w:rPr>
              <w:t>拆下发动机及变速箱等总成，并按《报废农业机械回收拆解技术规范》（NY/T2900-20</w:t>
            </w:r>
            <w:r>
              <w:rPr>
                <w:rFonts w:hint="eastAsia"/>
                <w:color w:val="auto"/>
                <w:lang w:val="en-US" w:eastAsia="zh-CN"/>
              </w:rPr>
              <w:t>22</w:t>
            </w:r>
            <w:r>
              <w:rPr>
                <w:color w:val="auto"/>
              </w:rPr>
              <w:t>）对以上总成进行毁形（留证）、解体。从结构复杂性与操纵舒适性两方面来说，农业机械通常比汽车简单许多、操纵性能要求也低，故其总成数较少。</w:t>
            </w:r>
          </w:p>
          <w:p>
            <w:pPr>
              <w:pStyle w:val="75"/>
              <w:rPr>
                <w:color w:val="auto"/>
              </w:rPr>
            </w:pPr>
            <w:r>
              <w:rPr>
                <w:rFonts w:hint="eastAsia" w:ascii="宋体" w:hAnsi="宋体" w:cs="宋体"/>
                <w:color w:val="auto"/>
              </w:rPr>
              <w:t>④</w:t>
            </w:r>
            <w:r>
              <w:rPr>
                <w:color w:val="auto"/>
              </w:rPr>
              <w:t>机架解体</w:t>
            </w:r>
          </w:p>
          <w:p>
            <w:pPr>
              <w:pStyle w:val="75"/>
              <w:rPr>
                <w:color w:val="auto"/>
              </w:rPr>
            </w:pPr>
            <w:r>
              <w:rPr>
                <w:color w:val="auto"/>
              </w:rPr>
              <w:t>对拆除总成后的整体机架进行解体，机架拆解以能对拆解物进行粗略归类为原则。视局部结构与可拆性的差异，分别用小型工具进行解体；对尺寸较大、或较占空间的拆解件，用剪断机切断。对以上拆解物进行初步分类存放，定期出售给废旧物资回收公司，拆解物分为金属与非金属两大类。金属类包括废钢材（钢、铸钢）、废铜铝等有色金属，非金属类有橡胶（主要是废履带橡胶板、废旧轮胎）、塑料类、碎电线、玻璃钢。</w:t>
            </w:r>
          </w:p>
          <w:p>
            <w:pPr>
              <w:pStyle w:val="75"/>
              <w:rPr>
                <w:color w:val="auto"/>
              </w:rPr>
            </w:pPr>
            <w:r>
              <w:rPr>
                <w:color w:val="auto"/>
              </w:rPr>
              <w:t>本项目只设拆解过程，不设置破碎过程，也无零件清洗及含危险废物的线路板等部件精细拆解、翻新等步骤。</w:t>
            </w:r>
          </w:p>
          <w:p>
            <w:pPr>
              <w:pStyle w:val="75"/>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448" w:type="dxa"/>
            <w:vAlign w:val="center"/>
          </w:tcPr>
          <w:p>
            <w:pPr>
              <w:jc w:val="center"/>
              <w:rPr>
                <w:b/>
                <w:bCs/>
                <w:color w:val="auto"/>
                <w:sz w:val="24"/>
              </w:rPr>
            </w:pPr>
            <w:r>
              <w:rPr>
                <w:b/>
                <w:bCs/>
                <w:color w:val="auto"/>
                <w:sz w:val="24"/>
              </w:rPr>
              <w:t>与项目有关的原有环境污染问题</w:t>
            </w:r>
          </w:p>
        </w:tc>
        <w:tc>
          <w:tcPr>
            <w:tcW w:w="8004" w:type="dxa"/>
            <w:vAlign w:val="center"/>
          </w:tcPr>
          <w:p>
            <w:pPr>
              <w:pStyle w:val="75"/>
              <w:rPr>
                <w:color w:val="auto"/>
              </w:rPr>
            </w:pPr>
            <w:r>
              <w:rPr>
                <w:color w:val="auto"/>
              </w:rPr>
              <w:t>本项目为新建项目，现有厂区为闲置厂房，故本项目不存在原有污染情况及主要环境问题。</w:t>
            </w:r>
          </w:p>
        </w:tc>
      </w:tr>
    </w:tbl>
    <w:p>
      <w:pPr>
        <w:pStyle w:val="17"/>
        <w:rPr>
          <w:rFonts w:ascii="Times New Roman" w:hAnsi="Times New Roman"/>
          <w:snapToGrid w:val="0"/>
          <w:color w:val="auto"/>
          <w:sz w:val="36"/>
          <w:szCs w:val="36"/>
        </w:rPr>
        <w:sectPr>
          <w:footerReference r:id="rId5" w:type="default"/>
          <w:pgSz w:w="11906" w:h="16838"/>
          <w:pgMar w:top="1440" w:right="1800" w:bottom="1440" w:left="1800" w:header="851" w:footer="851" w:gutter="0"/>
          <w:cols w:space="720" w:num="1"/>
          <w:docGrid w:linePitch="312" w:charSpace="0"/>
        </w:sectPr>
      </w:pPr>
    </w:p>
    <w:p>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6" w:name="_Toc32614"/>
      <w:r>
        <w:rPr>
          <w:rFonts w:ascii="Times New Roman" w:hAnsi="Times New Roman"/>
          <w:b/>
          <w:bCs/>
          <w:snapToGrid w:val="0"/>
          <w:color w:val="auto"/>
          <w:sz w:val="30"/>
          <w:szCs w:val="30"/>
        </w:rPr>
        <w:t>三、区域环境质量现状、环境保护目标及评价标准</w:t>
      </w:r>
      <w:bookmarkEnd w:id="6"/>
    </w:p>
    <w:tbl>
      <w:tblPr>
        <w:tblStyle w:val="20"/>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1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99" w:type="dxa"/>
            <w:vAlign w:val="center"/>
          </w:tcPr>
          <w:p>
            <w:pPr>
              <w:jc w:val="center"/>
              <w:rPr>
                <w:b/>
                <w:bCs/>
                <w:color w:val="auto"/>
                <w:sz w:val="24"/>
              </w:rPr>
            </w:pPr>
            <w:r>
              <w:rPr>
                <w:b/>
                <w:bCs/>
                <w:color w:val="auto"/>
                <w:sz w:val="24"/>
              </w:rPr>
              <w:t>区</w:t>
            </w:r>
          </w:p>
          <w:p>
            <w:pPr>
              <w:jc w:val="center"/>
              <w:rPr>
                <w:b/>
                <w:bCs/>
                <w:color w:val="auto"/>
                <w:sz w:val="24"/>
              </w:rPr>
            </w:pPr>
            <w:r>
              <w:rPr>
                <w:b/>
                <w:bCs/>
                <w:color w:val="auto"/>
                <w:sz w:val="24"/>
              </w:rPr>
              <w:t>域</w:t>
            </w:r>
          </w:p>
          <w:p>
            <w:pPr>
              <w:jc w:val="center"/>
              <w:rPr>
                <w:b/>
                <w:bCs/>
                <w:color w:val="auto"/>
                <w:sz w:val="24"/>
              </w:rPr>
            </w:pPr>
            <w:r>
              <w:rPr>
                <w:b/>
                <w:bCs/>
                <w:color w:val="auto"/>
                <w:sz w:val="24"/>
              </w:rPr>
              <w:t>环</w:t>
            </w:r>
          </w:p>
          <w:p>
            <w:pPr>
              <w:jc w:val="center"/>
              <w:rPr>
                <w:b/>
                <w:bCs/>
                <w:color w:val="auto"/>
                <w:sz w:val="24"/>
              </w:rPr>
            </w:pPr>
            <w:r>
              <w:rPr>
                <w:b/>
                <w:bCs/>
                <w:color w:val="auto"/>
                <w:sz w:val="24"/>
              </w:rPr>
              <w:t>境</w:t>
            </w:r>
          </w:p>
          <w:p>
            <w:pPr>
              <w:jc w:val="center"/>
              <w:rPr>
                <w:b/>
                <w:bCs/>
                <w:color w:val="auto"/>
                <w:sz w:val="24"/>
              </w:rPr>
            </w:pPr>
            <w:r>
              <w:rPr>
                <w:b/>
                <w:bCs/>
                <w:color w:val="auto"/>
                <w:sz w:val="24"/>
              </w:rPr>
              <w:t>质</w:t>
            </w:r>
          </w:p>
          <w:p>
            <w:pPr>
              <w:jc w:val="center"/>
              <w:rPr>
                <w:b/>
                <w:bCs/>
                <w:color w:val="auto"/>
                <w:sz w:val="24"/>
              </w:rPr>
            </w:pPr>
            <w:r>
              <w:rPr>
                <w:b/>
                <w:bCs/>
                <w:color w:val="auto"/>
                <w:sz w:val="24"/>
              </w:rPr>
              <w:t>量</w:t>
            </w:r>
          </w:p>
          <w:p>
            <w:pPr>
              <w:jc w:val="center"/>
              <w:rPr>
                <w:b/>
                <w:bCs/>
                <w:color w:val="auto"/>
                <w:sz w:val="24"/>
              </w:rPr>
            </w:pPr>
            <w:r>
              <w:rPr>
                <w:b/>
                <w:bCs/>
                <w:color w:val="auto"/>
                <w:sz w:val="24"/>
              </w:rPr>
              <w:t>现</w:t>
            </w:r>
          </w:p>
          <w:p>
            <w:pPr>
              <w:jc w:val="center"/>
              <w:rPr>
                <w:b/>
                <w:bCs/>
                <w:color w:val="auto"/>
                <w:sz w:val="24"/>
              </w:rPr>
            </w:pPr>
            <w:r>
              <w:rPr>
                <w:b/>
                <w:bCs/>
                <w:color w:val="auto"/>
                <w:sz w:val="24"/>
              </w:rPr>
              <w:t>状</w:t>
            </w:r>
          </w:p>
        </w:tc>
        <w:tc>
          <w:tcPr>
            <w:tcW w:w="7588" w:type="dxa"/>
          </w:tcPr>
          <w:p>
            <w:pPr>
              <w:pStyle w:val="82"/>
              <w:rPr>
                <w:color w:val="auto"/>
              </w:rPr>
            </w:pPr>
            <w:r>
              <w:rPr>
                <w:color w:val="auto"/>
              </w:rPr>
              <w:t>一、大气环境质量现状</w:t>
            </w:r>
          </w:p>
          <w:p>
            <w:pPr>
              <w:pStyle w:val="75"/>
              <w:rPr>
                <w:color w:val="auto"/>
              </w:rPr>
            </w:pPr>
            <w:r>
              <w:rPr>
                <w:color w:val="auto"/>
              </w:rPr>
              <w:t>（一）空气质量达标区判定</w:t>
            </w:r>
          </w:p>
          <w:p>
            <w:pPr>
              <w:pStyle w:val="75"/>
              <w:rPr>
                <w:rFonts w:hint="eastAsia" w:ascii="Times New Roman" w:hAnsi="Times New Roman" w:eastAsia="宋体" w:cs="Times New Roman"/>
                <w:color w:val="auto"/>
                <w:kern w:val="2"/>
                <w:sz w:val="24"/>
                <w:szCs w:val="24"/>
                <w:lang w:val="zh-CN" w:eastAsia="zh-CN" w:bidi="ar-SA"/>
              </w:rPr>
            </w:pPr>
            <w:r>
              <w:rPr>
                <w:rFonts w:hint="eastAsia" w:ascii="Times New Roman" w:hAnsi="Times New Roman" w:eastAsia="宋体" w:cs="Times New Roman"/>
                <w:color w:val="auto"/>
                <w:kern w:val="2"/>
                <w:sz w:val="24"/>
                <w:szCs w:val="24"/>
                <w:lang w:val="zh-CN" w:eastAsia="zh-CN" w:bidi="ar-SA"/>
              </w:rPr>
              <w:t>七台河市2022年SO</w:t>
            </w:r>
            <w:r>
              <w:rPr>
                <w:rFonts w:hint="eastAsia" w:ascii="Times New Roman" w:hAnsi="Times New Roman" w:eastAsia="宋体" w:cs="Times New Roman"/>
                <w:color w:val="auto"/>
                <w:kern w:val="2"/>
                <w:sz w:val="24"/>
                <w:szCs w:val="24"/>
                <w:vertAlign w:val="subscript"/>
                <w:lang w:val="zh-CN" w:eastAsia="zh-CN" w:bidi="ar-SA"/>
              </w:rPr>
              <w:t>2</w:t>
            </w:r>
            <w:r>
              <w:rPr>
                <w:rFonts w:hint="eastAsia" w:ascii="Times New Roman" w:hAnsi="Times New Roman" w:eastAsia="宋体" w:cs="Times New Roman"/>
                <w:color w:val="auto"/>
                <w:kern w:val="2"/>
                <w:sz w:val="24"/>
                <w:szCs w:val="24"/>
                <w:lang w:val="zh-CN" w:eastAsia="zh-CN" w:bidi="ar-SA"/>
              </w:rPr>
              <w:t>、NO</w:t>
            </w:r>
            <w:r>
              <w:rPr>
                <w:rFonts w:hint="eastAsia" w:ascii="Times New Roman" w:hAnsi="Times New Roman" w:eastAsia="宋体" w:cs="Times New Roman"/>
                <w:color w:val="auto"/>
                <w:kern w:val="2"/>
                <w:sz w:val="24"/>
                <w:szCs w:val="24"/>
                <w:vertAlign w:val="subscript"/>
                <w:lang w:val="zh-CN" w:eastAsia="zh-CN" w:bidi="ar-SA"/>
              </w:rPr>
              <w:t>2</w:t>
            </w:r>
            <w:r>
              <w:rPr>
                <w:rFonts w:hint="eastAsia" w:ascii="Times New Roman" w:hAnsi="Times New Roman" w:eastAsia="宋体" w:cs="Times New Roman"/>
                <w:color w:val="auto"/>
                <w:kern w:val="2"/>
                <w:sz w:val="24"/>
                <w:szCs w:val="24"/>
                <w:lang w:val="zh-CN" w:eastAsia="zh-CN" w:bidi="ar-SA"/>
              </w:rPr>
              <w:t>、PM</w:t>
            </w:r>
            <w:r>
              <w:rPr>
                <w:rFonts w:hint="eastAsia" w:ascii="Times New Roman" w:hAnsi="Times New Roman" w:eastAsia="宋体" w:cs="Times New Roman"/>
                <w:color w:val="auto"/>
                <w:kern w:val="2"/>
                <w:sz w:val="24"/>
                <w:szCs w:val="24"/>
                <w:vertAlign w:val="subscript"/>
                <w:lang w:val="zh-CN" w:eastAsia="zh-CN" w:bidi="ar-SA"/>
              </w:rPr>
              <w:t>10</w:t>
            </w:r>
            <w:r>
              <w:rPr>
                <w:rFonts w:hint="eastAsia" w:ascii="Times New Roman" w:hAnsi="Times New Roman" w:eastAsia="宋体" w:cs="Times New Roman"/>
                <w:color w:val="auto"/>
                <w:kern w:val="2"/>
                <w:sz w:val="24"/>
                <w:szCs w:val="24"/>
                <w:lang w:val="zh-CN" w:eastAsia="zh-CN" w:bidi="ar-SA"/>
              </w:rPr>
              <w:t>、PM</w:t>
            </w:r>
            <w:r>
              <w:rPr>
                <w:rFonts w:hint="eastAsia" w:ascii="Times New Roman" w:hAnsi="Times New Roman" w:eastAsia="宋体" w:cs="Times New Roman"/>
                <w:color w:val="auto"/>
                <w:kern w:val="2"/>
                <w:sz w:val="24"/>
                <w:szCs w:val="24"/>
                <w:vertAlign w:val="subscript"/>
                <w:lang w:val="zh-CN" w:eastAsia="zh-CN" w:bidi="ar-SA"/>
              </w:rPr>
              <w:t>2.5</w:t>
            </w:r>
            <w:r>
              <w:rPr>
                <w:rFonts w:hint="eastAsia" w:ascii="Times New Roman" w:hAnsi="Times New Roman" w:eastAsia="宋体" w:cs="Times New Roman"/>
                <w:color w:val="auto"/>
                <w:kern w:val="2"/>
                <w:sz w:val="24"/>
                <w:szCs w:val="24"/>
                <w:lang w:val="zh-CN" w:eastAsia="zh-CN" w:bidi="ar-SA"/>
              </w:rPr>
              <w:t>年均浓度分别为13ug/m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、22ug/m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、48ug/m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、27ug/m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；CO24小时平均第95百分位数为1.1mg/m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，O</w:t>
            </w:r>
            <w:r>
              <w:rPr>
                <w:rFonts w:hint="eastAsia" w:ascii="Times New Roman" w:hAnsi="Times New Roman" w:eastAsia="宋体" w:cs="Times New Roman"/>
                <w:color w:val="auto"/>
                <w:kern w:val="2"/>
                <w:sz w:val="24"/>
                <w:szCs w:val="24"/>
                <w:vertAlign w:val="subscript"/>
                <w:lang w:val="zh-CN" w:eastAsia="zh-CN" w:bidi="ar-SA"/>
              </w:rPr>
              <w:t>3</w:t>
            </w:r>
            <w:r>
              <w:rPr>
                <w:rFonts w:hint="eastAsia" w:ascii="Times New Roman" w:hAnsi="Times New Roman" w:eastAsia="宋体" w:cs="Times New Roman"/>
                <w:color w:val="auto"/>
                <w:kern w:val="2"/>
                <w:sz w:val="24"/>
                <w:szCs w:val="24"/>
                <w:lang w:val="zh-CN" w:eastAsia="zh-CN" w:bidi="ar-SA"/>
              </w:rPr>
              <w:t>日最大8小时平均第90百分位数为104ug/m</w:t>
            </w:r>
            <w:r>
              <w:rPr>
                <w:rFonts w:hint="eastAsia" w:ascii="Times New Roman" w:hAnsi="Times New Roman" w:eastAsia="宋体" w:cs="Times New Roman"/>
                <w:color w:val="auto"/>
                <w:kern w:val="2"/>
                <w:sz w:val="24"/>
                <w:szCs w:val="24"/>
                <w:vertAlign w:val="superscript"/>
                <w:lang w:val="zh-CN" w:eastAsia="zh-CN" w:bidi="ar-SA"/>
              </w:rPr>
              <w:t>3</w:t>
            </w:r>
            <w:r>
              <w:rPr>
                <w:rFonts w:hint="eastAsia" w:ascii="Times New Roman" w:hAnsi="Times New Roman" w:eastAsia="宋体" w:cs="Times New Roman"/>
                <w:color w:val="auto"/>
                <w:kern w:val="2"/>
                <w:sz w:val="24"/>
                <w:szCs w:val="24"/>
                <w:lang w:val="zh-CN" w:eastAsia="zh-CN" w:bidi="ar-SA"/>
              </w:rPr>
              <w:t>；各污染物平均浓度均优于《环境空气质量标准》（GB3095-2012）中二级标准限值</w:t>
            </w:r>
            <w:r>
              <w:rPr>
                <w:rFonts w:hint="eastAsia" w:cs="Times New Roman"/>
                <w:color w:val="auto"/>
                <w:kern w:val="2"/>
                <w:sz w:val="24"/>
                <w:szCs w:val="24"/>
                <w:lang w:val="zh-CN" w:eastAsia="zh-CN" w:bidi="ar-SA"/>
              </w:rPr>
              <w:t>。</w:t>
            </w:r>
          </w:p>
          <w:p>
            <w:pPr>
              <w:pStyle w:val="75"/>
              <w:rPr>
                <w:color w:val="auto"/>
              </w:rPr>
            </w:pPr>
            <w:r>
              <w:rPr>
                <w:color w:val="auto"/>
              </w:rPr>
              <w:t>（二）其他污染物</w:t>
            </w:r>
          </w:p>
          <w:p>
            <w:pPr>
              <w:pStyle w:val="75"/>
              <w:rPr>
                <w:rFonts w:hint="eastAsia"/>
                <w:snapToGrid w:val="0"/>
                <w:color w:val="auto"/>
                <w:lang w:val="en-GB"/>
              </w:rPr>
            </w:pPr>
            <w:r>
              <w:rPr>
                <w:rFonts w:hint="eastAsia"/>
                <w:snapToGrid w:val="0"/>
                <w:color w:val="auto"/>
                <w:lang w:val="en-GB"/>
              </w:rPr>
              <w:t>本项目的其他污染物为TSP。根据《建设项目环境影响报告表编制技术指南（污染影响类）（试行）》中关于区域大气环境质量现状中的要求，项目引用</w:t>
            </w:r>
            <w:r>
              <w:rPr>
                <w:rFonts w:hint="eastAsia"/>
                <w:snapToGrid w:val="0"/>
                <w:color w:val="auto"/>
                <w:lang w:val="en-US" w:eastAsia="zh-CN"/>
              </w:rPr>
              <w:t>在</w:t>
            </w:r>
            <w:r>
              <w:rPr>
                <w:rFonts w:hint="eastAsia"/>
                <w:snapToGrid w:val="0"/>
                <w:color w:val="auto"/>
                <w:lang w:val="en-GB"/>
              </w:rPr>
              <w:t>本项目</w:t>
            </w:r>
            <w:r>
              <w:rPr>
                <w:rFonts w:hint="eastAsia"/>
                <w:snapToGrid w:val="0"/>
                <w:color w:val="auto"/>
                <w:lang w:val="en-US" w:eastAsia="zh-CN"/>
              </w:rPr>
              <w:t>北侧</w:t>
            </w:r>
            <w:r>
              <w:rPr>
                <w:rFonts w:hint="eastAsia"/>
                <w:snapToGrid w:val="0"/>
                <w:color w:val="auto"/>
                <w:lang w:val="en-GB"/>
              </w:rPr>
              <w:t>约</w:t>
            </w:r>
            <w:r>
              <w:rPr>
                <w:rFonts w:hint="eastAsia"/>
                <w:snapToGrid w:val="0"/>
                <w:color w:val="auto"/>
                <w:lang w:val="en-US" w:eastAsia="zh-CN"/>
              </w:rPr>
              <w:t>3</w:t>
            </w:r>
            <w:r>
              <w:rPr>
                <w:rFonts w:hint="eastAsia"/>
                <w:snapToGrid w:val="0"/>
                <w:color w:val="auto"/>
                <w:lang w:val="en-GB"/>
              </w:rPr>
              <w:t>.2km《黑龙江勃利经济开发区控制性详细规划（2020~2030年）环境影响报告书》中化工及新材料产业园2区环境空气质量现状检测数据，数据监测日期为202</w:t>
            </w:r>
            <w:r>
              <w:rPr>
                <w:rFonts w:hint="eastAsia"/>
                <w:snapToGrid w:val="0"/>
                <w:color w:val="auto"/>
                <w:lang w:val="en-US" w:eastAsia="zh-CN"/>
              </w:rPr>
              <w:t>2</w:t>
            </w:r>
            <w:r>
              <w:rPr>
                <w:rFonts w:hint="eastAsia"/>
                <w:snapToGrid w:val="0"/>
                <w:color w:val="auto"/>
                <w:lang w:val="en-GB"/>
              </w:rPr>
              <w:t>年</w:t>
            </w:r>
            <w:r>
              <w:rPr>
                <w:rFonts w:hint="eastAsia"/>
                <w:snapToGrid w:val="0"/>
                <w:color w:val="auto"/>
                <w:lang w:val="en-US" w:eastAsia="zh-CN"/>
              </w:rPr>
              <w:t>8</w:t>
            </w:r>
            <w:r>
              <w:rPr>
                <w:rFonts w:hint="eastAsia"/>
                <w:snapToGrid w:val="0"/>
                <w:color w:val="auto"/>
                <w:lang w:val="en-GB"/>
              </w:rPr>
              <w:t>月</w:t>
            </w:r>
            <w:r>
              <w:rPr>
                <w:rFonts w:hint="eastAsia"/>
                <w:snapToGrid w:val="0"/>
                <w:color w:val="auto"/>
                <w:lang w:val="en-US" w:eastAsia="zh-CN"/>
              </w:rPr>
              <w:t>8</w:t>
            </w:r>
            <w:r>
              <w:rPr>
                <w:rFonts w:hint="eastAsia"/>
                <w:snapToGrid w:val="0"/>
                <w:color w:val="auto"/>
                <w:lang w:val="en-GB"/>
              </w:rPr>
              <w:t>日~1</w:t>
            </w:r>
            <w:r>
              <w:rPr>
                <w:rFonts w:hint="eastAsia"/>
                <w:snapToGrid w:val="0"/>
                <w:color w:val="auto"/>
                <w:lang w:val="en-US" w:eastAsia="zh-CN"/>
              </w:rPr>
              <w:t>4</w:t>
            </w:r>
            <w:r>
              <w:rPr>
                <w:rFonts w:hint="eastAsia"/>
                <w:snapToGrid w:val="0"/>
                <w:color w:val="auto"/>
                <w:lang w:val="en-GB"/>
              </w:rPr>
              <w:t>日。在引用项目的下风向布设1个检测点位，监测点基本信息见表3-1，检测及评价结果见表3-2</w:t>
            </w:r>
            <w:r>
              <w:rPr>
                <w:rFonts w:hint="eastAsia"/>
                <w:snapToGrid w:val="0"/>
                <w:color w:val="auto"/>
                <w:lang w:val="en-US" w:eastAsia="zh-CN"/>
              </w:rPr>
              <w:t>-表3-3</w:t>
            </w:r>
            <w:r>
              <w:rPr>
                <w:rFonts w:hint="eastAsia"/>
                <w:snapToGrid w:val="0"/>
                <w:color w:val="auto"/>
                <w:lang w:val="en-GB"/>
              </w:rPr>
              <w:t>。</w:t>
            </w:r>
          </w:p>
          <w:p>
            <w:pPr>
              <w:pStyle w:val="75"/>
              <w:rPr>
                <w:snapToGrid w:val="0"/>
                <w:color w:val="auto"/>
                <w:lang w:val="en-GB"/>
              </w:rPr>
            </w:pPr>
            <w:r>
              <w:rPr>
                <w:snapToGrid w:val="0"/>
                <w:color w:val="auto"/>
                <w:lang w:val="en-GB"/>
              </w:rPr>
              <w:fldChar w:fldCharType="begin"/>
            </w:r>
            <w:r>
              <w:rPr>
                <w:snapToGrid w:val="0"/>
                <w:color w:val="auto"/>
                <w:lang w:val="en-GB"/>
              </w:rPr>
              <w:instrText xml:space="preserve"> = 1 \* GB3 </w:instrText>
            </w:r>
            <w:r>
              <w:rPr>
                <w:snapToGrid w:val="0"/>
                <w:color w:val="auto"/>
                <w:lang w:val="en-GB"/>
              </w:rPr>
              <w:fldChar w:fldCharType="separate"/>
            </w:r>
            <w:r>
              <w:rPr>
                <w:rFonts w:hint="eastAsia" w:ascii="宋体" w:hAnsi="宋体" w:cs="宋体"/>
                <w:snapToGrid w:val="0"/>
                <w:color w:val="auto"/>
                <w:lang w:val="en-GB"/>
              </w:rPr>
              <w:t>①</w:t>
            </w:r>
            <w:r>
              <w:rPr>
                <w:snapToGrid w:val="0"/>
                <w:color w:val="auto"/>
                <w:lang w:val="en-GB"/>
              </w:rPr>
              <w:fldChar w:fldCharType="end"/>
            </w:r>
            <w:r>
              <w:rPr>
                <w:snapToGrid w:val="0"/>
                <w:color w:val="auto"/>
                <w:lang w:val="en-GB"/>
              </w:rPr>
              <w:t>监测点位基本信息</w:t>
            </w:r>
          </w:p>
          <w:p>
            <w:pPr>
              <w:pStyle w:val="75"/>
              <w:rPr>
                <w:snapToGrid w:val="0"/>
                <w:color w:val="auto"/>
                <w:lang w:val="en-GB"/>
              </w:rPr>
            </w:pPr>
            <w:r>
              <w:rPr>
                <w:snapToGrid w:val="0"/>
                <w:color w:val="auto"/>
                <w:lang w:val="en-GB"/>
              </w:rPr>
              <w:t>本项目监测点位基本信息见表3-</w:t>
            </w:r>
            <w:r>
              <w:rPr>
                <w:rFonts w:hint="eastAsia"/>
                <w:snapToGrid w:val="0"/>
                <w:color w:val="auto"/>
                <w:lang w:val="en-US" w:eastAsia="zh-CN"/>
              </w:rPr>
              <w:t>1</w:t>
            </w:r>
            <w:r>
              <w:rPr>
                <w:snapToGrid w:val="0"/>
                <w:color w:val="auto"/>
                <w:lang w:val="en-GB"/>
              </w:rPr>
              <w:t>。</w:t>
            </w:r>
          </w:p>
          <w:p>
            <w:pPr>
              <w:pStyle w:val="76"/>
              <w:rPr>
                <w:color w:val="auto"/>
              </w:rPr>
            </w:pPr>
            <w:r>
              <w:rPr>
                <w:color w:val="auto"/>
              </w:rPr>
              <w:t>表3-</w:t>
            </w:r>
            <w:r>
              <w:rPr>
                <w:rFonts w:hint="eastAsia"/>
                <w:color w:val="auto"/>
                <w:lang w:val="en-US" w:eastAsia="zh-CN"/>
              </w:rPr>
              <w:t>1</w:t>
            </w:r>
            <w:r>
              <w:rPr>
                <w:color w:val="auto"/>
              </w:rPr>
              <w:t xml:space="preserve"> </w:t>
            </w:r>
            <w:r>
              <w:rPr>
                <w:rFonts w:hint="eastAsia"/>
                <w:color w:val="auto"/>
                <w:lang w:val="en-US" w:eastAsia="zh-CN"/>
              </w:rPr>
              <w:t>引用项目</w:t>
            </w:r>
            <w:r>
              <w:rPr>
                <w:color w:val="auto"/>
              </w:rPr>
              <w:t>其他污染物监测点位基本信息表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1965"/>
              <w:gridCol w:w="725"/>
              <w:gridCol w:w="1491"/>
              <w:gridCol w:w="789"/>
              <w:gridCol w:w="9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2" w:hRule="atLeast"/>
                <w:jc w:val="center"/>
              </w:trPr>
              <w:tc>
                <w:tcPr>
                  <w:tcW w:w="1996" w:type="dxa"/>
                  <w:vAlign w:val="center"/>
                </w:tcPr>
                <w:p>
                  <w:pPr>
                    <w:pStyle w:val="78"/>
                    <w:rPr>
                      <w:color w:val="auto"/>
                    </w:rPr>
                  </w:pPr>
                  <w:r>
                    <w:rPr>
                      <w:color w:val="auto"/>
                    </w:rPr>
                    <w:t>监测点名称</w:t>
                  </w:r>
                </w:p>
              </w:tc>
              <w:tc>
                <w:tcPr>
                  <w:tcW w:w="1965" w:type="dxa"/>
                  <w:vAlign w:val="center"/>
                </w:tcPr>
                <w:p>
                  <w:pPr>
                    <w:pStyle w:val="78"/>
                    <w:rPr>
                      <w:rFonts w:hint="eastAsia" w:eastAsia="宋体"/>
                      <w:color w:val="auto"/>
                      <w:lang w:eastAsia="zh-CN"/>
                    </w:rPr>
                  </w:pPr>
                  <w:r>
                    <w:rPr>
                      <w:color w:val="auto"/>
                    </w:rPr>
                    <w:t>监测点</w:t>
                  </w:r>
                  <w:r>
                    <w:rPr>
                      <w:rFonts w:hint="eastAsia"/>
                      <w:color w:val="auto"/>
                      <w:lang w:val="en-US" w:eastAsia="zh-CN"/>
                    </w:rPr>
                    <w:t>名称</w:t>
                  </w:r>
                </w:p>
              </w:tc>
              <w:tc>
                <w:tcPr>
                  <w:tcW w:w="725" w:type="dxa"/>
                  <w:vAlign w:val="center"/>
                </w:tcPr>
                <w:p>
                  <w:pPr>
                    <w:pStyle w:val="78"/>
                    <w:rPr>
                      <w:color w:val="auto"/>
                    </w:rPr>
                  </w:pPr>
                  <w:r>
                    <w:rPr>
                      <w:color w:val="auto"/>
                    </w:rPr>
                    <w:t>监测因子</w:t>
                  </w:r>
                </w:p>
              </w:tc>
              <w:tc>
                <w:tcPr>
                  <w:tcW w:w="1491" w:type="dxa"/>
                  <w:vAlign w:val="center"/>
                </w:tcPr>
                <w:p>
                  <w:pPr>
                    <w:pStyle w:val="78"/>
                    <w:rPr>
                      <w:color w:val="auto"/>
                    </w:rPr>
                  </w:pPr>
                  <w:r>
                    <w:rPr>
                      <w:color w:val="auto"/>
                    </w:rPr>
                    <w:t>监测时段</w:t>
                  </w:r>
                </w:p>
              </w:tc>
              <w:tc>
                <w:tcPr>
                  <w:tcW w:w="789" w:type="dxa"/>
                  <w:vAlign w:val="center"/>
                </w:tcPr>
                <w:p>
                  <w:pPr>
                    <w:pStyle w:val="78"/>
                    <w:rPr>
                      <w:color w:val="auto"/>
                    </w:rPr>
                  </w:pPr>
                  <w:r>
                    <w:rPr>
                      <w:color w:val="auto"/>
                    </w:rPr>
                    <w:t>相对场址方位</w:t>
                  </w:r>
                </w:p>
              </w:tc>
              <w:tc>
                <w:tcPr>
                  <w:tcW w:w="938" w:type="dxa"/>
                  <w:vAlign w:val="center"/>
                </w:tcPr>
                <w:p>
                  <w:pPr>
                    <w:pStyle w:val="78"/>
                    <w:rPr>
                      <w:color w:val="auto"/>
                    </w:rPr>
                  </w:pPr>
                  <w:r>
                    <w:rPr>
                      <w:color w:val="auto"/>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pPr>
                    <w:pStyle w:val="78"/>
                    <w:rPr>
                      <w:color w:val="auto"/>
                    </w:rPr>
                  </w:pPr>
                  <w:r>
                    <w:rPr>
                      <w:rFonts w:hint="eastAsia"/>
                      <w:color w:val="auto"/>
                      <w:kern w:val="0"/>
                      <w:szCs w:val="21"/>
                      <w:lang w:val="en-US" w:eastAsia="zh-CN"/>
                    </w:rPr>
                    <w:t>引用项目</w:t>
                  </w:r>
                  <w:r>
                    <w:rPr>
                      <w:color w:val="auto"/>
                      <w:kern w:val="0"/>
                    </w:rPr>
                    <w:t>○1</w:t>
                  </w:r>
                </w:p>
              </w:tc>
              <w:tc>
                <w:tcPr>
                  <w:tcW w:w="1965" w:type="dxa"/>
                  <w:vAlign w:val="center"/>
                </w:tcPr>
                <w:p>
                  <w:pPr>
                    <w:pStyle w:val="78"/>
                    <w:rPr>
                      <w:rFonts w:hint="default" w:eastAsia="宋体"/>
                      <w:color w:val="auto"/>
                      <w:lang w:val="en-US" w:eastAsia="zh-CN"/>
                    </w:rPr>
                  </w:pPr>
                  <w:r>
                    <w:rPr>
                      <w:rFonts w:hint="eastAsia"/>
                      <w:snapToGrid w:val="0"/>
                      <w:color w:val="auto"/>
                      <w:lang w:val="en-GB"/>
                    </w:rPr>
                    <w:t>化工及新材料产业园2区</w:t>
                  </w:r>
                </w:p>
              </w:tc>
              <w:tc>
                <w:tcPr>
                  <w:tcW w:w="725" w:type="dxa"/>
                  <w:vMerge w:val="restart"/>
                  <w:vAlign w:val="center"/>
                </w:tcPr>
                <w:p>
                  <w:pPr>
                    <w:pStyle w:val="78"/>
                    <w:rPr>
                      <w:color w:val="auto"/>
                    </w:rPr>
                  </w:pPr>
                  <w:r>
                    <w:rPr>
                      <w:color w:val="auto"/>
                    </w:rPr>
                    <w:t>TSP</w:t>
                  </w:r>
                </w:p>
              </w:tc>
              <w:tc>
                <w:tcPr>
                  <w:tcW w:w="1491" w:type="dxa"/>
                  <w:vMerge w:val="restart"/>
                  <w:vAlign w:val="center"/>
                </w:tcPr>
                <w:p>
                  <w:pPr>
                    <w:pStyle w:val="78"/>
                    <w:rPr>
                      <w:color w:val="auto"/>
                    </w:rPr>
                  </w:pPr>
                  <w:r>
                    <w:rPr>
                      <w:color w:val="auto"/>
                      <w:szCs w:val="22"/>
                    </w:rPr>
                    <w:t>202</w:t>
                  </w:r>
                  <w:r>
                    <w:rPr>
                      <w:rFonts w:hint="eastAsia"/>
                      <w:color w:val="auto"/>
                      <w:szCs w:val="22"/>
                      <w:lang w:val="en-US" w:eastAsia="zh-CN"/>
                    </w:rPr>
                    <w:t>1</w:t>
                  </w:r>
                  <w:r>
                    <w:rPr>
                      <w:color w:val="auto"/>
                      <w:szCs w:val="22"/>
                    </w:rPr>
                    <w:t>年</w:t>
                  </w:r>
                  <w:r>
                    <w:rPr>
                      <w:rFonts w:hint="eastAsia"/>
                      <w:color w:val="auto"/>
                      <w:szCs w:val="22"/>
                      <w:lang w:val="en-US" w:eastAsia="zh-CN"/>
                    </w:rPr>
                    <w:t>10</w:t>
                  </w:r>
                  <w:r>
                    <w:rPr>
                      <w:color w:val="auto"/>
                      <w:szCs w:val="22"/>
                    </w:rPr>
                    <w:t>月</w:t>
                  </w:r>
                  <w:r>
                    <w:rPr>
                      <w:rFonts w:hint="eastAsia"/>
                      <w:color w:val="auto"/>
                      <w:szCs w:val="22"/>
                      <w:lang w:val="en-US" w:eastAsia="zh-CN"/>
                    </w:rPr>
                    <w:t>14</w:t>
                  </w:r>
                  <w:r>
                    <w:rPr>
                      <w:color w:val="auto"/>
                      <w:szCs w:val="22"/>
                    </w:rPr>
                    <w:t>日-</w:t>
                  </w:r>
                  <w:r>
                    <w:rPr>
                      <w:rFonts w:hint="eastAsia"/>
                      <w:color w:val="auto"/>
                      <w:szCs w:val="22"/>
                      <w:lang w:val="en-US" w:eastAsia="zh-CN"/>
                    </w:rPr>
                    <w:t>10</w:t>
                  </w:r>
                  <w:r>
                    <w:rPr>
                      <w:color w:val="auto"/>
                      <w:szCs w:val="22"/>
                    </w:rPr>
                    <w:t>月</w:t>
                  </w:r>
                  <w:r>
                    <w:rPr>
                      <w:rFonts w:hint="eastAsia"/>
                      <w:color w:val="auto"/>
                      <w:szCs w:val="22"/>
                      <w:lang w:val="en-US" w:eastAsia="zh-CN"/>
                    </w:rPr>
                    <w:t>16</w:t>
                  </w:r>
                  <w:r>
                    <w:rPr>
                      <w:color w:val="auto"/>
                      <w:szCs w:val="22"/>
                    </w:rPr>
                    <w:t>日</w:t>
                  </w:r>
                </w:p>
              </w:tc>
              <w:tc>
                <w:tcPr>
                  <w:tcW w:w="789" w:type="dxa"/>
                  <w:vAlign w:val="center"/>
                </w:tcPr>
                <w:p>
                  <w:pPr>
                    <w:pStyle w:val="78"/>
                    <w:rPr>
                      <w:rFonts w:hint="eastAsia" w:eastAsia="宋体"/>
                      <w:color w:val="auto"/>
                      <w:lang w:eastAsia="zh-CN"/>
                    </w:rPr>
                  </w:pPr>
                  <w:r>
                    <w:rPr>
                      <w:rFonts w:hint="eastAsia"/>
                      <w:color w:val="auto"/>
                      <w:lang w:val="en-US" w:eastAsia="zh-CN"/>
                    </w:rPr>
                    <w:t>园区内</w:t>
                  </w:r>
                </w:p>
              </w:tc>
              <w:tc>
                <w:tcPr>
                  <w:tcW w:w="938" w:type="dxa"/>
                  <w:vAlign w:val="center"/>
                </w:tcPr>
                <w:p>
                  <w:pPr>
                    <w:pStyle w:val="78"/>
                    <w:rPr>
                      <w:rFonts w:hint="default" w:eastAsia="宋体"/>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pPr>
                    <w:pStyle w:val="78"/>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2</w:t>
                  </w:r>
                </w:p>
              </w:tc>
              <w:tc>
                <w:tcPr>
                  <w:tcW w:w="1965" w:type="dxa"/>
                  <w:vAlign w:val="center"/>
                </w:tcPr>
                <w:p>
                  <w:pPr>
                    <w:pStyle w:val="78"/>
                    <w:rPr>
                      <w:rFonts w:hint="default"/>
                      <w:color w:val="auto"/>
                      <w:kern w:val="0"/>
                      <w:szCs w:val="21"/>
                      <w:lang w:val="en-US" w:eastAsia="zh-CN"/>
                    </w:rPr>
                  </w:pPr>
                  <w:r>
                    <w:rPr>
                      <w:rFonts w:hint="eastAsia"/>
                      <w:color w:val="auto"/>
                      <w:kern w:val="0"/>
                      <w:szCs w:val="21"/>
                      <w:lang w:val="en-US" w:eastAsia="zh-CN"/>
                    </w:rPr>
                    <w:t>东岗村</w:t>
                  </w:r>
                </w:p>
              </w:tc>
              <w:tc>
                <w:tcPr>
                  <w:tcW w:w="725" w:type="dxa"/>
                  <w:vMerge w:val="continue"/>
                  <w:vAlign w:val="center"/>
                </w:tcPr>
                <w:p>
                  <w:pPr>
                    <w:pStyle w:val="78"/>
                    <w:rPr>
                      <w:color w:val="auto"/>
                    </w:rPr>
                  </w:pPr>
                </w:p>
              </w:tc>
              <w:tc>
                <w:tcPr>
                  <w:tcW w:w="1491" w:type="dxa"/>
                  <w:vMerge w:val="continue"/>
                  <w:vAlign w:val="center"/>
                </w:tcPr>
                <w:p>
                  <w:pPr>
                    <w:pStyle w:val="78"/>
                    <w:rPr>
                      <w:color w:val="auto"/>
                      <w:szCs w:val="22"/>
                    </w:rPr>
                  </w:pPr>
                </w:p>
              </w:tc>
              <w:tc>
                <w:tcPr>
                  <w:tcW w:w="789" w:type="dxa"/>
                  <w:vAlign w:val="center"/>
                </w:tcPr>
                <w:p>
                  <w:pPr>
                    <w:pStyle w:val="78"/>
                    <w:rPr>
                      <w:rFonts w:hint="default"/>
                      <w:color w:val="auto"/>
                      <w:lang w:val="en-US" w:eastAsia="zh-CN"/>
                    </w:rPr>
                  </w:pPr>
                  <w:r>
                    <w:rPr>
                      <w:rFonts w:hint="eastAsia"/>
                      <w:color w:val="auto"/>
                      <w:lang w:val="en-US" w:eastAsia="zh-CN"/>
                    </w:rPr>
                    <w:t>NE</w:t>
                  </w:r>
                </w:p>
              </w:tc>
              <w:tc>
                <w:tcPr>
                  <w:tcW w:w="938" w:type="dxa"/>
                  <w:vAlign w:val="center"/>
                </w:tcPr>
                <w:p>
                  <w:pPr>
                    <w:pStyle w:val="78"/>
                    <w:rPr>
                      <w:rFonts w:hint="default"/>
                      <w:color w:val="auto"/>
                      <w:lang w:val="en-US" w:eastAsia="zh-CN"/>
                    </w:rPr>
                  </w:pPr>
                  <w:r>
                    <w:rPr>
                      <w:rFonts w:hint="eastAsia"/>
                      <w:color w:val="auto"/>
                      <w:lang w:val="en-US" w:eastAsia="zh-CN"/>
                    </w:rPr>
                    <w:t>1340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pPr>
                    <w:pStyle w:val="78"/>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3</w:t>
                  </w:r>
                </w:p>
              </w:tc>
              <w:tc>
                <w:tcPr>
                  <w:tcW w:w="1965" w:type="dxa"/>
                  <w:vAlign w:val="center"/>
                </w:tcPr>
                <w:p>
                  <w:pPr>
                    <w:pStyle w:val="78"/>
                    <w:rPr>
                      <w:rFonts w:hint="default"/>
                      <w:color w:val="auto"/>
                      <w:kern w:val="0"/>
                      <w:szCs w:val="21"/>
                      <w:lang w:val="en-US" w:eastAsia="zh-CN"/>
                    </w:rPr>
                  </w:pPr>
                  <w:r>
                    <w:rPr>
                      <w:rFonts w:hint="eastAsia"/>
                      <w:color w:val="auto"/>
                      <w:kern w:val="0"/>
                      <w:szCs w:val="21"/>
                      <w:lang w:val="en-US" w:eastAsia="zh-CN"/>
                    </w:rPr>
                    <w:t>勃利镇</w:t>
                  </w:r>
                </w:p>
              </w:tc>
              <w:tc>
                <w:tcPr>
                  <w:tcW w:w="725" w:type="dxa"/>
                  <w:vMerge w:val="continue"/>
                  <w:vAlign w:val="center"/>
                </w:tcPr>
                <w:p>
                  <w:pPr>
                    <w:pStyle w:val="78"/>
                    <w:rPr>
                      <w:color w:val="auto"/>
                    </w:rPr>
                  </w:pPr>
                </w:p>
              </w:tc>
              <w:tc>
                <w:tcPr>
                  <w:tcW w:w="1491" w:type="dxa"/>
                  <w:vMerge w:val="continue"/>
                  <w:vAlign w:val="center"/>
                </w:tcPr>
                <w:p>
                  <w:pPr>
                    <w:pStyle w:val="78"/>
                    <w:rPr>
                      <w:color w:val="auto"/>
                      <w:szCs w:val="22"/>
                    </w:rPr>
                  </w:pPr>
                </w:p>
              </w:tc>
              <w:tc>
                <w:tcPr>
                  <w:tcW w:w="789" w:type="dxa"/>
                  <w:vAlign w:val="center"/>
                </w:tcPr>
                <w:p>
                  <w:pPr>
                    <w:pStyle w:val="78"/>
                    <w:rPr>
                      <w:rFonts w:hint="default"/>
                      <w:color w:val="auto"/>
                      <w:lang w:val="en-US" w:eastAsia="zh-CN"/>
                    </w:rPr>
                  </w:pPr>
                  <w:r>
                    <w:rPr>
                      <w:rFonts w:hint="eastAsia"/>
                      <w:color w:val="auto"/>
                      <w:lang w:val="en-US" w:eastAsia="zh-CN"/>
                    </w:rPr>
                    <w:t>E</w:t>
                  </w:r>
                </w:p>
              </w:tc>
              <w:tc>
                <w:tcPr>
                  <w:tcW w:w="938" w:type="dxa"/>
                  <w:vAlign w:val="center"/>
                </w:tcPr>
                <w:p>
                  <w:pPr>
                    <w:pStyle w:val="78"/>
                    <w:rPr>
                      <w:rFonts w:hint="default"/>
                      <w:color w:val="auto"/>
                      <w:lang w:val="en-US" w:eastAsia="zh-CN"/>
                    </w:rPr>
                  </w:pPr>
                  <w:r>
                    <w:rPr>
                      <w:rFonts w:hint="eastAsia"/>
                      <w:color w:val="auto"/>
                      <w:lang w:val="en-US" w:eastAsia="zh-CN"/>
                    </w:rPr>
                    <w:t>2290</w:t>
                  </w:r>
                </w:p>
              </w:tc>
            </w:tr>
          </w:tbl>
          <w:p>
            <w:pPr>
              <w:pStyle w:val="75"/>
              <w:rPr>
                <w:snapToGrid w:val="0"/>
                <w:color w:val="auto"/>
                <w:lang w:val="en-GB"/>
              </w:rPr>
            </w:pPr>
            <w:r>
              <w:rPr>
                <w:snapToGrid w:val="0"/>
                <w:color w:val="auto"/>
                <w:lang w:val="en-GB"/>
              </w:rPr>
              <w:fldChar w:fldCharType="begin"/>
            </w:r>
            <w:r>
              <w:rPr>
                <w:snapToGrid w:val="0"/>
                <w:color w:val="auto"/>
                <w:lang w:val="en-GB"/>
              </w:rPr>
              <w:instrText xml:space="preserve"> = 2 \* GB3 </w:instrText>
            </w:r>
            <w:r>
              <w:rPr>
                <w:snapToGrid w:val="0"/>
                <w:color w:val="auto"/>
                <w:lang w:val="en-GB"/>
              </w:rPr>
              <w:fldChar w:fldCharType="separate"/>
            </w:r>
            <w:r>
              <w:rPr>
                <w:rFonts w:hint="eastAsia" w:ascii="宋体" w:hAnsi="宋体" w:cs="宋体"/>
                <w:snapToGrid w:val="0"/>
                <w:color w:val="auto"/>
                <w:lang w:val="en-GB"/>
              </w:rPr>
              <w:t>②</w:t>
            </w:r>
            <w:r>
              <w:rPr>
                <w:snapToGrid w:val="0"/>
                <w:color w:val="auto"/>
                <w:lang w:val="en-GB"/>
              </w:rPr>
              <w:fldChar w:fldCharType="end"/>
            </w:r>
            <w:r>
              <w:rPr>
                <w:snapToGrid w:val="0"/>
                <w:color w:val="auto"/>
                <w:lang w:val="en-GB"/>
              </w:rPr>
              <w:t>评价结果</w:t>
            </w:r>
          </w:p>
          <w:p>
            <w:pPr>
              <w:pStyle w:val="75"/>
              <w:keepNext w:val="0"/>
              <w:keepLines w:val="0"/>
              <w:pageBreakBefore w:val="0"/>
              <w:widowControl w:val="0"/>
              <w:kinsoku/>
              <w:wordWrap/>
              <w:overflowPunct/>
              <w:topLinePunct w:val="0"/>
              <w:bidi w:val="0"/>
              <w:spacing w:line="360" w:lineRule="auto"/>
              <w:textAlignment w:val="auto"/>
              <w:rPr>
                <w:snapToGrid w:val="0"/>
                <w:color w:val="auto"/>
                <w:lang w:val="en-GB"/>
              </w:rPr>
            </w:pPr>
            <w:r>
              <w:rPr>
                <w:snapToGrid w:val="0"/>
                <w:color w:val="auto"/>
                <w:lang w:val="en-GB"/>
              </w:rPr>
              <w:t>现状监测统计结果分析情况见表3-</w:t>
            </w:r>
            <w:r>
              <w:rPr>
                <w:rFonts w:hint="eastAsia"/>
                <w:snapToGrid w:val="0"/>
                <w:color w:val="auto"/>
                <w:lang w:val="en-US" w:eastAsia="zh-CN"/>
              </w:rPr>
              <w:t>2</w:t>
            </w:r>
            <w:r>
              <w:rPr>
                <w:snapToGrid w:val="0"/>
                <w:color w:val="auto"/>
                <w:lang w:val="en-GB"/>
              </w:rPr>
              <w:t>。</w:t>
            </w:r>
          </w:p>
          <w:p>
            <w:pPr>
              <w:pStyle w:val="76"/>
              <w:keepNext w:val="0"/>
              <w:keepLines w:val="0"/>
              <w:pageBreakBefore w:val="0"/>
              <w:widowControl w:val="0"/>
              <w:kinsoku/>
              <w:wordWrap/>
              <w:overflowPunct/>
              <w:topLinePunct w:val="0"/>
              <w:bidi w:val="0"/>
              <w:spacing w:line="360" w:lineRule="auto"/>
              <w:textAlignment w:val="auto"/>
              <w:rPr>
                <w:color w:val="auto"/>
              </w:rPr>
            </w:pPr>
            <w:r>
              <w:rPr>
                <w:color w:val="auto"/>
              </w:rPr>
              <w:t>表3-</w:t>
            </w:r>
            <w:r>
              <w:rPr>
                <w:rFonts w:hint="eastAsia"/>
                <w:color w:val="auto"/>
                <w:lang w:val="en-US" w:eastAsia="zh-CN"/>
              </w:rPr>
              <w:t>2</w:t>
            </w:r>
            <w:r>
              <w:rPr>
                <w:color w:val="auto"/>
              </w:rPr>
              <w:t xml:space="preserve"> 监测结果统计分析</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1318"/>
              <w:gridCol w:w="1038"/>
              <w:gridCol w:w="911"/>
              <w:gridCol w:w="1131"/>
              <w:gridCol w:w="970"/>
              <w:gridCol w:w="734"/>
              <w:gridCol w:w="9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556"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bookmarkStart w:id="7" w:name="_Hlk12439591"/>
                  <w:r>
                    <w:rPr>
                      <w:color w:val="auto"/>
                    </w:rPr>
                    <w:t>污染物</w:t>
                  </w:r>
                </w:p>
              </w:tc>
              <w:tc>
                <w:tcPr>
                  <w:tcW w:w="833"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检测点位</w:t>
                  </w:r>
                </w:p>
              </w:tc>
              <w:tc>
                <w:tcPr>
                  <w:tcW w:w="656"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平均时间</w:t>
                  </w:r>
                </w:p>
              </w:tc>
              <w:tc>
                <w:tcPr>
                  <w:tcW w:w="576"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评价标准/μg/m</w:t>
                  </w:r>
                  <w:r>
                    <w:rPr>
                      <w:color w:val="auto"/>
                      <w:vertAlign w:val="superscript"/>
                    </w:rPr>
                    <w:t>3</w:t>
                  </w:r>
                </w:p>
              </w:tc>
              <w:tc>
                <w:tcPr>
                  <w:tcW w:w="715"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监测浓度范围/μg/m</w:t>
                  </w:r>
                  <w:r>
                    <w:rPr>
                      <w:color w:val="auto"/>
                      <w:vertAlign w:val="superscript"/>
                    </w:rPr>
                    <w:t>3</w:t>
                  </w:r>
                </w:p>
              </w:tc>
              <w:tc>
                <w:tcPr>
                  <w:tcW w:w="613"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最大浓度占标率/%</w:t>
                  </w:r>
                </w:p>
              </w:tc>
              <w:tc>
                <w:tcPr>
                  <w:tcW w:w="464"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超标率/%</w:t>
                  </w:r>
                </w:p>
              </w:tc>
              <w:tc>
                <w:tcPr>
                  <w:tcW w:w="583"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restar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TSP</w:t>
                  </w:r>
                </w:p>
              </w:tc>
              <w:tc>
                <w:tcPr>
                  <w:tcW w:w="833" w:type="pc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rFonts w:hint="eastAsia"/>
                      <w:color w:val="auto"/>
                      <w:kern w:val="0"/>
                      <w:szCs w:val="21"/>
                      <w:lang w:val="en-US" w:eastAsia="zh-CN"/>
                    </w:rPr>
                    <w:t>引用项目</w:t>
                  </w:r>
                  <w:r>
                    <w:rPr>
                      <w:color w:val="auto"/>
                      <w:kern w:val="0"/>
                    </w:rPr>
                    <w:t>○1</w:t>
                  </w:r>
                </w:p>
              </w:tc>
              <w:tc>
                <w:tcPr>
                  <w:tcW w:w="656" w:type="pct"/>
                  <w:vMerge w:val="restar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24h平均</w:t>
                  </w:r>
                </w:p>
              </w:tc>
              <w:tc>
                <w:tcPr>
                  <w:tcW w:w="576" w:type="pct"/>
                  <w:vMerge w:val="restar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300</w:t>
                  </w:r>
                </w:p>
              </w:tc>
              <w:tc>
                <w:tcPr>
                  <w:tcW w:w="715"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eastAsia="宋体"/>
                      <w:color w:val="auto"/>
                      <w:lang w:val="en-US" w:eastAsia="zh-CN"/>
                    </w:rPr>
                  </w:pPr>
                  <w:r>
                    <w:rPr>
                      <w:rFonts w:hint="eastAsia"/>
                      <w:color w:val="auto"/>
                      <w:lang w:val="en-US" w:eastAsia="zh-CN"/>
                    </w:rPr>
                    <w:t>91</w:t>
                  </w:r>
                  <w:r>
                    <w:rPr>
                      <w:color w:val="auto"/>
                    </w:rPr>
                    <w:t>~</w:t>
                  </w:r>
                  <w:r>
                    <w:rPr>
                      <w:rFonts w:hint="eastAsia"/>
                      <w:color w:val="auto"/>
                      <w:lang w:val="en-US" w:eastAsia="zh-CN"/>
                    </w:rPr>
                    <w:t>109</w:t>
                  </w:r>
                </w:p>
              </w:tc>
              <w:tc>
                <w:tcPr>
                  <w:tcW w:w="613"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eastAsia="宋体"/>
                      <w:color w:val="auto"/>
                      <w:lang w:val="en-US" w:eastAsia="zh-CN"/>
                    </w:rPr>
                  </w:pPr>
                  <w:r>
                    <w:rPr>
                      <w:rFonts w:hint="eastAsia"/>
                      <w:color w:val="auto"/>
                      <w:lang w:val="en-US" w:eastAsia="zh-CN"/>
                    </w:rPr>
                    <w:t>36.3</w:t>
                  </w:r>
                </w:p>
              </w:tc>
              <w:tc>
                <w:tcPr>
                  <w:tcW w:w="464" w:type="pct"/>
                  <w:vMerge w:val="restar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0</w:t>
                  </w:r>
                </w:p>
              </w:tc>
              <w:tc>
                <w:tcPr>
                  <w:tcW w:w="583" w:type="pct"/>
                  <w:vMerge w:val="restart"/>
                  <w:vAlign w:val="center"/>
                </w:tcPr>
                <w:p>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bookmarkStart w:id="8" w:name="_Hlk84528908"/>
                </w:p>
              </w:tc>
              <w:tc>
                <w:tcPr>
                  <w:tcW w:w="833" w:type="pct"/>
                  <w:vAlign w:val="center"/>
                </w:tcPr>
                <w:p>
                  <w:pPr>
                    <w:pStyle w:val="78"/>
                    <w:keepNext w:val="0"/>
                    <w:keepLines w:val="0"/>
                    <w:pageBreakBefore w:val="0"/>
                    <w:widowControl w:val="0"/>
                    <w:kinsoku/>
                    <w:wordWrap/>
                    <w:overflowPunct/>
                    <w:topLinePunct w:val="0"/>
                    <w:bidi w:val="0"/>
                    <w:spacing w:line="360" w:lineRule="auto"/>
                    <w:textAlignment w:val="auto"/>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2</w:t>
                  </w:r>
                </w:p>
              </w:tc>
              <w:tc>
                <w:tcPr>
                  <w:tcW w:w="65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57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715"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95-107</w:t>
                  </w:r>
                </w:p>
              </w:tc>
              <w:tc>
                <w:tcPr>
                  <w:tcW w:w="613"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35.7</w:t>
                  </w:r>
                </w:p>
              </w:tc>
              <w:tc>
                <w:tcPr>
                  <w:tcW w:w="464"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583"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833" w:type="pct"/>
                  <w:vAlign w:val="center"/>
                </w:tcPr>
                <w:p>
                  <w:pPr>
                    <w:pStyle w:val="78"/>
                    <w:keepNext w:val="0"/>
                    <w:keepLines w:val="0"/>
                    <w:pageBreakBefore w:val="0"/>
                    <w:widowControl w:val="0"/>
                    <w:kinsoku/>
                    <w:wordWrap/>
                    <w:overflowPunct/>
                    <w:topLinePunct w:val="0"/>
                    <w:bidi w:val="0"/>
                    <w:spacing w:line="360" w:lineRule="auto"/>
                    <w:textAlignment w:val="auto"/>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3</w:t>
                  </w:r>
                </w:p>
              </w:tc>
              <w:tc>
                <w:tcPr>
                  <w:tcW w:w="65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576"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715"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93-100</w:t>
                  </w:r>
                </w:p>
              </w:tc>
              <w:tc>
                <w:tcPr>
                  <w:tcW w:w="613" w:type="pct"/>
                  <w:vAlign w:val="center"/>
                </w:tcPr>
                <w:p>
                  <w:pPr>
                    <w:pStyle w:val="78"/>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33.3</w:t>
                  </w:r>
                </w:p>
              </w:tc>
              <w:tc>
                <w:tcPr>
                  <w:tcW w:w="464"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c>
                <w:tcPr>
                  <w:tcW w:w="583" w:type="pct"/>
                  <w:vMerge w:val="continue"/>
                  <w:vAlign w:val="center"/>
                </w:tcPr>
                <w:p>
                  <w:pPr>
                    <w:pStyle w:val="78"/>
                    <w:keepNext w:val="0"/>
                    <w:keepLines w:val="0"/>
                    <w:pageBreakBefore w:val="0"/>
                    <w:widowControl w:val="0"/>
                    <w:kinsoku/>
                    <w:wordWrap/>
                    <w:overflowPunct/>
                    <w:topLinePunct w:val="0"/>
                    <w:bidi w:val="0"/>
                    <w:spacing w:line="360" w:lineRule="auto"/>
                    <w:textAlignment w:val="auto"/>
                    <w:rPr>
                      <w:color w:val="auto"/>
                    </w:rPr>
                  </w:pPr>
                </w:p>
              </w:tc>
            </w:tr>
            <w:bookmarkEnd w:id="7"/>
          </w:tbl>
          <w:p>
            <w:pPr>
              <w:pStyle w:val="75"/>
              <w:keepNext w:val="0"/>
              <w:keepLines w:val="0"/>
              <w:pageBreakBefore w:val="0"/>
              <w:widowControl w:val="0"/>
              <w:kinsoku/>
              <w:wordWrap/>
              <w:overflowPunct/>
              <w:topLinePunct w:val="0"/>
              <w:bidi w:val="0"/>
              <w:spacing w:line="360" w:lineRule="auto"/>
              <w:textAlignment w:val="auto"/>
              <w:rPr>
                <w:snapToGrid w:val="0"/>
                <w:color w:val="auto"/>
                <w:lang w:val="en-GB"/>
              </w:rPr>
            </w:pPr>
            <w:r>
              <w:rPr>
                <w:snapToGrid w:val="0"/>
                <w:color w:val="auto"/>
                <w:lang w:val="en-GB"/>
              </w:rPr>
              <w:t>根据表3-</w:t>
            </w:r>
            <w:r>
              <w:rPr>
                <w:rFonts w:hint="eastAsia"/>
                <w:snapToGrid w:val="0"/>
                <w:color w:val="auto"/>
                <w:lang w:val="en-US" w:eastAsia="zh-CN"/>
              </w:rPr>
              <w:t>2</w:t>
            </w:r>
            <w:r>
              <w:rPr>
                <w:snapToGrid w:val="0"/>
                <w:color w:val="auto"/>
                <w:lang w:val="en-GB"/>
              </w:rPr>
              <w:t>，本项目所在范围内TSP的环境空气质量现状均满足《环境空气质量标准》（GB3095-2012）及修改单中二级标准要求。</w:t>
            </w:r>
            <w:bookmarkStart w:id="9" w:name="_Hlk84854871"/>
          </w:p>
          <w:bookmarkEnd w:id="8"/>
          <w:bookmarkEnd w:id="9"/>
          <w:p>
            <w:pPr>
              <w:pStyle w:val="82"/>
              <w:keepNext w:val="0"/>
              <w:keepLines w:val="0"/>
              <w:pageBreakBefore w:val="0"/>
              <w:widowControl w:val="0"/>
              <w:kinsoku/>
              <w:wordWrap/>
              <w:overflowPunct/>
              <w:topLinePunct w:val="0"/>
              <w:bidi w:val="0"/>
              <w:spacing w:line="360" w:lineRule="auto"/>
              <w:textAlignment w:val="auto"/>
              <w:rPr>
                <w:color w:val="auto"/>
              </w:rPr>
            </w:pPr>
            <w:r>
              <w:rPr>
                <w:color w:val="auto"/>
              </w:rPr>
              <w:t>二、地表水环境质量现状</w:t>
            </w:r>
          </w:p>
          <w:p>
            <w:pPr>
              <w:pStyle w:val="82"/>
              <w:rPr>
                <w:rFonts w:hint="eastAsia" w:ascii="Times New Roman" w:hAnsi="Times New Roman" w:eastAsia="宋体" w:cs="Times New Roman"/>
                <w:b w:val="0"/>
                <w:bCs w:val="0"/>
                <w:color w:val="auto"/>
                <w:kern w:val="0"/>
                <w:sz w:val="24"/>
                <w:szCs w:val="24"/>
                <w:lang w:val="en-GB" w:eastAsia="zh-CN" w:bidi="ar-SA"/>
              </w:rPr>
            </w:pPr>
            <w:r>
              <w:rPr>
                <w:rFonts w:hint="eastAsia" w:ascii="Times New Roman" w:hAnsi="Times New Roman" w:eastAsia="宋体" w:cs="Times New Roman"/>
                <w:b w:val="0"/>
                <w:bCs w:val="0"/>
                <w:color w:val="auto"/>
                <w:kern w:val="0"/>
                <w:sz w:val="24"/>
                <w:szCs w:val="24"/>
                <w:lang w:val="en-US" w:eastAsia="zh-CN" w:bidi="ar-SA"/>
              </w:rPr>
              <w:t>本项目所在区域地表水为碾子河，根据《全国重要江河湖泊水功能区划》（</w:t>
            </w:r>
            <w:r>
              <w:rPr>
                <w:rFonts w:hint="default" w:ascii="Times New Roman" w:hAnsi="Times New Roman" w:eastAsia="宋体" w:cs="Times New Roman"/>
                <w:b w:val="0"/>
                <w:bCs w:val="0"/>
                <w:color w:val="auto"/>
                <w:kern w:val="0"/>
                <w:sz w:val="24"/>
                <w:szCs w:val="24"/>
                <w:lang w:val="en-US" w:eastAsia="zh-CN" w:bidi="ar-SA"/>
              </w:rPr>
              <w:t>2011-2030</w:t>
            </w:r>
            <w:r>
              <w:rPr>
                <w:rFonts w:hint="eastAsia" w:ascii="Times New Roman" w:hAnsi="Times New Roman" w:eastAsia="宋体" w:cs="Times New Roman"/>
                <w:b w:val="0"/>
                <w:bCs w:val="0"/>
                <w:color w:val="auto"/>
                <w:kern w:val="0"/>
                <w:sz w:val="24"/>
                <w:szCs w:val="24"/>
                <w:lang w:val="en-US" w:eastAsia="zh-CN" w:bidi="ar-SA"/>
              </w:rPr>
              <w:t>），碾子河无水功能区类别。由于碾子河最终汇入倭肯河（长兴公路桥</w:t>
            </w:r>
            <w:r>
              <w:rPr>
                <w:rFonts w:hint="default" w:ascii="Times New Roman" w:hAnsi="Times New Roman" w:eastAsia="宋体" w:cs="Times New Roman"/>
                <w:b w:val="0"/>
                <w:bCs w:val="0"/>
                <w:color w:val="auto"/>
                <w:kern w:val="0"/>
                <w:sz w:val="24"/>
                <w:szCs w:val="24"/>
                <w:lang w:val="en-US" w:eastAsia="zh-CN" w:bidi="ar-SA"/>
              </w:rPr>
              <w:t>—</w:t>
            </w:r>
            <w:r>
              <w:rPr>
                <w:rFonts w:hint="eastAsia" w:ascii="Times New Roman" w:hAnsi="Times New Roman" w:eastAsia="宋体" w:cs="Times New Roman"/>
                <w:b w:val="0"/>
                <w:bCs w:val="0"/>
                <w:color w:val="auto"/>
                <w:kern w:val="0"/>
                <w:sz w:val="24"/>
                <w:szCs w:val="24"/>
                <w:lang w:val="en-US" w:eastAsia="zh-CN" w:bidi="ar-SA"/>
              </w:rPr>
              <w:t>三道岗镇段），倭肯河地表水执行《地表水环境质量标准》（</w:t>
            </w:r>
            <w:r>
              <w:rPr>
                <w:rFonts w:hint="default" w:ascii="Times New Roman" w:hAnsi="Times New Roman" w:eastAsia="宋体" w:cs="Times New Roman"/>
                <w:b w:val="0"/>
                <w:bCs w:val="0"/>
                <w:color w:val="auto"/>
                <w:kern w:val="0"/>
                <w:sz w:val="24"/>
                <w:szCs w:val="24"/>
                <w:lang w:val="en-US" w:eastAsia="zh-CN" w:bidi="ar-SA"/>
              </w:rPr>
              <w:t>GB3838-2002</w:t>
            </w:r>
            <w:r>
              <w:rPr>
                <w:rFonts w:hint="eastAsia" w:ascii="Times New Roman" w:hAnsi="Times New Roman" w:eastAsia="宋体"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III</w:t>
            </w:r>
            <w:r>
              <w:rPr>
                <w:rFonts w:hint="eastAsia" w:ascii="Times New Roman" w:hAnsi="Times New Roman" w:eastAsia="宋体" w:cs="Times New Roman"/>
                <w:b w:val="0"/>
                <w:bCs w:val="0"/>
                <w:color w:val="auto"/>
                <w:kern w:val="0"/>
                <w:sz w:val="24"/>
                <w:szCs w:val="24"/>
                <w:lang w:val="en-US" w:eastAsia="zh-CN" w:bidi="ar-SA"/>
              </w:rPr>
              <w:t>类标准。</w:t>
            </w:r>
          </w:p>
          <w:p>
            <w:pPr>
              <w:pStyle w:val="82"/>
              <w:rPr>
                <w:color w:val="auto"/>
              </w:rPr>
            </w:pPr>
            <w:r>
              <w:rPr>
                <w:color w:val="auto"/>
              </w:rPr>
              <w:t>三、声环境质量现状</w:t>
            </w:r>
          </w:p>
          <w:p>
            <w:pPr>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本项目</w:t>
            </w:r>
            <w:r>
              <w:rPr>
                <w:rFonts w:hint="eastAsia" w:cs="Times New Roman"/>
                <w:color w:val="auto"/>
                <w:sz w:val="24"/>
                <w:highlight w:val="none"/>
                <w:lang w:eastAsia="zh-CN"/>
              </w:rPr>
              <w:t>厂界</w:t>
            </w:r>
            <w:r>
              <w:rPr>
                <w:rFonts w:hint="eastAsia" w:cs="Times New Roman"/>
                <w:color w:val="auto"/>
                <w:sz w:val="24"/>
                <w:highlight w:val="none"/>
                <w:lang w:val="en-US" w:eastAsia="zh-CN"/>
              </w:rPr>
              <w:t>西</w:t>
            </w:r>
            <w:r>
              <w:rPr>
                <w:rFonts w:hint="eastAsia" w:cs="Times New Roman"/>
                <w:color w:val="auto"/>
                <w:sz w:val="24"/>
                <w:highlight w:val="none"/>
                <w:lang w:eastAsia="zh-CN"/>
              </w:rPr>
              <w:t>侧为</w:t>
            </w:r>
            <w:r>
              <w:rPr>
                <w:rFonts w:hint="eastAsia" w:cs="Times New Roman"/>
                <w:color w:val="auto"/>
                <w:sz w:val="24"/>
                <w:highlight w:val="none"/>
                <w:lang w:val="en-US" w:eastAsia="zh-CN"/>
              </w:rPr>
              <w:t>南大直路</w:t>
            </w:r>
            <w:r>
              <w:rPr>
                <w:rFonts w:hint="eastAsia" w:cs="Times New Roman"/>
                <w:color w:val="auto"/>
                <w:sz w:val="24"/>
                <w:highlight w:val="none"/>
                <w:lang w:eastAsia="zh-CN"/>
              </w:rPr>
              <w:t>，</w:t>
            </w:r>
            <w:r>
              <w:rPr>
                <w:rFonts w:hint="eastAsia" w:cs="Times New Roman"/>
                <w:color w:val="auto"/>
                <w:sz w:val="24"/>
                <w:highlight w:val="none"/>
                <w:lang w:val="en-US" w:eastAsia="zh-CN"/>
              </w:rPr>
              <w:t>属于城市次干路，故南侧厂界属于4a类声环境功能区。其他</w:t>
            </w:r>
            <w:r>
              <w:rPr>
                <w:rFonts w:hint="eastAsia" w:cs="Times New Roman"/>
                <w:color w:val="auto"/>
                <w:sz w:val="24"/>
                <w:highlight w:val="none"/>
                <w:lang w:eastAsia="zh-CN"/>
              </w:rPr>
              <w:t>厂界属于</w:t>
            </w:r>
            <w:r>
              <w:rPr>
                <w:rFonts w:hint="eastAsia" w:cs="Times New Roman"/>
                <w:color w:val="auto"/>
                <w:sz w:val="24"/>
                <w:highlight w:val="none"/>
                <w:lang w:val="en-US" w:eastAsia="zh-CN"/>
              </w:rPr>
              <w:t>2类声环境功能区。</w:t>
            </w:r>
            <w:r>
              <w:rPr>
                <w:rFonts w:hint="default" w:ascii="Times New Roman" w:hAnsi="Times New Roman" w:cs="Times New Roman"/>
                <w:color w:val="auto"/>
                <w:sz w:val="24"/>
                <w:highlight w:val="none"/>
              </w:rPr>
              <w:t>厂界外周边50米范围内存在声环境保护目标</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本项目</w:t>
            </w:r>
            <w:r>
              <w:rPr>
                <w:rFonts w:hint="default" w:ascii="Times New Roman" w:hAnsi="Times New Roman" w:cs="Times New Roman"/>
                <w:color w:val="auto"/>
                <w:sz w:val="24"/>
                <w:highlight w:val="none"/>
              </w:rPr>
              <w:t>于20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月</w:t>
            </w:r>
            <w:r>
              <w:rPr>
                <w:rFonts w:hint="eastAsia" w:ascii="Times New Roman" w:hAnsi="Times New Roman" w:cs="Times New Roman"/>
                <w:color w:val="auto"/>
                <w:sz w:val="24"/>
                <w:highlight w:val="none"/>
                <w:lang w:val="en-US" w:eastAsia="zh-CN"/>
              </w:rPr>
              <w:t>5日</w:t>
            </w:r>
            <w:r>
              <w:rPr>
                <w:rFonts w:hint="default" w:ascii="Times New Roman" w:hAnsi="Times New Roman" w:cs="Times New Roman"/>
                <w:color w:val="auto"/>
                <w:sz w:val="24"/>
                <w:highlight w:val="none"/>
              </w:rPr>
              <w:t>对本项目</w:t>
            </w:r>
            <w:r>
              <w:rPr>
                <w:rFonts w:hint="default" w:ascii="Times New Roman" w:hAnsi="Times New Roman" w:cs="Times New Roman"/>
                <w:color w:val="auto"/>
                <w:sz w:val="24"/>
                <w:highlight w:val="none"/>
                <w:lang w:eastAsia="zh-CN"/>
              </w:rPr>
              <w:t>评价范围内环保目标</w:t>
            </w:r>
            <w:r>
              <w:rPr>
                <w:rFonts w:hint="default" w:ascii="Times New Roman" w:hAnsi="Times New Roman" w:cs="Times New Roman"/>
                <w:color w:val="auto"/>
                <w:sz w:val="24"/>
                <w:highlight w:val="none"/>
              </w:rPr>
              <w:t>噪声进行了监测，监测布点结果详见表</w:t>
            </w:r>
            <w:r>
              <w:rPr>
                <w:rFonts w:hint="eastAsia"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，调查结果见表</w:t>
            </w:r>
            <w:r>
              <w:rPr>
                <w:rFonts w:hint="eastAsia" w:ascii="Times New Roman" w:hAnsi="Times New Roman" w:cs="Times New Roman"/>
                <w:color w:val="auto"/>
                <w:sz w:val="24"/>
                <w:highlight w:val="none"/>
                <w:lang w:val="en-US" w:eastAsia="zh-CN"/>
              </w:rPr>
              <w:t>3-4</w:t>
            </w:r>
            <w:r>
              <w:rPr>
                <w:rFonts w:hint="default" w:ascii="Times New Roman" w:hAnsi="Times New Roman" w:cs="Times New Roman"/>
                <w:color w:val="auto"/>
                <w:sz w:val="24"/>
                <w:highlight w:val="none"/>
              </w:rPr>
              <w:t>，监测点位图见图</w:t>
            </w:r>
            <w:r>
              <w:rPr>
                <w:rFonts w:hint="eastAsia" w:cs="Times New Roman"/>
                <w:color w:val="auto"/>
                <w:sz w:val="24"/>
                <w:highlight w:val="none"/>
                <w:lang w:val="en-US" w:eastAsia="zh-CN"/>
              </w:rPr>
              <w:t>3-1</w:t>
            </w:r>
            <w:r>
              <w:rPr>
                <w:rFonts w:hint="default" w:ascii="Times New Roman" w:hAnsi="Times New Roman" w:cs="Times New Roman"/>
                <w:color w:val="auto"/>
                <w:sz w:val="24"/>
                <w:highlight w:val="none"/>
              </w:rPr>
              <w:t>。</w:t>
            </w:r>
          </w:p>
          <w:p>
            <w:pPr>
              <w:pStyle w:val="108"/>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3-</w:t>
            </w:r>
            <w:r>
              <w:rPr>
                <w:rFonts w:hint="eastAsia" w:cs="Times New Roman"/>
                <w:color w:val="auto"/>
                <w:lang w:val="en-US" w:eastAsia="zh-CN"/>
              </w:rPr>
              <w:t>3</w:t>
            </w:r>
            <w:r>
              <w:rPr>
                <w:rFonts w:hint="default" w:ascii="Times New Roman" w:hAnsi="Times New Roman" w:cs="Times New Roman"/>
                <w:color w:val="auto"/>
              </w:rPr>
              <w:t xml:space="preserve"> 噪声监测布点一览表</w:t>
            </w:r>
          </w:p>
          <w:tbl>
            <w:tblPr>
              <w:tblStyle w:val="2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67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1175"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6729" w:type="dxa"/>
                  <w:tcBorders>
                    <w:top w:val="single" w:color="auto" w:sz="4" w:space="0"/>
                    <w:left w:val="single" w:color="auto" w:sz="4" w:space="0"/>
                    <w:bottom w:val="single" w:color="auto" w:sz="4" w:space="0"/>
                    <w:right w:val="nil"/>
                  </w:tcBorders>
                  <w:noWrap w:val="0"/>
                  <w:vAlign w:val="center"/>
                </w:tcPr>
                <w:p>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5"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6729"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eastAsia="zh-CN"/>
                    </w:rPr>
                    <w:t>厂界</w:t>
                  </w:r>
                  <w:r>
                    <w:rPr>
                      <w:rFonts w:hint="eastAsia" w:ascii="Times New Roman" w:hAnsi="Times New Roman" w:cs="Times New Roman"/>
                      <w:color w:val="auto"/>
                      <w:kern w:val="0"/>
                      <w:szCs w:val="21"/>
                      <w:lang w:val="en-US" w:eastAsia="zh-CN"/>
                    </w:rPr>
                    <w:t>西35m处居民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5"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w:t>
                  </w:r>
                </w:p>
              </w:tc>
              <w:tc>
                <w:tcPr>
                  <w:tcW w:w="6729"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cs="Times New Roman"/>
                      <w:color w:val="auto"/>
                      <w:sz w:val="21"/>
                      <w:lang w:val="en-US" w:eastAsia="zh-CN"/>
                    </w:rPr>
                  </w:pPr>
                  <w:r>
                    <w:rPr>
                      <w:rFonts w:hint="eastAsia" w:ascii="Times New Roman" w:hAnsi="Times New Roman" w:cs="Times New Roman"/>
                      <w:color w:val="auto"/>
                      <w:kern w:val="0"/>
                      <w:szCs w:val="21"/>
                      <w:lang w:eastAsia="zh-CN"/>
                    </w:rPr>
                    <w:t>厂界南</w:t>
                  </w:r>
                  <w:r>
                    <w:rPr>
                      <w:rFonts w:hint="eastAsia" w:ascii="Times New Roman" w:hAnsi="Times New Roman" w:cs="Times New Roman"/>
                      <w:color w:val="auto"/>
                      <w:kern w:val="0"/>
                      <w:szCs w:val="21"/>
                      <w:lang w:val="en-US" w:eastAsia="zh-CN"/>
                    </w:rPr>
                    <w:t>40m处居民</w:t>
                  </w:r>
                </w:p>
              </w:tc>
            </w:tr>
          </w:tbl>
          <w:p>
            <w:pPr>
              <w:pStyle w:val="108"/>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3-</w:t>
            </w:r>
            <w:r>
              <w:rPr>
                <w:rFonts w:hint="eastAsia" w:cs="Times New Roman"/>
                <w:color w:val="auto"/>
                <w:lang w:val="en-US" w:eastAsia="zh-CN"/>
              </w:rPr>
              <w:t>4</w:t>
            </w:r>
            <w:r>
              <w:rPr>
                <w:rFonts w:hint="default" w:ascii="Times New Roman" w:hAnsi="Times New Roman" w:cs="Times New Roman"/>
                <w:color w:val="auto"/>
              </w:rPr>
              <w:t xml:space="preserve"> </w:t>
            </w:r>
            <w:r>
              <w:rPr>
                <w:rFonts w:hint="default" w:ascii="Times New Roman" w:hAnsi="Times New Roman" w:cs="Times New Roman"/>
                <w:color w:val="auto"/>
                <w:lang w:eastAsia="zh-CN"/>
              </w:rPr>
              <w:t>环境保护目标</w:t>
            </w:r>
            <w:r>
              <w:rPr>
                <w:rFonts w:hint="default" w:ascii="Times New Roman" w:hAnsi="Times New Roman" w:cs="Times New Roman"/>
                <w:color w:val="auto"/>
              </w:rPr>
              <w:t>声环境现状调查结果     单位：dB(A)</w:t>
            </w:r>
          </w:p>
          <w:tbl>
            <w:tblPr>
              <w:tblStyle w:val="20"/>
              <w:tblW w:w="9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2"/>
              <w:gridCol w:w="1664"/>
              <w:gridCol w:w="2155"/>
              <w:gridCol w:w="2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2772" w:type="dxa"/>
                  <w:tcBorders>
                    <w:tl2br w:val="nil"/>
                    <w:tr2bl w:val="nil"/>
                  </w:tcBorders>
                  <w:noWrap w:val="0"/>
                  <w:vAlign w:val="center"/>
                </w:tcPr>
                <w:p>
                  <w:pPr>
                    <w:jc w:val="center"/>
                    <w:rPr>
                      <w:rFonts w:hint="default" w:ascii="Times New Roman" w:hAnsi="Times New Roman" w:cs="Times New Roman"/>
                      <w:b w:val="0"/>
                      <w:bCs/>
                      <w:color w:val="auto"/>
                    </w:rPr>
                  </w:pPr>
                  <w:r>
                    <w:rPr>
                      <w:rFonts w:hint="default" w:ascii="Times New Roman" w:hAnsi="Times New Roman" w:cs="Times New Roman"/>
                      <w:b w:val="0"/>
                      <w:bCs/>
                      <w:color w:val="auto"/>
                    </w:rPr>
                    <w:t>采样地点</w:t>
                  </w:r>
                </w:p>
              </w:tc>
              <w:tc>
                <w:tcPr>
                  <w:tcW w:w="1664" w:type="dxa"/>
                  <w:tcBorders>
                    <w:tl2br w:val="nil"/>
                    <w:tr2bl w:val="nil"/>
                  </w:tcBorders>
                  <w:noWrap w:val="0"/>
                  <w:vAlign w:val="center"/>
                </w:tcPr>
                <w:p>
                  <w:pPr>
                    <w:jc w:val="center"/>
                    <w:rPr>
                      <w:rFonts w:hint="default" w:ascii="Times New Roman" w:hAnsi="Times New Roman" w:cs="Times New Roman"/>
                      <w:b w:val="0"/>
                      <w:bCs/>
                      <w:color w:val="auto"/>
                    </w:rPr>
                  </w:pPr>
                  <w:r>
                    <w:rPr>
                      <w:rFonts w:hint="default" w:ascii="Times New Roman" w:hAnsi="Times New Roman" w:cs="Times New Roman"/>
                      <w:b w:val="0"/>
                      <w:bCs/>
                      <w:color w:val="auto"/>
                    </w:rPr>
                    <w:t>采样日期</w:t>
                  </w:r>
                </w:p>
              </w:tc>
              <w:tc>
                <w:tcPr>
                  <w:tcW w:w="2155" w:type="dxa"/>
                  <w:tcBorders>
                    <w:tl2br w:val="nil"/>
                    <w:tr2bl w:val="nil"/>
                  </w:tcBorders>
                  <w:noWrap w:val="0"/>
                  <w:vAlign w:val="center"/>
                </w:tcPr>
                <w:p>
                  <w:pPr>
                    <w:widowControl/>
                    <w:jc w:val="center"/>
                    <w:rPr>
                      <w:rFonts w:hint="default" w:ascii="Times New Roman" w:hAnsi="Times New Roman" w:cs="Times New Roman"/>
                      <w:b w:val="0"/>
                      <w:bCs/>
                      <w:color w:val="auto"/>
                    </w:rPr>
                  </w:pPr>
                  <w:r>
                    <w:rPr>
                      <w:rFonts w:hint="default" w:ascii="Times New Roman" w:hAnsi="Times New Roman" w:cs="Times New Roman"/>
                      <w:b w:val="0"/>
                      <w:bCs/>
                      <w:color w:val="auto"/>
                    </w:rPr>
                    <w:t>昼L</w:t>
                  </w:r>
                  <w:r>
                    <w:rPr>
                      <w:rFonts w:hint="default" w:ascii="Times New Roman" w:hAnsi="Times New Roman" w:cs="Times New Roman"/>
                      <w:b w:val="0"/>
                      <w:bCs/>
                      <w:color w:val="auto"/>
                      <w:vertAlign w:val="subscript"/>
                    </w:rPr>
                    <w:t>eq</w:t>
                  </w:r>
                </w:p>
              </w:tc>
              <w:tc>
                <w:tcPr>
                  <w:tcW w:w="2416" w:type="dxa"/>
                  <w:tcBorders>
                    <w:tl2br w:val="nil"/>
                    <w:tr2bl w:val="nil"/>
                  </w:tcBorders>
                  <w:noWrap w:val="0"/>
                  <w:vAlign w:val="center"/>
                </w:tcPr>
                <w:p>
                  <w:pPr>
                    <w:jc w:val="center"/>
                    <w:rPr>
                      <w:rFonts w:hint="default" w:ascii="Times New Roman" w:hAnsi="Times New Roman" w:cs="Times New Roman"/>
                      <w:b w:val="0"/>
                      <w:bCs/>
                      <w:color w:val="auto"/>
                    </w:rPr>
                  </w:pPr>
                  <w:r>
                    <w:rPr>
                      <w:rFonts w:hint="default" w:ascii="Times New Roman" w:hAnsi="Times New Roman" w:cs="Times New Roman"/>
                      <w:b w:val="0"/>
                      <w:bCs/>
                      <w:color w:val="auto"/>
                    </w:rPr>
                    <w:t>夜L</w:t>
                  </w:r>
                  <w:r>
                    <w:rPr>
                      <w:rFonts w:hint="default" w:ascii="Times New Roman" w:hAnsi="Times New Roman" w:cs="Times New Roman"/>
                      <w:b w:val="0"/>
                      <w:bCs/>
                      <w:color w:val="auto"/>
                      <w:vertAlign w:val="subscript"/>
                    </w:rPr>
                    <w:t>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2" w:type="dxa"/>
                  <w:tcBorders>
                    <w:tl2br w:val="nil"/>
                    <w:tr2bl w:val="nil"/>
                  </w:tcBorders>
                  <w:shd w:val="clear" w:color="auto" w:fill="auto"/>
                  <w:noWrap w:val="0"/>
                  <w:vAlign w:val="center"/>
                </w:tcPr>
                <w:p>
                  <w:pPr>
                    <w:pStyle w:val="57"/>
                    <w:autoSpaceDE w:val="0"/>
                    <w:autoSpaceDN w:val="0"/>
                    <w:spacing w:line="240" w:lineRule="auto"/>
                    <w:ind w:left="0" w:leftChars="0" w:firstLine="0" w:firstLineChars="0"/>
                    <w:jc w:val="center"/>
                    <w:textAlignment w:val="bottom"/>
                    <w:rPr>
                      <w:rFonts w:hint="default" w:ascii="Times New Roman" w:hAnsi="Times New Roman" w:cs="Times New Roman"/>
                      <w:b w:val="0"/>
                      <w:bCs/>
                      <w:color w:val="auto"/>
                      <w:lang w:val="en-US"/>
                    </w:rPr>
                  </w:pPr>
                  <w:r>
                    <w:rPr>
                      <w:rFonts w:hint="eastAsia" w:ascii="Times New Roman" w:hAnsi="Times New Roman" w:eastAsia="宋体" w:cs="宋体"/>
                      <w:b w:val="0"/>
                      <w:bCs w:val="0"/>
                      <w:color w:val="auto"/>
                      <w:spacing w:val="0"/>
                      <w:sz w:val="21"/>
                      <w:szCs w:val="21"/>
                      <w:lang w:val="en-US" w:eastAsia="zh-CN"/>
                    </w:rPr>
                    <w:t>▲</w:t>
                  </w:r>
                  <w:r>
                    <w:rPr>
                      <w:rFonts w:hint="default" w:ascii="Times New Roman" w:hAnsi="Times New Roman" w:eastAsia="宋体" w:cs="Times New Roman"/>
                      <w:b w:val="0"/>
                      <w:bCs w:val="0"/>
                      <w:color w:val="auto"/>
                      <w:spacing w:val="0"/>
                      <w:sz w:val="21"/>
                      <w:szCs w:val="21"/>
                      <w:lang w:val="en-US" w:eastAsia="zh-CN"/>
                    </w:rPr>
                    <w:t>1厂界西35m处居</w:t>
                  </w:r>
                  <w:r>
                    <w:rPr>
                      <w:rFonts w:hint="eastAsia" w:ascii="Times New Roman" w:hAnsi="Times New Roman" w:cs="Times New Roman"/>
                      <w:b w:val="0"/>
                      <w:bCs w:val="0"/>
                      <w:color w:val="auto"/>
                      <w:spacing w:val="0"/>
                      <w:sz w:val="21"/>
                      <w:szCs w:val="21"/>
                      <w:lang w:val="en-US" w:eastAsia="zh-CN"/>
                    </w:rPr>
                    <w:t>民</w:t>
                  </w:r>
                </w:p>
              </w:tc>
              <w:tc>
                <w:tcPr>
                  <w:tcW w:w="1664" w:type="dxa"/>
                  <w:tcBorders>
                    <w:tl2br w:val="nil"/>
                    <w:tr2bl w:val="nil"/>
                  </w:tcBorders>
                  <w:shd w:val="clear" w:color="auto" w:fill="auto"/>
                  <w:noWrap w:val="0"/>
                  <w:vAlign w:val="center"/>
                </w:tcPr>
                <w:p>
                  <w:pPr>
                    <w:jc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rPr>
                    <w:t>20</w:t>
                  </w:r>
                  <w:r>
                    <w:rPr>
                      <w:rFonts w:hint="default" w:ascii="Times New Roman" w:hAnsi="Times New Roman" w:cs="Times New Roman"/>
                      <w:b w:val="0"/>
                      <w:bCs/>
                      <w:color w:val="auto"/>
                      <w:lang w:val="en-US" w:eastAsia="zh-CN"/>
                    </w:rPr>
                    <w:t>2</w:t>
                  </w:r>
                  <w:r>
                    <w:rPr>
                      <w:rFonts w:hint="eastAsia" w:ascii="Times New Roman" w:hAnsi="Times New Roman" w:cs="Times New Roman"/>
                      <w:b w:val="0"/>
                      <w:bCs/>
                      <w:color w:val="auto"/>
                      <w:lang w:val="en-US" w:eastAsia="zh-CN"/>
                    </w:rPr>
                    <w:t>4</w:t>
                  </w: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6</w:t>
                  </w: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5</w:t>
                  </w:r>
                </w:p>
              </w:tc>
              <w:tc>
                <w:tcPr>
                  <w:tcW w:w="2155"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r>
                    <w:rPr>
                      <w:rFonts w:hint="eastAsia" w:ascii="Times New Roman" w:hAnsi="Times New Roman" w:cs="Times New Roman"/>
                      <w:i w:val="0"/>
                      <w:iCs w:val="0"/>
                      <w:color w:val="auto"/>
                      <w:kern w:val="0"/>
                      <w:sz w:val="21"/>
                      <w:szCs w:val="21"/>
                      <w:u w:val="none"/>
                      <w:lang w:val="en-US" w:eastAsia="zh-CN" w:bidi="ar"/>
                    </w:rPr>
                    <w:t>0</w:t>
                  </w:r>
                </w:p>
              </w:tc>
              <w:tc>
                <w:tcPr>
                  <w:tcW w:w="2416"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Times New Roman" w:hAnsi="Times New Roman" w:cs="Times New Roman"/>
                      <w:i w:val="0"/>
                      <w:iCs w:val="0"/>
                      <w:color w:val="auto"/>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2" w:type="dxa"/>
                  <w:tcBorders>
                    <w:tl2br w:val="nil"/>
                    <w:tr2bl w:val="nil"/>
                  </w:tcBorders>
                  <w:shd w:val="clear" w:color="auto" w:fill="auto"/>
                  <w:noWrap w:val="0"/>
                  <w:vAlign w:val="center"/>
                </w:tcPr>
                <w:p>
                  <w:pPr>
                    <w:pStyle w:val="57"/>
                    <w:autoSpaceDE w:val="0"/>
                    <w:autoSpaceDN w:val="0"/>
                    <w:spacing w:line="240" w:lineRule="auto"/>
                    <w:ind w:left="0" w:leftChars="0" w:firstLine="0" w:firstLineChars="0"/>
                    <w:jc w:val="center"/>
                    <w:textAlignment w:val="bottom"/>
                    <w:rPr>
                      <w:rFonts w:hint="default" w:ascii="Times New Roman" w:hAnsi="Times New Roman" w:cs="Times New Roman"/>
                      <w:b w:val="0"/>
                      <w:bCs/>
                      <w:color w:val="auto"/>
                    </w:rPr>
                  </w:pPr>
                  <w:r>
                    <w:rPr>
                      <w:rFonts w:hint="eastAsia" w:ascii="Times New Roman" w:hAnsi="Times New Roman" w:eastAsia="宋体" w:cs="宋体"/>
                      <w:b w:val="0"/>
                      <w:bCs w:val="0"/>
                      <w:color w:val="auto"/>
                      <w:spacing w:val="0"/>
                      <w:sz w:val="21"/>
                      <w:szCs w:val="21"/>
                      <w:lang w:val="en-US" w:eastAsia="zh-CN"/>
                    </w:rPr>
                    <w:t>▲</w:t>
                  </w:r>
                  <w:r>
                    <w:rPr>
                      <w:rFonts w:hint="eastAsia" w:ascii="Times New Roman" w:hAnsi="Times New Roman" w:eastAsia="宋体" w:cs="Times New Roman"/>
                      <w:b w:val="0"/>
                      <w:bCs w:val="0"/>
                      <w:color w:val="auto"/>
                      <w:spacing w:val="0"/>
                      <w:sz w:val="21"/>
                      <w:szCs w:val="21"/>
                      <w:lang w:val="en-US" w:eastAsia="zh-CN"/>
                    </w:rPr>
                    <w:t>2厂界南40m处居民</w:t>
                  </w:r>
                </w:p>
              </w:tc>
              <w:tc>
                <w:tcPr>
                  <w:tcW w:w="1664" w:type="dxa"/>
                  <w:tcBorders>
                    <w:tl2br w:val="nil"/>
                    <w:tr2bl w:val="nil"/>
                  </w:tcBorders>
                  <w:shd w:val="clear" w:color="auto" w:fill="auto"/>
                  <w:noWrap w:val="0"/>
                  <w:vAlign w:val="center"/>
                </w:tcPr>
                <w:p>
                  <w:pPr>
                    <w:jc w:val="center"/>
                    <w:rPr>
                      <w:rFonts w:hint="default" w:ascii="Times New Roman" w:hAnsi="Times New Roman" w:cs="Times New Roman"/>
                      <w:b w:val="0"/>
                      <w:bCs/>
                      <w:color w:val="auto"/>
                    </w:rPr>
                  </w:pPr>
                  <w:r>
                    <w:rPr>
                      <w:rFonts w:hint="default" w:ascii="Times New Roman" w:hAnsi="Times New Roman" w:cs="Times New Roman"/>
                      <w:b w:val="0"/>
                      <w:bCs/>
                      <w:color w:val="auto"/>
                    </w:rPr>
                    <w:t>20</w:t>
                  </w:r>
                  <w:r>
                    <w:rPr>
                      <w:rFonts w:hint="default" w:ascii="Times New Roman" w:hAnsi="Times New Roman" w:cs="Times New Roman"/>
                      <w:b w:val="0"/>
                      <w:bCs/>
                      <w:color w:val="auto"/>
                      <w:lang w:val="en-US" w:eastAsia="zh-CN"/>
                    </w:rPr>
                    <w:t>2</w:t>
                  </w:r>
                  <w:r>
                    <w:rPr>
                      <w:rFonts w:hint="eastAsia" w:ascii="Times New Roman" w:hAnsi="Times New Roman" w:cs="Times New Roman"/>
                      <w:b w:val="0"/>
                      <w:bCs/>
                      <w:color w:val="auto"/>
                      <w:lang w:val="en-US" w:eastAsia="zh-CN"/>
                    </w:rPr>
                    <w:t>4</w:t>
                  </w: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6</w:t>
                  </w: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5</w:t>
                  </w:r>
                </w:p>
              </w:tc>
              <w:tc>
                <w:tcPr>
                  <w:tcW w:w="2155"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ascii="Times New Roman" w:hAnsi="Times New Roman" w:cs="Times New Roman"/>
                      <w:i w:val="0"/>
                      <w:iCs w:val="0"/>
                      <w:color w:val="auto"/>
                      <w:kern w:val="0"/>
                      <w:sz w:val="21"/>
                      <w:szCs w:val="21"/>
                      <w:u w:val="none"/>
                      <w:lang w:val="en-US" w:eastAsia="zh-CN" w:bidi="ar"/>
                    </w:rPr>
                    <w:t>40</w:t>
                  </w:r>
                </w:p>
              </w:tc>
              <w:tc>
                <w:tcPr>
                  <w:tcW w:w="2416"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ascii="Times New Roman" w:hAnsi="Times New Roman" w:cs="Times New Roman"/>
                      <w:i w:val="0"/>
                      <w:iCs w:val="0"/>
                      <w:color w:val="auto"/>
                      <w:kern w:val="0"/>
                      <w:sz w:val="21"/>
                      <w:szCs w:val="21"/>
                      <w:u w:val="none"/>
                      <w:lang w:val="en-US" w:eastAsia="zh-CN" w:bidi="ar"/>
                    </w:rPr>
                    <w:t>39</w:t>
                  </w:r>
                </w:p>
              </w:tc>
            </w:tr>
          </w:tbl>
          <w:p>
            <w:pPr>
              <w:spacing w:line="500" w:lineRule="exact"/>
              <w:rPr>
                <w:rFonts w:hint="eastAsia" w:ascii="Times New Roman" w:hAnsi="Times New Roman" w:eastAsia="宋体" w:cs="Times New Roman"/>
                <w:color w:val="auto"/>
                <w:sz w:val="24"/>
                <w:lang w:eastAsia="zh-CN"/>
              </w:rPr>
            </w:pP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rPr>
            </w:pP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rPr>
            </w:pP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rPr>
            </w:pP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rPr>
            </w:pPr>
          </w:p>
          <w:p>
            <w:pPr>
              <w:pStyle w:val="56"/>
              <w:keepNext w:val="0"/>
              <w:keepLines w:val="0"/>
              <w:suppressLineNumbers w:val="0"/>
              <w:spacing w:before="0" w:beforeAutospacing="0" w:after="0" w:afterAutospacing="0"/>
              <w:ind w:right="0"/>
              <w:jc w:val="both"/>
              <w:rPr>
                <w:rFonts w:hint="default" w:ascii="Times New Roman" w:hAnsi="Times New Roman" w:cs="Times New Roman"/>
                <w:color w:val="auto"/>
              </w:rPr>
            </w:pP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rPr>
            </w:pPr>
          </w:p>
          <w:p>
            <w:pPr>
              <w:pStyle w:val="56"/>
              <w:keepNext w:val="0"/>
              <w:keepLines w:val="0"/>
              <w:suppressLineNumbers w:val="0"/>
              <w:spacing w:before="0" w:beforeAutospacing="0" w:after="0" w:afterAutospacing="0"/>
              <w:ind w:right="0"/>
              <w:jc w:val="both"/>
              <w:rPr>
                <w:rFonts w:hint="default" w:ascii="Times New Roman" w:hAnsi="Times New Roman" w:cs="Times New Roman"/>
                <w:color w:val="auto"/>
              </w:rPr>
            </w:pPr>
            <w:r>
              <w:rPr>
                <w:color w:val="auto"/>
              </w:rPr>
              <w:drawing>
                <wp:inline distT="0" distB="0" distL="114300" distR="114300">
                  <wp:extent cx="5015865" cy="3277235"/>
                  <wp:effectExtent l="0" t="0" r="13335" b="18415"/>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14"/>
                          <a:stretch>
                            <a:fillRect/>
                          </a:stretch>
                        </pic:blipFill>
                        <pic:spPr>
                          <a:xfrm>
                            <a:off x="0" y="0"/>
                            <a:ext cx="5015865" cy="3277235"/>
                          </a:xfrm>
                          <a:prstGeom prst="rect">
                            <a:avLst/>
                          </a:prstGeom>
                          <a:noFill/>
                          <a:ln>
                            <a:noFill/>
                          </a:ln>
                        </pic:spPr>
                      </pic:pic>
                    </a:graphicData>
                  </a:graphic>
                </wp:inline>
              </w:drawing>
            </w:r>
          </w:p>
          <w:p>
            <w:pPr>
              <w:pStyle w:val="56"/>
              <w:keepNext w:val="0"/>
              <w:keepLines w:val="0"/>
              <w:suppressLineNumbers w:val="0"/>
              <w:spacing w:before="0" w:beforeAutospacing="0" w:after="0" w:afterAutospacing="0"/>
              <w:ind w:left="0" w:right="0" w:firstLine="400"/>
              <w:rPr>
                <w:rFonts w:hint="default" w:ascii="Times New Roman" w:hAnsi="Times New Roman" w:cs="Times New Roman"/>
                <w:color w:val="auto"/>
                <w:sz w:val="24"/>
              </w:rPr>
            </w:pPr>
            <w:r>
              <w:rPr>
                <w:rFonts w:hint="default" w:ascii="Times New Roman" w:hAnsi="Times New Roman" w:cs="Times New Roman"/>
                <w:color w:val="auto"/>
              </w:rPr>
              <w:t>图</w:t>
            </w:r>
            <w:r>
              <w:rPr>
                <w:rFonts w:hint="eastAsia" w:cs="Times New Roman"/>
                <w:color w:val="auto"/>
                <w:lang w:val="en-US" w:eastAsia="zh-CN"/>
              </w:rPr>
              <w:t>3-1</w:t>
            </w:r>
            <w:r>
              <w:rPr>
                <w:rFonts w:hint="eastAsia" w:ascii="Times New Roman" w:hAnsi="Times New Roman" w:cs="Times New Roman"/>
                <w:color w:val="auto"/>
                <w:lang w:val="en-US" w:eastAsia="zh-CN"/>
              </w:rPr>
              <w:t xml:space="preserve"> 监测点位</w:t>
            </w:r>
            <w:r>
              <w:rPr>
                <w:rFonts w:hint="default" w:ascii="Times New Roman" w:hAnsi="Times New Roman" w:cs="Times New Roman"/>
                <w:color w:val="auto"/>
                <w:lang w:val="en-US" w:eastAsia="zh-CN"/>
              </w:rPr>
              <w:t>图</w:t>
            </w:r>
          </w:p>
          <w:p>
            <w:pPr>
              <w:pStyle w:val="82"/>
              <w:rPr>
                <w:snapToGrid w:val="0"/>
                <w:color w:val="auto"/>
                <w:lang w:val="en-GB"/>
              </w:rPr>
            </w:pPr>
            <w:r>
              <w:rPr>
                <w:rFonts w:hint="default" w:ascii="Times New Roman" w:hAnsi="Times New Roman" w:eastAsia="宋体" w:cs="Times New Roman"/>
                <w:b w:val="0"/>
                <w:bCs w:val="0"/>
                <w:snapToGrid w:val="0"/>
                <w:color w:val="auto"/>
                <w:kern w:val="0"/>
                <w:sz w:val="24"/>
                <w:szCs w:val="24"/>
                <w:lang w:val="en-GB" w:eastAsia="zh-CN" w:bidi="ar-SA"/>
              </w:rPr>
              <w:t>从上表可知，评价区环境保护目标声环境质量能满足《声环境质量标准》（GB3096-2008）规定的</w:t>
            </w:r>
            <w:r>
              <w:rPr>
                <w:rFonts w:hint="eastAsia" w:ascii="Times New Roman" w:hAnsi="Times New Roman" w:eastAsia="宋体" w:cs="Times New Roman"/>
                <w:b w:val="0"/>
                <w:bCs w:val="0"/>
                <w:snapToGrid w:val="0"/>
                <w:color w:val="auto"/>
                <w:kern w:val="0"/>
                <w:sz w:val="24"/>
                <w:szCs w:val="24"/>
                <w:lang w:val="en-US" w:eastAsia="zh-CN" w:bidi="ar-SA"/>
              </w:rPr>
              <w:t>2类及4a类</w:t>
            </w:r>
            <w:r>
              <w:rPr>
                <w:rFonts w:hint="default" w:ascii="Times New Roman" w:hAnsi="Times New Roman" w:eastAsia="宋体" w:cs="Times New Roman"/>
                <w:b w:val="0"/>
                <w:bCs w:val="0"/>
                <w:snapToGrid w:val="0"/>
                <w:color w:val="auto"/>
                <w:kern w:val="0"/>
                <w:sz w:val="24"/>
                <w:szCs w:val="24"/>
                <w:lang w:val="en-GB" w:eastAsia="zh-CN" w:bidi="ar-SA"/>
              </w:rPr>
              <w:t>标准的要求，声环境质量现状较好。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92" w:hRule="atLeast"/>
          <w:jc w:val="center"/>
        </w:trPr>
        <w:tc>
          <w:tcPr>
            <w:tcW w:w="699" w:type="dxa"/>
            <w:vAlign w:val="center"/>
          </w:tcPr>
          <w:p>
            <w:pPr>
              <w:jc w:val="center"/>
              <w:rPr>
                <w:b/>
                <w:bCs/>
                <w:color w:val="auto"/>
                <w:sz w:val="24"/>
              </w:rPr>
            </w:pPr>
            <w:r>
              <w:rPr>
                <w:b/>
                <w:bCs/>
                <w:color w:val="auto"/>
                <w:sz w:val="24"/>
              </w:rPr>
              <w:t>环</w:t>
            </w:r>
          </w:p>
          <w:p>
            <w:pPr>
              <w:jc w:val="center"/>
              <w:rPr>
                <w:b/>
                <w:bCs/>
                <w:color w:val="auto"/>
                <w:sz w:val="24"/>
              </w:rPr>
            </w:pPr>
            <w:r>
              <w:rPr>
                <w:b/>
                <w:bCs/>
                <w:color w:val="auto"/>
                <w:sz w:val="24"/>
              </w:rPr>
              <w:t>境</w:t>
            </w:r>
          </w:p>
          <w:p>
            <w:pPr>
              <w:jc w:val="center"/>
              <w:rPr>
                <w:b/>
                <w:bCs/>
                <w:color w:val="auto"/>
                <w:sz w:val="24"/>
              </w:rPr>
            </w:pPr>
            <w:r>
              <w:rPr>
                <w:b/>
                <w:bCs/>
                <w:color w:val="auto"/>
                <w:sz w:val="24"/>
              </w:rPr>
              <w:t>保</w:t>
            </w:r>
          </w:p>
          <w:p>
            <w:pPr>
              <w:jc w:val="center"/>
              <w:rPr>
                <w:b/>
                <w:bCs/>
                <w:color w:val="auto"/>
                <w:sz w:val="24"/>
              </w:rPr>
            </w:pPr>
            <w:r>
              <w:rPr>
                <w:b/>
                <w:bCs/>
                <w:color w:val="auto"/>
                <w:sz w:val="24"/>
              </w:rPr>
              <w:t>护</w:t>
            </w:r>
          </w:p>
          <w:p>
            <w:pPr>
              <w:jc w:val="center"/>
              <w:rPr>
                <w:b/>
                <w:bCs/>
                <w:color w:val="auto"/>
                <w:sz w:val="24"/>
              </w:rPr>
            </w:pPr>
            <w:r>
              <w:rPr>
                <w:b/>
                <w:bCs/>
                <w:color w:val="auto"/>
                <w:sz w:val="24"/>
              </w:rPr>
              <w:t>目</w:t>
            </w:r>
          </w:p>
          <w:p>
            <w:pPr>
              <w:jc w:val="center"/>
              <w:rPr>
                <w:color w:val="auto"/>
              </w:rPr>
            </w:pPr>
            <w:r>
              <w:rPr>
                <w:b/>
                <w:bCs/>
                <w:color w:val="auto"/>
                <w:sz w:val="24"/>
              </w:rPr>
              <w:t>标</w:t>
            </w:r>
          </w:p>
        </w:tc>
        <w:tc>
          <w:tcPr>
            <w:tcW w:w="7588" w:type="dxa"/>
            <w:vAlign w:val="center"/>
          </w:tcPr>
          <w:p>
            <w:pPr>
              <w:pStyle w:val="82"/>
              <w:rPr>
                <w:color w:val="auto"/>
              </w:rPr>
            </w:pPr>
            <w:bookmarkStart w:id="10" w:name="_Hlk72490597"/>
            <w:r>
              <w:rPr>
                <w:color w:val="auto"/>
              </w:rPr>
              <w:t>一、大气环境保护目标</w:t>
            </w:r>
          </w:p>
          <w:p>
            <w:pPr>
              <w:pStyle w:val="75"/>
              <w:rPr>
                <w:snapToGrid w:val="0"/>
                <w:color w:val="auto"/>
                <w:lang w:val="en-GB"/>
              </w:rPr>
            </w:pPr>
            <w:r>
              <w:rPr>
                <w:snapToGrid w:val="0"/>
                <w:color w:val="auto"/>
                <w:lang w:val="en-GB"/>
              </w:rPr>
              <w:t>本项目评价范围内无自然保护区、风景名胜区等保护目标，根据项目特点及周边环境状况，大气环境保护目标</w:t>
            </w:r>
            <w:r>
              <w:rPr>
                <w:rFonts w:hint="eastAsia"/>
                <w:snapToGrid w:val="0"/>
                <w:color w:val="auto"/>
                <w:lang w:val="en-US" w:eastAsia="zh-CN"/>
              </w:rPr>
              <w:t>情况如下表所示</w:t>
            </w:r>
            <w:r>
              <w:rPr>
                <w:snapToGrid w:val="0"/>
                <w:color w:val="auto"/>
                <w:lang w:val="en-GB"/>
              </w:rPr>
              <w:t>。</w:t>
            </w:r>
          </w:p>
          <w:p>
            <w:pPr>
              <w:pStyle w:val="76"/>
              <w:rPr>
                <w:color w:val="auto"/>
              </w:rPr>
            </w:pPr>
            <w:r>
              <w:rPr>
                <w:color w:val="auto"/>
              </w:rPr>
              <w:t>表3-</w:t>
            </w:r>
            <w:r>
              <w:rPr>
                <w:rFonts w:hint="eastAsia"/>
                <w:color w:val="auto"/>
                <w:lang w:val="en-US" w:eastAsia="zh-CN"/>
              </w:rPr>
              <w:t>5</w:t>
            </w:r>
            <w:r>
              <w:rPr>
                <w:color w:val="auto"/>
              </w:rPr>
              <w:t xml:space="preserve"> </w:t>
            </w:r>
            <w:r>
              <w:rPr>
                <w:rFonts w:hint="eastAsia"/>
                <w:color w:val="auto"/>
              </w:rPr>
              <w:t>环境空气保护目标一览表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738"/>
              <w:gridCol w:w="802"/>
              <w:gridCol w:w="1207"/>
              <w:gridCol w:w="1107"/>
              <w:gridCol w:w="1000"/>
              <w:gridCol w:w="649"/>
              <w:gridCol w:w="868"/>
              <w:gridCol w:w="647"/>
              <w:gridCol w:w="886"/>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467"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要素</w:t>
                  </w:r>
                </w:p>
              </w:tc>
              <w:tc>
                <w:tcPr>
                  <w:tcW w:w="507" w:type="pct"/>
                  <w:vMerge w:val="restart"/>
                  <w:noWrap w:val="0"/>
                  <w:vAlign w:val="center"/>
                </w:tcPr>
                <w:p>
                  <w:pPr>
                    <w:adjustRightInd w:val="0"/>
                    <w:snapToGrid w:val="0"/>
                    <w:jc w:val="center"/>
                    <w:rPr>
                      <w:color w:val="auto"/>
                    </w:rPr>
                  </w:pPr>
                  <w:r>
                    <w:rPr>
                      <w:color w:val="auto"/>
                    </w:rPr>
                    <w:t>名称</w:t>
                  </w:r>
                </w:p>
              </w:tc>
              <w:tc>
                <w:tcPr>
                  <w:tcW w:w="1463" w:type="pct"/>
                  <w:gridSpan w:val="2"/>
                  <w:tcBorders>
                    <w:bottom w:val="single" w:color="auto" w:sz="4" w:space="0"/>
                  </w:tcBorders>
                  <w:noWrap w:val="0"/>
                  <w:vAlign w:val="center"/>
                </w:tcPr>
                <w:p>
                  <w:pPr>
                    <w:adjustRightInd w:val="0"/>
                    <w:snapToGrid w:val="0"/>
                    <w:jc w:val="center"/>
                    <w:rPr>
                      <w:color w:val="auto"/>
                    </w:rPr>
                  </w:pPr>
                  <w:r>
                    <w:rPr>
                      <w:color w:val="auto"/>
                    </w:rPr>
                    <w:t>坐标</w:t>
                  </w:r>
                </w:p>
              </w:tc>
              <w:tc>
                <w:tcPr>
                  <w:tcW w:w="632"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对象</w:t>
                  </w:r>
                </w:p>
              </w:tc>
              <w:tc>
                <w:tcPr>
                  <w:tcW w:w="410"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内容</w:t>
                  </w:r>
                </w:p>
              </w:tc>
              <w:tc>
                <w:tcPr>
                  <w:tcW w:w="549"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功能区</w:t>
                  </w:r>
                </w:p>
              </w:tc>
              <w:tc>
                <w:tcPr>
                  <w:tcW w:w="409" w:type="pct"/>
                  <w:vMerge w:val="restart"/>
                  <w:noWrap w:val="0"/>
                  <w:vAlign w:val="center"/>
                </w:tcPr>
                <w:p>
                  <w:pPr>
                    <w:adjustRightInd w:val="0"/>
                    <w:snapToGrid w:val="0"/>
                    <w:jc w:val="center"/>
                    <w:rPr>
                      <w:color w:val="auto"/>
                    </w:rPr>
                  </w:pPr>
                  <w:r>
                    <w:rPr>
                      <w:color w:val="auto"/>
                    </w:rPr>
                    <w:t>相对厂址方位</w:t>
                  </w:r>
                </w:p>
              </w:tc>
              <w:tc>
                <w:tcPr>
                  <w:tcW w:w="560" w:type="pct"/>
                  <w:vMerge w:val="restart"/>
                  <w:noWrap w:val="0"/>
                  <w:vAlign w:val="center"/>
                </w:tcPr>
                <w:p>
                  <w:pPr>
                    <w:adjustRightInd w:val="0"/>
                    <w:snapToGrid w:val="0"/>
                    <w:jc w:val="center"/>
                    <w:rPr>
                      <w:color w:val="auto"/>
                    </w:rPr>
                  </w:pPr>
                  <w:r>
                    <w:rPr>
                      <w:color w:val="auto"/>
                    </w:rPr>
                    <w:t>距厂界距离(m)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467" w:type="pct"/>
                  <w:vMerge w:val="continue"/>
                  <w:noWrap w:val="0"/>
                  <w:vAlign w:val="center"/>
                </w:tcPr>
                <w:p>
                  <w:pPr>
                    <w:adjustRightInd w:val="0"/>
                    <w:snapToGrid w:val="0"/>
                    <w:jc w:val="center"/>
                    <w:rPr>
                      <w:color w:val="auto"/>
                    </w:rPr>
                  </w:pPr>
                </w:p>
              </w:tc>
              <w:tc>
                <w:tcPr>
                  <w:tcW w:w="507" w:type="pct"/>
                  <w:vMerge w:val="continue"/>
                  <w:noWrap w:val="0"/>
                  <w:vAlign w:val="center"/>
                </w:tcPr>
                <w:p>
                  <w:pPr>
                    <w:adjustRightInd w:val="0"/>
                    <w:snapToGrid w:val="0"/>
                    <w:jc w:val="center"/>
                    <w:rPr>
                      <w:color w:val="auto"/>
                    </w:rPr>
                  </w:pPr>
                </w:p>
              </w:tc>
              <w:tc>
                <w:tcPr>
                  <w:tcW w:w="763" w:type="pct"/>
                  <w:tcBorders>
                    <w:top w:val="single" w:color="auto" w:sz="4" w:space="0"/>
                  </w:tcBorders>
                  <w:noWrap w:val="0"/>
                  <w:vAlign w:val="center"/>
                </w:tcPr>
                <w:p>
                  <w:pPr>
                    <w:adjustRightInd w:val="0"/>
                    <w:snapToGrid w:val="0"/>
                    <w:jc w:val="center"/>
                    <w:rPr>
                      <w:color w:val="auto"/>
                    </w:rPr>
                  </w:pPr>
                  <w:r>
                    <w:rPr>
                      <w:rFonts w:hint="eastAsia"/>
                      <w:color w:val="auto"/>
                    </w:rPr>
                    <w:t>东经/°</w:t>
                  </w:r>
                </w:p>
              </w:tc>
              <w:tc>
                <w:tcPr>
                  <w:tcW w:w="699" w:type="pct"/>
                  <w:tcBorders>
                    <w:top w:val="single" w:color="auto" w:sz="4" w:space="0"/>
                  </w:tcBorders>
                  <w:noWrap w:val="0"/>
                  <w:vAlign w:val="center"/>
                </w:tcPr>
                <w:p>
                  <w:pPr>
                    <w:adjustRightInd w:val="0"/>
                    <w:snapToGrid w:val="0"/>
                    <w:jc w:val="center"/>
                    <w:rPr>
                      <w:color w:val="auto"/>
                    </w:rPr>
                  </w:pPr>
                  <w:r>
                    <w:rPr>
                      <w:rFonts w:hint="eastAsia"/>
                      <w:color w:val="auto"/>
                    </w:rPr>
                    <w:t>北纬/°</w:t>
                  </w:r>
                </w:p>
              </w:tc>
              <w:tc>
                <w:tcPr>
                  <w:tcW w:w="632" w:type="pct"/>
                  <w:vMerge w:val="continue"/>
                  <w:noWrap w:val="0"/>
                  <w:vAlign w:val="center"/>
                </w:tcPr>
                <w:p>
                  <w:pPr>
                    <w:adjustRightInd w:val="0"/>
                    <w:snapToGrid w:val="0"/>
                    <w:jc w:val="center"/>
                    <w:rPr>
                      <w:color w:val="auto"/>
                    </w:rPr>
                  </w:pPr>
                </w:p>
              </w:tc>
              <w:tc>
                <w:tcPr>
                  <w:tcW w:w="410" w:type="pct"/>
                  <w:vMerge w:val="continue"/>
                  <w:noWrap w:val="0"/>
                  <w:vAlign w:val="center"/>
                </w:tcPr>
                <w:p>
                  <w:pPr>
                    <w:adjustRightInd w:val="0"/>
                    <w:snapToGrid w:val="0"/>
                    <w:jc w:val="center"/>
                    <w:rPr>
                      <w:color w:val="auto"/>
                    </w:rPr>
                  </w:pPr>
                </w:p>
              </w:tc>
              <w:tc>
                <w:tcPr>
                  <w:tcW w:w="549" w:type="pct"/>
                  <w:vMerge w:val="continue"/>
                  <w:noWrap w:val="0"/>
                  <w:vAlign w:val="center"/>
                </w:tcPr>
                <w:p>
                  <w:pPr>
                    <w:adjustRightInd w:val="0"/>
                    <w:snapToGrid w:val="0"/>
                    <w:jc w:val="center"/>
                    <w:rPr>
                      <w:color w:val="auto"/>
                    </w:rPr>
                  </w:pPr>
                </w:p>
              </w:tc>
              <w:tc>
                <w:tcPr>
                  <w:tcW w:w="409" w:type="pct"/>
                  <w:vMerge w:val="continue"/>
                  <w:noWrap w:val="0"/>
                  <w:vAlign w:val="center"/>
                </w:tcPr>
                <w:p>
                  <w:pPr>
                    <w:adjustRightInd w:val="0"/>
                    <w:snapToGrid w:val="0"/>
                    <w:jc w:val="center"/>
                    <w:rPr>
                      <w:color w:val="auto"/>
                    </w:rPr>
                  </w:pPr>
                </w:p>
              </w:tc>
              <w:tc>
                <w:tcPr>
                  <w:tcW w:w="560" w:type="pct"/>
                  <w:vMerge w:val="continue"/>
                  <w:noWrap w:val="0"/>
                  <w:vAlign w:val="center"/>
                </w:tcPr>
                <w:p>
                  <w:pPr>
                    <w:adjustRightInd w:val="0"/>
                    <w:snapToGrid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空气</w:t>
                  </w:r>
                </w:p>
              </w:tc>
              <w:tc>
                <w:tcPr>
                  <w:tcW w:w="507"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勃利县</w:t>
                  </w:r>
                </w:p>
              </w:tc>
              <w:tc>
                <w:tcPr>
                  <w:tcW w:w="763" w:type="pct"/>
                  <w:noWrap w:val="0"/>
                  <w:vAlign w:val="center"/>
                </w:tcPr>
                <w:p>
                  <w:pPr>
                    <w:adjustRightInd w:val="0"/>
                    <w:snapToGrid w:val="0"/>
                    <w:jc w:val="center"/>
                    <w:rPr>
                      <w:color w:val="auto"/>
                    </w:rPr>
                  </w:pPr>
                  <w:r>
                    <w:rPr>
                      <w:rFonts w:hint="eastAsia"/>
                      <w:color w:val="auto"/>
                    </w:rPr>
                    <w:t>130.25373384</w:t>
                  </w:r>
                </w:p>
              </w:tc>
              <w:tc>
                <w:tcPr>
                  <w:tcW w:w="699" w:type="pct"/>
                  <w:noWrap w:val="0"/>
                  <w:vAlign w:val="center"/>
                </w:tcPr>
                <w:p>
                  <w:pPr>
                    <w:adjustRightInd w:val="0"/>
                    <w:snapToGrid w:val="0"/>
                    <w:jc w:val="center"/>
                    <w:rPr>
                      <w:rFonts w:hint="eastAsia"/>
                      <w:color w:val="auto"/>
                    </w:rPr>
                  </w:pPr>
                  <w:r>
                    <w:rPr>
                      <w:rFonts w:hint="eastAsia"/>
                      <w:color w:val="auto"/>
                    </w:rPr>
                    <w:t>46.76980428</w:t>
                  </w:r>
                </w:p>
              </w:tc>
              <w:tc>
                <w:tcPr>
                  <w:tcW w:w="632" w:type="pct"/>
                  <w:noWrap w:val="0"/>
                  <w:vAlign w:val="center"/>
                </w:tcPr>
                <w:p>
                  <w:pPr>
                    <w:adjustRightInd w:val="0"/>
                    <w:snapToGrid w:val="0"/>
                    <w:jc w:val="center"/>
                    <w:rPr>
                      <w:rFonts w:hint="eastAsia" w:eastAsia="宋体"/>
                      <w:color w:val="auto"/>
                      <w:lang w:val="en-US" w:eastAsia="zh-CN"/>
                    </w:rPr>
                  </w:pPr>
                  <w:r>
                    <w:rPr>
                      <w:color w:val="auto"/>
                    </w:rPr>
                    <w:t>农村地区中人群较集中的区域</w:t>
                  </w:r>
                </w:p>
              </w:tc>
              <w:tc>
                <w:tcPr>
                  <w:tcW w:w="410" w:type="pct"/>
                  <w:noWrap w:val="0"/>
                  <w:vAlign w:val="center"/>
                </w:tcPr>
                <w:p>
                  <w:pPr>
                    <w:adjustRightInd w:val="0"/>
                    <w:snapToGrid w:val="0"/>
                    <w:jc w:val="center"/>
                    <w:rPr>
                      <w:color w:val="auto"/>
                    </w:rPr>
                  </w:pPr>
                  <w:r>
                    <w:rPr>
                      <w:color w:val="auto"/>
                    </w:rPr>
                    <w:t>人群</w:t>
                  </w:r>
                </w:p>
              </w:tc>
              <w:tc>
                <w:tcPr>
                  <w:tcW w:w="549" w:type="pct"/>
                  <w:noWrap w:val="0"/>
                  <w:vAlign w:val="center"/>
                </w:tcPr>
                <w:p>
                  <w:pPr>
                    <w:adjustRightInd w:val="0"/>
                    <w:snapToGrid w:val="0"/>
                    <w:jc w:val="center"/>
                    <w:rPr>
                      <w:color w:val="auto"/>
                    </w:rPr>
                  </w:pPr>
                  <w:r>
                    <w:rPr>
                      <w:color w:val="auto"/>
                    </w:rPr>
                    <w:t>二类</w:t>
                  </w:r>
                </w:p>
              </w:tc>
              <w:tc>
                <w:tcPr>
                  <w:tcW w:w="409"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NW</w:t>
                  </w:r>
                </w:p>
              </w:tc>
              <w:tc>
                <w:tcPr>
                  <w:tcW w:w="560" w:type="pct"/>
                  <w:noWrap w:val="0"/>
                  <w:vAlign w:val="center"/>
                </w:tcPr>
                <w:p>
                  <w:pPr>
                    <w:adjustRightInd w:val="0"/>
                    <w:snapToGrid w:val="0"/>
                    <w:jc w:val="center"/>
                    <w:rPr>
                      <w:rFonts w:hint="eastAsia" w:eastAsia="宋体"/>
                      <w:color w:val="auto"/>
                      <w:lang w:val="en-US" w:eastAsia="zh-CN"/>
                    </w:rPr>
                  </w:pPr>
                  <w:r>
                    <w:rPr>
                      <w:rFonts w:hint="eastAsia"/>
                      <w:color w:val="auto"/>
                    </w:rPr>
                    <w:t>26</w:t>
                  </w:r>
                  <w:r>
                    <w:rPr>
                      <w:rFonts w:hint="eastAsia"/>
                      <w:color w:val="auto"/>
                      <w:lang w:val="en-US" w:eastAsia="zh-CN"/>
                    </w:rPr>
                    <w:t>0</w:t>
                  </w:r>
                </w:p>
              </w:tc>
            </w:tr>
          </w:tbl>
          <w:p>
            <w:pPr>
              <w:pStyle w:val="82"/>
              <w:rPr>
                <w:color w:val="auto"/>
              </w:rPr>
            </w:pPr>
            <w:r>
              <w:rPr>
                <w:color w:val="auto"/>
              </w:rPr>
              <w:t>二、声环境保护目标</w:t>
            </w:r>
          </w:p>
          <w:p>
            <w:pPr>
              <w:pStyle w:val="82"/>
              <w:rPr>
                <w:rFonts w:hint="eastAsia" w:ascii="Times New Roman" w:hAnsi="Times New Roman" w:eastAsia="宋体" w:cs="Times New Roman"/>
                <w:b w:val="0"/>
                <w:bCs w:val="0"/>
                <w:snapToGrid w:val="0"/>
                <w:color w:val="auto"/>
                <w:kern w:val="0"/>
                <w:sz w:val="24"/>
                <w:szCs w:val="24"/>
                <w:lang w:val="en-US" w:eastAsia="zh-CN" w:bidi="ar-SA"/>
              </w:rPr>
            </w:pPr>
            <w:r>
              <w:rPr>
                <w:rFonts w:hint="eastAsia" w:ascii="Times New Roman" w:hAnsi="Times New Roman" w:eastAsia="宋体" w:cs="Times New Roman"/>
                <w:b w:val="0"/>
                <w:bCs w:val="0"/>
                <w:snapToGrid w:val="0"/>
                <w:color w:val="auto"/>
                <w:kern w:val="0"/>
                <w:sz w:val="24"/>
                <w:szCs w:val="24"/>
                <w:lang w:val="en-US" w:eastAsia="zh-CN" w:bidi="ar-SA"/>
              </w:rPr>
              <w:t>本项目厂界50m范围内声</w:t>
            </w:r>
            <w:r>
              <w:rPr>
                <w:rFonts w:hint="eastAsia" w:ascii="Times New Roman" w:hAnsi="Times New Roman" w:eastAsia="宋体" w:cs="Times New Roman"/>
                <w:b w:val="0"/>
                <w:bCs w:val="0"/>
                <w:snapToGrid w:val="0"/>
                <w:color w:val="auto"/>
                <w:kern w:val="0"/>
                <w:sz w:val="24"/>
                <w:szCs w:val="24"/>
                <w:lang w:val="en-GB" w:eastAsia="zh-CN" w:bidi="ar-SA"/>
              </w:rPr>
              <w:t>环境保护目标</w:t>
            </w:r>
            <w:r>
              <w:rPr>
                <w:rFonts w:hint="eastAsia" w:ascii="Times New Roman" w:hAnsi="Times New Roman" w:eastAsia="宋体" w:cs="Times New Roman"/>
                <w:b w:val="0"/>
                <w:bCs w:val="0"/>
                <w:snapToGrid w:val="0"/>
                <w:color w:val="auto"/>
                <w:kern w:val="0"/>
                <w:sz w:val="24"/>
                <w:szCs w:val="24"/>
                <w:lang w:val="en-US" w:eastAsia="zh-CN" w:bidi="ar-SA"/>
              </w:rPr>
              <w:t>情况如下表所示</w:t>
            </w:r>
            <w:r>
              <w:rPr>
                <w:rFonts w:hint="eastAsia" w:ascii="Times New Roman" w:hAnsi="Times New Roman" w:eastAsia="宋体" w:cs="Times New Roman"/>
                <w:b w:val="0"/>
                <w:bCs w:val="0"/>
                <w:snapToGrid w:val="0"/>
                <w:color w:val="auto"/>
                <w:kern w:val="0"/>
                <w:sz w:val="24"/>
                <w:szCs w:val="24"/>
                <w:lang w:val="en-GB" w:eastAsia="zh-CN" w:bidi="ar-SA"/>
              </w:rPr>
              <w:t>。</w:t>
            </w:r>
          </w:p>
          <w:p>
            <w:pPr>
              <w:pStyle w:val="76"/>
              <w:rPr>
                <w:color w:val="auto"/>
              </w:rPr>
            </w:pPr>
            <w:r>
              <w:rPr>
                <w:color w:val="auto"/>
              </w:rPr>
              <w:t>表3-</w:t>
            </w:r>
            <w:r>
              <w:rPr>
                <w:rFonts w:hint="eastAsia"/>
                <w:color w:val="auto"/>
                <w:lang w:val="en-US" w:eastAsia="zh-CN"/>
              </w:rPr>
              <w:t>6</w:t>
            </w:r>
            <w:r>
              <w:rPr>
                <w:color w:val="auto"/>
              </w:rPr>
              <w:t xml:space="preserve"> </w:t>
            </w:r>
            <w:r>
              <w:rPr>
                <w:rFonts w:hint="eastAsia"/>
                <w:color w:val="auto"/>
                <w:lang w:val="en-US" w:eastAsia="zh-CN"/>
              </w:rPr>
              <w:t>声环境</w:t>
            </w:r>
            <w:r>
              <w:rPr>
                <w:rFonts w:hint="eastAsia"/>
                <w:color w:val="auto"/>
              </w:rPr>
              <w:t>保护目标一览表</w:t>
            </w:r>
          </w:p>
          <w:tbl>
            <w:tblPr>
              <w:tblStyle w:val="20"/>
              <w:tblW w:w="80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504"/>
              <w:gridCol w:w="1195"/>
              <w:gridCol w:w="1638"/>
              <w:gridCol w:w="1642"/>
              <w:gridCol w:w="426"/>
              <w:gridCol w:w="730"/>
              <w:gridCol w:w="1224"/>
              <w:gridCol w:w="728"/>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311"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要素</w:t>
                  </w:r>
                </w:p>
              </w:tc>
              <w:tc>
                <w:tcPr>
                  <w:tcW w:w="738" w:type="pct"/>
                  <w:vMerge w:val="restart"/>
                  <w:noWrap w:val="0"/>
                  <w:vAlign w:val="center"/>
                </w:tcPr>
                <w:p>
                  <w:pPr>
                    <w:adjustRightInd w:val="0"/>
                    <w:snapToGrid w:val="0"/>
                    <w:jc w:val="center"/>
                    <w:rPr>
                      <w:color w:val="auto"/>
                    </w:rPr>
                  </w:pPr>
                  <w:r>
                    <w:rPr>
                      <w:color w:val="auto"/>
                    </w:rPr>
                    <w:t>名称</w:t>
                  </w:r>
                </w:p>
              </w:tc>
              <w:tc>
                <w:tcPr>
                  <w:tcW w:w="2027" w:type="pct"/>
                  <w:gridSpan w:val="2"/>
                  <w:tcBorders>
                    <w:bottom w:val="single" w:color="auto" w:sz="4" w:space="0"/>
                  </w:tcBorders>
                  <w:noWrap w:val="0"/>
                  <w:vAlign w:val="center"/>
                </w:tcPr>
                <w:p>
                  <w:pPr>
                    <w:adjustRightInd w:val="0"/>
                    <w:snapToGrid w:val="0"/>
                    <w:jc w:val="center"/>
                    <w:rPr>
                      <w:color w:val="auto"/>
                    </w:rPr>
                  </w:pPr>
                  <w:r>
                    <w:rPr>
                      <w:color w:val="auto"/>
                    </w:rPr>
                    <w:t>坐标</w:t>
                  </w:r>
                </w:p>
              </w:tc>
              <w:tc>
                <w:tcPr>
                  <w:tcW w:w="263"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内容</w:t>
                  </w:r>
                </w:p>
              </w:tc>
              <w:tc>
                <w:tcPr>
                  <w:tcW w:w="451"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功能区</w:t>
                  </w:r>
                </w:p>
              </w:tc>
              <w:tc>
                <w:tcPr>
                  <w:tcW w:w="756" w:type="pct"/>
                  <w:vMerge w:val="restart"/>
                  <w:noWrap w:val="0"/>
                  <w:vAlign w:val="center"/>
                </w:tcPr>
                <w:p>
                  <w:pPr>
                    <w:adjustRightInd w:val="0"/>
                    <w:snapToGrid w:val="0"/>
                    <w:jc w:val="center"/>
                    <w:rPr>
                      <w:color w:val="auto"/>
                    </w:rPr>
                  </w:pPr>
                  <w:r>
                    <w:rPr>
                      <w:color w:val="auto"/>
                    </w:rPr>
                    <w:t>相对厂址方位</w:t>
                  </w:r>
                </w:p>
              </w:tc>
              <w:tc>
                <w:tcPr>
                  <w:tcW w:w="450" w:type="pct"/>
                  <w:vMerge w:val="restart"/>
                  <w:noWrap w:val="0"/>
                  <w:vAlign w:val="center"/>
                </w:tcPr>
                <w:p>
                  <w:pPr>
                    <w:adjustRightInd w:val="0"/>
                    <w:snapToGrid w:val="0"/>
                    <w:jc w:val="center"/>
                    <w:rPr>
                      <w:color w:val="auto"/>
                    </w:rPr>
                  </w:pPr>
                  <w:r>
                    <w:rPr>
                      <w:color w:val="auto"/>
                    </w:rPr>
                    <w:t>距厂界距离(m)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311" w:type="pct"/>
                  <w:vMerge w:val="continue"/>
                  <w:noWrap w:val="0"/>
                  <w:vAlign w:val="center"/>
                </w:tcPr>
                <w:p>
                  <w:pPr>
                    <w:adjustRightInd w:val="0"/>
                    <w:snapToGrid w:val="0"/>
                    <w:jc w:val="center"/>
                    <w:rPr>
                      <w:color w:val="auto"/>
                    </w:rPr>
                  </w:pPr>
                </w:p>
              </w:tc>
              <w:tc>
                <w:tcPr>
                  <w:tcW w:w="738" w:type="pct"/>
                  <w:vMerge w:val="continue"/>
                  <w:noWrap w:val="0"/>
                  <w:vAlign w:val="center"/>
                </w:tcPr>
                <w:p>
                  <w:pPr>
                    <w:adjustRightInd w:val="0"/>
                    <w:snapToGrid w:val="0"/>
                    <w:jc w:val="center"/>
                    <w:rPr>
                      <w:color w:val="auto"/>
                    </w:rPr>
                  </w:pPr>
                </w:p>
              </w:tc>
              <w:tc>
                <w:tcPr>
                  <w:tcW w:w="1012" w:type="pct"/>
                  <w:tcBorders>
                    <w:top w:val="single" w:color="auto" w:sz="4" w:space="0"/>
                  </w:tcBorders>
                  <w:noWrap w:val="0"/>
                  <w:vAlign w:val="center"/>
                </w:tcPr>
                <w:p>
                  <w:pPr>
                    <w:adjustRightInd w:val="0"/>
                    <w:snapToGrid w:val="0"/>
                    <w:jc w:val="center"/>
                    <w:rPr>
                      <w:color w:val="auto"/>
                    </w:rPr>
                  </w:pPr>
                  <w:r>
                    <w:rPr>
                      <w:rFonts w:hint="eastAsia"/>
                      <w:color w:val="auto"/>
                    </w:rPr>
                    <w:t>东经/°</w:t>
                  </w:r>
                </w:p>
              </w:tc>
              <w:tc>
                <w:tcPr>
                  <w:tcW w:w="1015" w:type="pct"/>
                  <w:tcBorders>
                    <w:top w:val="single" w:color="auto" w:sz="4" w:space="0"/>
                  </w:tcBorders>
                  <w:noWrap w:val="0"/>
                  <w:vAlign w:val="center"/>
                </w:tcPr>
                <w:p>
                  <w:pPr>
                    <w:adjustRightInd w:val="0"/>
                    <w:snapToGrid w:val="0"/>
                    <w:jc w:val="center"/>
                    <w:rPr>
                      <w:color w:val="auto"/>
                    </w:rPr>
                  </w:pPr>
                  <w:r>
                    <w:rPr>
                      <w:rFonts w:hint="eastAsia"/>
                      <w:color w:val="auto"/>
                    </w:rPr>
                    <w:t>北纬/°</w:t>
                  </w:r>
                </w:p>
              </w:tc>
              <w:tc>
                <w:tcPr>
                  <w:tcW w:w="263" w:type="pct"/>
                  <w:vMerge w:val="continue"/>
                  <w:noWrap w:val="0"/>
                  <w:vAlign w:val="center"/>
                </w:tcPr>
                <w:p>
                  <w:pPr>
                    <w:adjustRightInd w:val="0"/>
                    <w:snapToGrid w:val="0"/>
                    <w:jc w:val="center"/>
                    <w:rPr>
                      <w:color w:val="auto"/>
                    </w:rPr>
                  </w:pPr>
                </w:p>
              </w:tc>
              <w:tc>
                <w:tcPr>
                  <w:tcW w:w="451" w:type="pct"/>
                  <w:vMerge w:val="continue"/>
                  <w:noWrap w:val="0"/>
                  <w:vAlign w:val="center"/>
                </w:tcPr>
                <w:p>
                  <w:pPr>
                    <w:adjustRightInd w:val="0"/>
                    <w:snapToGrid w:val="0"/>
                    <w:jc w:val="center"/>
                    <w:rPr>
                      <w:color w:val="auto"/>
                    </w:rPr>
                  </w:pPr>
                </w:p>
              </w:tc>
              <w:tc>
                <w:tcPr>
                  <w:tcW w:w="756" w:type="pct"/>
                  <w:vMerge w:val="continue"/>
                  <w:noWrap w:val="0"/>
                  <w:vAlign w:val="center"/>
                </w:tcPr>
                <w:p>
                  <w:pPr>
                    <w:adjustRightInd w:val="0"/>
                    <w:snapToGrid w:val="0"/>
                    <w:jc w:val="center"/>
                    <w:rPr>
                      <w:color w:val="auto"/>
                    </w:rPr>
                  </w:pPr>
                </w:p>
              </w:tc>
              <w:tc>
                <w:tcPr>
                  <w:tcW w:w="450" w:type="pct"/>
                  <w:vMerge w:val="continue"/>
                  <w:noWrap w:val="0"/>
                  <w:vAlign w:val="center"/>
                </w:tcPr>
                <w:p>
                  <w:pPr>
                    <w:adjustRightInd w:val="0"/>
                    <w:snapToGrid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311" w:type="pct"/>
                  <w:vMerge w:val="restart"/>
                  <w:noWrap w:val="0"/>
                  <w:vAlign w:val="center"/>
                </w:tcPr>
                <w:p>
                  <w:pPr>
                    <w:adjustRightInd w:val="0"/>
                    <w:snapToGrid w:val="0"/>
                    <w:jc w:val="center"/>
                    <w:rPr>
                      <w:rFonts w:hint="eastAsia" w:eastAsia="宋体"/>
                      <w:color w:val="auto"/>
                      <w:lang w:eastAsia="zh-CN"/>
                    </w:rPr>
                  </w:pPr>
                  <w:r>
                    <w:rPr>
                      <w:rFonts w:hint="eastAsia"/>
                      <w:color w:val="auto"/>
                      <w:lang w:val="en-US" w:eastAsia="zh-CN"/>
                    </w:rPr>
                    <w:t>声环境</w:t>
                  </w:r>
                </w:p>
              </w:tc>
              <w:tc>
                <w:tcPr>
                  <w:tcW w:w="738"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西侧居民</w:t>
                  </w:r>
                </w:p>
              </w:tc>
              <w:tc>
                <w:tcPr>
                  <w:tcW w:w="1012" w:type="pct"/>
                  <w:noWrap w:val="0"/>
                  <w:vAlign w:val="center"/>
                </w:tcPr>
                <w:p>
                  <w:pPr>
                    <w:adjustRightInd w:val="0"/>
                    <w:snapToGrid w:val="0"/>
                    <w:jc w:val="center"/>
                    <w:rPr>
                      <w:color w:val="auto"/>
                    </w:rPr>
                  </w:pPr>
                  <w:r>
                    <w:rPr>
                      <w:rFonts w:hint="eastAsia"/>
                      <w:color w:val="auto"/>
                    </w:rPr>
                    <w:t>130.57654948</w:t>
                  </w:r>
                </w:p>
              </w:tc>
              <w:tc>
                <w:tcPr>
                  <w:tcW w:w="1015" w:type="pct"/>
                  <w:noWrap w:val="0"/>
                  <w:vAlign w:val="center"/>
                </w:tcPr>
                <w:p>
                  <w:pPr>
                    <w:adjustRightInd w:val="0"/>
                    <w:snapToGrid w:val="0"/>
                    <w:jc w:val="center"/>
                    <w:rPr>
                      <w:rFonts w:hint="eastAsia"/>
                      <w:color w:val="auto"/>
                    </w:rPr>
                  </w:pPr>
                  <w:r>
                    <w:rPr>
                      <w:rFonts w:hint="eastAsia"/>
                      <w:color w:val="auto"/>
                    </w:rPr>
                    <w:t>45.74017434</w:t>
                  </w:r>
                </w:p>
              </w:tc>
              <w:tc>
                <w:tcPr>
                  <w:tcW w:w="263" w:type="pct"/>
                  <w:vMerge w:val="restart"/>
                  <w:noWrap w:val="0"/>
                  <w:vAlign w:val="center"/>
                </w:tcPr>
                <w:p>
                  <w:pPr>
                    <w:adjustRightInd w:val="0"/>
                    <w:snapToGrid w:val="0"/>
                    <w:jc w:val="center"/>
                    <w:rPr>
                      <w:rFonts w:hint="eastAsia" w:eastAsia="宋体"/>
                      <w:color w:val="auto"/>
                      <w:lang w:eastAsia="zh-CN"/>
                    </w:rPr>
                  </w:pPr>
                  <w:r>
                    <w:rPr>
                      <w:rFonts w:hint="eastAsia"/>
                      <w:color w:val="auto"/>
                      <w:lang w:val="en-US" w:eastAsia="zh-CN"/>
                    </w:rPr>
                    <w:t>居民</w:t>
                  </w:r>
                </w:p>
              </w:tc>
              <w:tc>
                <w:tcPr>
                  <w:tcW w:w="451" w:type="pct"/>
                  <w:vMerge w:val="restar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2类</w:t>
                  </w:r>
                </w:p>
              </w:tc>
              <w:tc>
                <w:tcPr>
                  <w:tcW w:w="756"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W</w:t>
                  </w:r>
                </w:p>
              </w:tc>
              <w:tc>
                <w:tcPr>
                  <w:tcW w:w="450" w:type="pct"/>
                  <w:noWrap w:val="0"/>
                  <w:vAlign w:val="center"/>
                </w:tcPr>
                <w:p>
                  <w:pPr>
                    <w:adjustRightInd w:val="0"/>
                    <w:snapToGrid w:val="0"/>
                    <w:jc w:val="center"/>
                    <w:rPr>
                      <w:rFonts w:hint="default" w:eastAsia="宋体"/>
                      <w:color w:val="auto"/>
                      <w:lang w:val="en-US" w:eastAsia="zh-CN"/>
                    </w:rPr>
                  </w:pPr>
                  <w:r>
                    <w:rPr>
                      <w:rFonts w:hint="eastAsia" w:eastAsia="宋体"/>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311" w:type="pct"/>
                  <w:vMerge w:val="continue"/>
                  <w:noWrap w:val="0"/>
                  <w:vAlign w:val="center"/>
                </w:tcPr>
                <w:p>
                  <w:pPr>
                    <w:adjustRightInd w:val="0"/>
                    <w:snapToGrid w:val="0"/>
                    <w:jc w:val="center"/>
                    <w:rPr>
                      <w:color w:val="auto"/>
                    </w:rPr>
                  </w:pPr>
                </w:p>
              </w:tc>
              <w:tc>
                <w:tcPr>
                  <w:tcW w:w="738" w:type="pct"/>
                  <w:noWrap w:val="0"/>
                  <w:vAlign w:val="center"/>
                </w:tcPr>
                <w:p>
                  <w:pPr>
                    <w:adjustRightInd w:val="0"/>
                    <w:snapToGrid w:val="0"/>
                    <w:jc w:val="center"/>
                    <w:rPr>
                      <w:rFonts w:hint="default"/>
                      <w:color w:val="auto"/>
                      <w:lang w:val="en-US" w:eastAsia="zh-CN"/>
                    </w:rPr>
                  </w:pPr>
                  <w:r>
                    <w:rPr>
                      <w:rFonts w:hint="eastAsia"/>
                      <w:color w:val="auto"/>
                      <w:lang w:val="en-US" w:eastAsia="zh-CN"/>
                    </w:rPr>
                    <w:t>南侧居民</w:t>
                  </w:r>
                </w:p>
              </w:tc>
              <w:tc>
                <w:tcPr>
                  <w:tcW w:w="1012" w:type="pct"/>
                  <w:noWrap w:val="0"/>
                  <w:vAlign w:val="center"/>
                </w:tcPr>
                <w:p>
                  <w:pPr>
                    <w:adjustRightInd w:val="0"/>
                    <w:snapToGrid w:val="0"/>
                    <w:jc w:val="center"/>
                    <w:rPr>
                      <w:rFonts w:hint="eastAsia"/>
                      <w:color w:val="auto"/>
                    </w:rPr>
                  </w:pPr>
                  <w:r>
                    <w:rPr>
                      <w:rFonts w:hint="eastAsia"/>
                      <w:color w:val="auto"/>
                    </w:rPr>
                    <w:t>130.57757238,</w:t>
                  </w:r>
                </w:p>
              </w:tc>
              <w:tc>
                <w:tcPr>
                  <w:tcW w:w="1015" w:type="pct"/>
                  <w:noWrap w:val="0"/>
                  <w:vAlign w:val="center"/>
                </w:tcPr>
                <w:p>
                  <w:pPr>
                    <w:adjustRightInd w:val="0"/>
                    <w:snapToGrid w:val="0"/>
                    <w:jc w:val="center"/>
                    <w:rPr>
                      <w:rFonts w:hint="eastAsia"/>
                      <w:color w:val="auto"/>
                    </w:rPr>
                  </w:pPr>
                  <w:r>
                    <w:rPr>
                      <w:rFonts w:hint="eastAsia"/>
                      <w:color w:val="auto"/>
                    </w:rPr>
                    <w:t>45.73950307</w:t>
                  </w:r>
                </w:p>
              </w:tc>
              <w:tc>
                <w:tcPr>
                  <w:tcW w:w="263" w:type="pct"/>
                  <w:vMerge w:val="continue"/>
                  <w:noWrap w:val="0"/>
                  <w:vAlign w:val="center"/>
                </w:tcPr>
                <w:p>
                  <w:pPr>
                    <w:adjustRightInd w:val="0"/>
                    <w:snapToGrid w:val="0"/>
                    <w:jc w:val="center"/>
                    <w:rPr>
                      <w:color w:val="auto"/>
                    </w:rPr>
                  </w:pPr>
                </w:p>
              </w:tc>
              <w:tc>
                <w:tcPr>
                  <w:tcW w:w="451" w:type="pct"/>
                  <w:vMerge w:val="continue"/>
                  <w:noWrap w:val="0"/>
                  <w:vAlign w:val="center"/>
                </w:tcPr>
                <w:p>
                  <w:pPr>
                    <w:adjustRightInd w:val="0"/>
                    <w:snapToGrid w:val="0"/>
                    <w:jc w:val="center"/>
                    <w:rPr>
                      <w:color w:val="auto"/>
                    </w:rPr>
                  </w:pPr>
                </w:p>
              </w:tc>
              <w:tc>
                <w:tcPr>
                  <w:tcW w:w="756" w:type="pct"/>
                  <w:noWrap w:val="0"/>
                  <w:vAlign w:val="center"/>
                </w:tcPr>
                <w:p>
                  <w:pPr>
                    <w:adjustRightInd w:val="0"/>
                    <w:snapToGrid w:val="0"/>
                    <w:jc w:val="center"/>
                    <w:rPr>
                      <w:rFonts w:hint="default"/>
                      <w:color w:val="auto"/>
                      <w:lang w:val="en-US" w:eastAsia="zh-CN"/>
                    </w:rPr>
                  </w:pPr>
                  <w:r>
                    <w:rPr>
                      <w:rFonts w:hint="eastAsia"/>
                      <w:color w:val="auto"/>
                      <w:lang w:val="en-US" w:eastAsia="zh-CN"/>
                    </w:rPr>
                    <w:t>S</w:t>
                  </w:r>
                </w:p>
              </w:tc>
              <w:tc>
                <w:tcPr>
                  <w:tcW w:w="450"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40</w:t>
                  </w:r>
                </w:p>
              </w:tc>
            </w:tr>
          </w:tbl>
          <w:p>
            <w:pPr>
              <w:pStyle w:val="82"/>
              <w:ind w:left="0" w:leftChars="0" w:firstLine="482" w:firstLineChars="200"/>
              <w:rPr>
                <w:color w:val="auto"/>
              </w:rPr>
            </w:pPr>
            <w:r>
              <w:rPr>
                <w:color w:val="auto"/>
              </w:rPr>
              <w:t>三、地下水环境保护目标</w:t>
            </w:r>
          </w:p>
          <w:p>
            <w:pPr>
              <w:pStyle w:val="75"/>
              <w:rPr>
                <w:snapToGrid w:val="0"/>
                <w:color w:val="auto"/>
              </w:rPr>
            </w:pPr>
            <w:r>
              <w:rPr>
                <w:rFonts w:hint="eastAsia"/>
                <w:snapToGrid w:val="0"/>
                <w:color w:val="auto"/>
              </w:rPr>
              <w:t>本项目厂界外500m范围内无地下水集中式饮用水水源和热水、矿泉水、温泉等特殊地下水资源。</w:t>
            </w:r>
          </w:p>
          <w:p>
            <w:pPr>
              <w:pStyle w:val="82"/>
              <w:rPr>
                <w:color w:val="auto"/>
              </w:rPr>
            </w:pPr>
            <w:r>
              <w:rPr>
                <w:color w:val="auto"/>
              </w:rPr>
              <w:t>四、生态环境保护目标</w:t>
            </w:r>
          </w:p>
          <w:p>
            <w:pPr>
              <w:pStyle w:val="75"/>
              <w:rPr>
                <w:color w:val="auto"/>
              </w:rPr>
            </w:pPr>
            <w:r>
              <w:rPr>
                <w:snapToGrid w:val="0"/>
                <w:color w:val="auto"/>
              </w:rPr>
              <w:t>本项目占地范围内无特殊生态敏感区及重要生态敏感区等生态环境保护目标，项目所在地无国家级、省、市级自然保护区、风景名胜区、文物保护对象。</w:t>
            </w:r>
            <w:bookmarkEnd w:id="10"/>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699" w:type="dxa"/>
            <w:tcMar>
              <w:left w:w="28" w:type="dxa"/>
              <w:right w:w="28" w:type="dxa"/>
            </w:tcMar>
            <w:vAlign w:val="center"/>
          </w:tcPr>
          <w:p>
            <w:pPr>
              <w:jc w:val="center"/>
              <w:rPr>
                <w:b/>
                <w:bCs/>
                <w:color w:val="auto"/>
                <w:sz w:val="24"/>
              </w:rPr>
            </w:pPr>
            <w:r>
              <w:rPr>
                <w:b/>
                <w:bCs/>
                <w:color w:val="auto"/>
                <w:sz w:val="24"/>
              </w:rPr>
              <w:t>污</w:t>
            </w:r>
          </w:p>
          <w:p>
            <w:pPr>
              <w:jc w:val="center"/>
              <w:rPr>
                <w:b/>
                <w:bCs/>
                <w:color w:val="auto"/>
                <w:sz w:val="24"/>
              </w:rPr>
            </w:pPr>
            <w:r>
              <w:rPr>
                <w:b/>
                <w:bCs/>
                <w:color w:val="auto"/>
                <w:sz w:val="24"/>
              </w:rPr>
              <w:t>染</w:t>
            </w:r>
          </w:p>
          <w:p>
            <w:pPr>
              <w:jc w:val="center"/>
              <w:rPr>
                <w:b/>
                <w:bCs/>
                <w:color w:val="auto"/>
                <w:sz w:val="24"/>
              </w:rPr>
            </w:pPr>
            <w:r>
              <w:rPr>
                <w:b/>
                <w:bCs/>
                <w:color w:val="auto"/>
                <w:sz w:val="24"/>
              </w:rPr>
              <w:t>物</w:t>
            </w:r>
          </w:p>
          <w:p>
            <w:pPr>
              <w:jc w:val="center"/>
              <w:rPr>
                <w:b/>
                <w:bCs/>
                <w:color w:val="auto"/>
                <w:sz w:val="24"/>
              </w:rPr>
            </w:pPr>
            <w:r>
              <w:rPr>
                <w:b/>
                <w:bCs/>
                <w:color w:val="auto"/>
                <w:sz w:val="24"/>
              </w:rPr>
              <w:t>排</w:t>
            </w:r>
          </w:p>
          <w:p>
            <w:pPr>
              <w:jc w:val="center"/>
              <w:rPr>
                <w:b/>
                <w:bCs/>
                <w:color w:val="auto"/>
                <w:sz w:val="24"/>
              </w:rPr>
            </w:pPr>
            <w:r>
              <w:rPr>
                <w:b/>
                <w:bCs/>
                <w:color w:val="auto"/>
                <w:sz w:val="24"/>
              </w:rPr>
              <w:t>放</w:t>
            </w:r>
          </w:p>
          <w:p>
            <w:pPr>
              <w:jc w:val="center"/>
              <w:rPr>
                <w:b/>
                <w:bCs/>
                <w:color w:val="auto"/>
                <w:sz w:val="24"/>
              </w:rPr>
            </w:pPr>
            <w:r>
              <w:rPr>
                <w:b/>
                <w:bCs/>
                <w:color w:val="auto"/>
                <w:sz w:val="24"/>
              </w:rPr>
              <w:t>控</w:t>
            </w:r>
          </w:p>
          <w:p>
            <w:pPr>
              <w:jc w:val="center"/>
              <w:rPr>
                <w:b/>
                <w:bCs/>
                <w:color w:val="auto"/>
                <w:sz w:val="24"/>
              </w:rPr>
            </w:pPr>
            <w:r>
              <w:rPr>
                <w:b/>
                <w:bCs/>
                <w:color w:val="auto"/>
                <w:sz w:val="24"/>
              </w:rPr>
              <w:t>制</w:t>
            </w:r>
          </w:p>
          <w:p>
            <w:pPr>
              <w:jc w:val="center"/>
              <w:rPr>
                <w:b/>
                <w:bCs/>
                <w:color w:val="auto"/>
                <w:sz w:val="24"/>
              </w:rPr>
            </w:pPr>
            <w:r>
              <w:rPr>
                <w:b/>
                <w:bCs/>
                <w:color w:val="auto"/>
                <w:sz w:val="24"/>
              </w:rPr>
              <w:t>标</w:t>
            </w:r>
          </w:p>
          <w:p>
            <w:pPr>
              <w:jc w:val="center"/>
              <w:rPr>
                <w:color w:val="auto"/>
              </w:rPr>
            </w:pPr>
            <w:r>
              <w:rPr>
                <w:b/>
                <w:bCs/>
                <w:color w:val="auto"/>
                <w:sz w:val="24"/>
              </w:rPr>
              <w:t>准</w:t>
            </w:r>
          </w:p>
        </w:tc>
        <w:tc>
          <w:tcPr>
            <w:tcW w:w="7588" w:type="dxa"/>
            <w:vAlign w:val="center"/>
          </w:tcPr>
          <w:p>
            <w:pPr>
              <w:pStyle w:val="82"/>
              <w:rPr>
                <w:color w:val="auto"/>
              </w:rPr>
            </w:pPr>
            <w:r>
              <w:rPr>
                <w:color w:val="auto"/>
              </w:rPr>
              <w:t>一、废气</w:t>
            </w:r>
          </w:p>
          <w:p>
            <w:pPr>
              <w:pStyle w:val="75"/>
              <w:rPr>
                <w:color w:val="auto"/>
              </w:rPr>
            </w:pPr>
            <w:r>
              <w:rPr>
                <w:color w:val="auto"/>
              </w:rPr>
              <w:t>拆解工段无组织颗粒物排放浓度执行《大气污染物综合排放标准》（GB16297-1996）表2中无组织排放监控浓度限值要求；</w:t>
            </w:r>
          </w:p>
          <w:p>
            <w:pPr>
              <w:pStyle w:val="75"/>
              <w:rPr>
                <w:color w:val="auto"/>
              </w:rPr>
            </w:pPr>
            <w:r>
              <w:rPr>
                <w:color w:val="auto"/>
              </w:rPr>
              <w:t>拆解工段非甲烷总烃排放浓度执行《大气污染物综合排放标准》（GB16297-1996）非甲烷总烃无组织排放监控浓度限值；</w:t>
            </w:r>
          </w:p>
          <w:p>
            <w:pPr>
              <w:pStyle w:val="75"/>
              <w:rPr>
                <w:color w:val="auto"/>
              </w:rPr>
            </w:pPr>
            <w:r>
              <w:rPr>
                <w:color w:val="auto"/>
              </w:rPr>
              <w:t>厂区内非甲烷总烃满足《挥发性有机物无组织排放控制标准》（GB37822-2019）中表A.1无组织排放限值（1h平均浓度＜10mg/m</w:t>
            </w:r>
            <w:r>
              <w:rPr>
                <w:color w:val="auto"/>
                <w:vertAlign w:val="superscript"/>
              </w:rPr>
              <w:t>3</w:t>
            </w:r>
            <w:r>
              <w:rPr>
                <w:color w:val="auto"/>
              </w:rPr>
              <w:t>，任意一次浓度值＜30mg/m</w:t>
            </w:r>
            <w:r>
              <w:rPr>
                <w:color w:val="auto"/>
                <w:vertAlign w:val="superscript"/>
              </w:rPr>
              <w:t>3</w:t>
            </w:r>
            <w:r>
              <w:rPr>
                <w:color w:val="auto"/>
              </w:rPr>
              <w:t>）。</w:t>
            </w:r>
          </w:p>
          <w:p>
            <w:pPr>
              <w:pStyle w:val="76"/>
              <w:rPr>
                <w:color w:val="auto"/>
              </w:rPr>
            </w:pPr>
            <w:r>
              <w:rPr>
                <w:color w:val="auto"/>
              </w:rPr>
              <w:t>表3-</w:t>
            </w:r>
            <w:r>
              <w:rPr>
                <w:rFonts w:hint="eastAsia"/>
                <w:color w:val="auto"/>
                <w:lang w:val="en-US" w:eastAsia="zh-CN"/>
              </w:rPr>
              <w:t>7</w:t>
            </w:r>
            <w:r>
              <w:rPr>
                <w:color w:val="auto"/>
              </w:rPr>
              <w:t xml:space="preserve"> 《大气污染物综合排放标准》（GB16297-1996）</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2670"/>
              <w:gridCol w:w="1309"/>
              <w:gridCol w:w="1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22" w:type="pct"/>
                  <w:gridSpan w:val="2"/>
                  <w:vAlign w:val="center"/>
                </w:tcPr>
                <w:p>
                  <w:pPr>
                    <w:pStyle w:val="78"/>
                    <w:rPr>
                      <w:color w:val="auto"/>
                    </w:rPr>
                  </w:pPr>
                  <w:r>
                    <w:rPr>
                      <w:color w:val="auto"/>
                    </w:rPr>
                    <w:t>污染物</w:t>
                  </w:r>
                </w:p>
              </w:tc>
              <w:tc>
                <w:tcPr>
                  <w:tcW w:w="828" w:type="pct"/>
                  <w:vAlign w:val="center"/>
                </w:tcPr>
                <w:p>
                  <w:pPr>
                    <w:pStyle w:val="78"/>
                    <w:rPr>
                      <w:color w:val="auto"/>
                    </w:rPr>
                  </w:pPr>
                  <w:r>
                    <w:rPr>
                      <w:color w:val="auto"/>
                    </w:rPr>
                    <w:t>非甲烷总烃</w:t>
                  </w:r>
                </w:p>
              </w:tc>
              <w:tc>
                <w:tcPr>
                  <w:tcW w:w="750" w:type="pct"/>
                  <w:vAlign w:val="center"/>
                </w:tcPr>
                <w:p>
                  <w:pPr>
                    <w:pStyle w:val="78"/>
                    <w:rPr>
                      <w:color w:val="auto"/>
                    </w:rPr>
                  </w:pPr>
                  <w:r>
                    <w:rPr>
                      <w:color w:val="auto"/>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3" w:type="pct"/>
                  <w:vAlign w:val="center"/>
                </w:tcPr>
                <w:p>
                  <w:pPr>
                    <w:pStyle w:val="78"/>
                    <w:rPr>
                      <w:color w:val="auto"/>
                    </w:rPr>
                  </w:pPr>
                  <w:r>
                    <w:rPr>
                      <w:color w:val="auto"/>
                    </w:rPr>
                    <w:t>无组织排放监控浓度限值</w:t>
                  </w:r>
                </w:p>
              </w:tc>
              <w:tc>
                <w:tcPr>
                  <w:tcW w:w="1689" w:type="pct"/>
                  <w:vAlign w:val="center"/>
                </w:tcPr>
                <w:p>
                  <w:pPr>
                    <w:pStyle w:val="78"/>
                    <w:rPr>
                      <w:color w:val="auto"/>
                    </w:rPr>
                  </w:pPr>
                  <w:r>
                    <w:rPr>
                      <w:color w:val="auto"/>
                    </w:rPr>
                    <w:t>周界外浓度最高点(mg/m</w:t>
                  </w:r>
                  <w:r>
                    <w:rPr>
                      <w:color w:val="auto"/>
                      <w:vertAlign w:val="superscript"/>
                    </w:rPr>
                    <w:t>3</w:t>
                  </w:r>
                  <w:r>
                    <w:rPr>
                      <w:color w:val="auto"/>
                    </w:rPr>
                    <w:t>)</w:t>
                  </w:r>
                </w:p>
              </w:tc>
              <w:tc>
                <w:tcPr>
                  <w:tcW w:w="828" w:type="pct"/>
                  <w:vAlign w:val="center"/>
                </w:tcPr>
                <w:p>
                  <w:pPr>
                    <w:pStyle w:val="78"/>
                    <w:rPr>
                      <w:color w:val="auto"/>
                    </w:rPr>
                  </w:pPr>
                  <w:r>
                    <w:rPr>
                      <w:color w:val="auto"/>
                    </w:rPr>
                    <w:t>4.0</w:t>
                  </w:r>
                </w:p>
              </w:tc>
              <w:tc>
                <w:tcPr>
                  <w:tcW w:w="750" w:type="pct"/>
                  <w:vAlign w:val="center"/>
                </w:tcPr>
                <w:p>
                  <w:pPr>
                    <w:pStyle w:val="78"/>
                    <w:rPr>
                      <w:color w:val="auto"/>
                    </w:rPr>
                  </w:pPr>
                  <w:r>
                    <w:rPr>
                      <w:color w:val="auto"/>
                    </w:rPr>
                    <w:t>1.0</w:t>
                  </w:r>
                </w:p>
              </w:tc>
            </w:tr>
          </w:tbl>
          <w:p>
            <w:pPr>
              <w:pStyle w:val="76"/>
              <w:rPr>
                <w:color w:val="auto"/>
              </w:rPr>
            </w:pPr>
            <w:r>
              <w:rPr>
                <w:color w:val="auto"/>
              </w:rPr>
              <w:t>表3-</w:t>
            </w:r>
            <w:r>
              <w:rPr>
                <w:rFonts w:hint="eastAsia"/>
                <w:color w:val="auto"/>
                <w:lang w:val="en-US" w:eastAsia="zh-CN"/>
              </w:rPr>
              <w:t>8</w:t>
            </w:r>
            <w:r>
              <w:rPr>
                <w:color w:val="auto"/>
              </w:rPr>
              <w:t xml:space="preserve"> 《挥发性有机物无组织排放控制标准》（GB37822-2019）附录A</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310"/>
              <w:gridCol w:w="3195"/>
              <w:gridCol w:w="33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43" w:hRule="atLeast"/>
                <w:jc w:val="center"/>
              </w:trPr>
              <w:tc>
                <w:tcPr>
                  <w:tcW w:w="829" w:type="pct"/>
                  <w:vAlign w:val="center"/>
                </w:tcPr>
                <w:p>
                  <w:pPr>
                    <w:pStyle w:val="78"/>
                    <w:rPr>
                      <w:color w:val="auto"/>
                    </w:rPr>
                  </w:pPr>
                  <w:r>
                    <w:rPr>
                      <w:color w:val="auto"/>
                    </w:rPr>
                    <w:t>污染物项目</w:t>
                  </w:r>
                </w:p>
              </w:tc>
              <w:tc>
                <w:tcPr>
                  <w:tcW w:w="2021" w:type="pct"/>
                  <w:vAlign w:val="center"/>
                </w:tcPr>
                <w:p>
                  <w:pPr>
                    <w:pStyle w:val="78"/>
                    <w:rPr>
                      <w:color w:val="auto"/>
                    </w:rPr>
                  </w:pPr>
                  <w:r>
                    <w:rPr>
                      <w:color w:val="auto"/>
                    </w:rPr>
                    <w:t>排放限值</w:t>
                  </w:r>
                </w:p>
              </w:tc>
              <w:tc>
                <w:tcPr>
                  <w:tcW w:w="2150" w:type="pct"/>
                  <w:vAlign w:val="center"/>
                </w:tcPr>
                <w:p>
                  <w:pPr>
                    <w:pStyle w:val="78"/>
                    <w:rPr>
                      <w:color w:val="auto"/>
                    </w:rPr>
                  </w:pPr>
                  <w:r>
                    <w:rPr>
                      <w:color w:val="auto"/>
                    </w:rPr>
                    <w:t>限值含义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restart"/>
                  <w:vAlign w:val="center"/>
                </w:tcPr>
                <w:p>
                  <w:pPr>
                    <w:pStyle w:val="78"/>
                    <w:rPr>
                      <w:color w:val="auto"/>
                    </w:rPr>
                  </w:pPr>
                  <w:r>
                    <w:rPr>
                      <w:color w:val="auto"/>
                    </w:rPr>
                    <w:t>非甲烷总烃</w:t>
                  </w:r>
                </w:p>
              </w:tc>
              <w:tc>
                <w:tcPr>
                  <w:tcW w:w="2021" w:type="pct"/>
                  <w:vAlign w:val="center"/>
                </w:tcPr>
                <w:p>
                  <w:pPr>
                    <w:pStyle w:val="78"/>
                    <w:rPr>
                      <w:color w:val="auto"/>
                    </w:rPr>
                  </w:pPr>
                  <w:r>
                    <w:rPr>
                      <w:color w:val="auto"/>
                    </w:rPr>
                    <w:t>10mg/m</w:t>
                  </w:r>
                  <w:r>
                    <w:rPr>
                      <w:color w:val="auto"/>
                      <w:vertAlign w:val="superscript"/>
                    </w:rPr>
                    <w:t>3</w:t>
                  </w:r>
                </w:p>
              </w:tc>
              <w:tc>
                <w:tcPr>
                  <w:tcW w:w="2150" w:type="pct"/>
                  <w:vAlign w:val="center"/>
                </w:tcPr>
                <w:p>
                  <w:pPr>
                    <w:pStyle w:val="78"/>
                    <w:rPr>
                      <w:color w:val="auto"/>
                    </w:rPr>
                  </w:pPr>
                  <w:r>
                    <w:rPr>
                      <w:color w:val="auto"/>
                    </w:rPr>
                    <w:t>监控点处1h平均浓度值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continue"/>
                  <w:vAlign w:val="center"/>
                </w:tcPr>
                <w:p>
                  <w:pPr>
                    <w:pStyle w:val="78"/>
                    <w:rPr>
                      <w:color w:val="auto"/>
                    </w:rPr>
                  </w:pPr>
                </w:p>
              </w:tc>
              <w:tc>
                <w:tcPr>
                  <w:tcW w:w="2021" w:type="pct"/>
                  <w:vAlign w:val="center"/>
                </w:tcPr>
                <w:p>
                  <w:pPr>
                    <w:pStyle w:val="78"/>
                    <w:rPr>
                      <w:color w:val="auto"/>
                    </w:rPr>
                  </w:pPr>
                  <w:r>
                    <w:rPr>
                      <w:color w:val="auto"/>
                    </w:rPr>
                    <w:t>30mg/m</w:t>
                  </w:r>
                  <w:r>
                    <w:rPr>
                      <w:color w:val="auto"/>
                      <w:vertAlign w:val="superscript"/>
                    </w:rPr>
                    <w:t>3</w:t>
                  </w:r>
                </w:p>
              </w:tc>
              <w:tc>
                <w:tcPr>
                  <w:tcW w:w="2150" w:type="pct"/>
                  <w:vAlign w:val="center"/>
                </w:tcPr>
                <w:p>
                  <w:pPr>
                    <w:pStyle w:val="78"/>
                    <w:rPr>
                      <w:color w:val="auto"/>
                    </w:rPr>
                  </w:pPr>
                  <w:r>
                    <w:rPr>
                      <w:color w:val="auto"/>
                    </w:rPr>
                    <w:t>监控点处任意一次浓度值</w:t>
                  </w:r>
                </w:p>
              </w:tc>
            </w:tr>
          </w:tbl>
          <w:p>
            <w:pPr>
              <w:pStyle w:val="82"/>
              <w:rPr>
                <w:color w:val="auto"/>
              </w:rPr>
            </w:pPr>
            <w:r>
              <w:rPr>
                <w:color w:val="auto"/>
              </w:rPr>
              <w:t>二、废水</w:t>
            </w:r>
          </w:p>
          <w:p>
            <w:pPr>
              <w:pStyle w:val="75"/>
              <w:rPr>
                <w:rFonts w:hint="default"/>
                <w:color w:val="auto"/>
                <w:szCs w:val="21"/>
                <w:lang w:val="en-US"/>
              </w:rPr>
            </w:pPr>
            <w:r>
              <w:rPr>
                <w:color w:val="auto"/>
              </w:rPr>
              <w:t>本项目废水主要为生活污水和待拆车辆存放区初期雨水。本项目生活污水排入</w:t>
            </w:r>
            <w:r>
              <w:rPr>
                <w:rFonts w:hint="eastAsia"/>
                <w:color w:val="auto"/>
                <w:lang w:val="en-US" w:eastAsia="zh-CN"/>
              </w:rPr>
              <w:t>市政管网。</w:t>
            </w:r>
            <w:r>
              <w:rPr>
                <w:color w:val="auto"/>
              </w:rPr>
              <w:t>待拆车辆存放区初期雨水经待拆车辆存放区四周排水沟汇入厂区初期雨水收集池，经油水分离器隔油处理后</w:t>
            </w:r>
            <w:r>
              <w:rPr>
                <w:rFonts w:hint="eastAsia"/>
                <w:color w:val="auto"/>
                <w:lang w:val="en-US" w:eastAsia="zh-CN"/>
              </w:rPr>
              <w:t>用于厂区洒扫降尘。</w:t>
            </w:r>
          </w:p>
          <w:p>
            <w:pPr>
              <w:pStyle w:val="82"/>
              <w:rPr>
                <w:color w:val="auto"/>
              </w:rPr>
            </w:pPr>
            <w:r>
              <w:rPr>
                <w:color w:val="auto"/>
              </w:rPr>
              <w:t>三、噪声</w:t>
            </w:r>
          </w:p>
          <w:p>
            <w:pPr>
              <w:pStyle w:val="75"/>
              <w:rPr>
                <w:rFonts w:hint="default" w:ascii="Times New Roman" w:hAnsi="Times New Roman" w:eastAsia="宋体" w:cs="Times New Roman"/>
                <w:color w:val="auto"/>
              </w:rPr>
            </w:pPr>
            <w:r>
              <w:rPr>
                <w:rFonts w:hint="default" w:ascii="Times New Roman" w:hAnsi="Times New Roman" w:eastAsia="宋体" w:cs="Times New Roman"/>
                <w:color w:val="auto"/>
              </w:rPr>
              <w:t>运营期厂界噪声执行《工业企业厂界环境噪声排放标准》（GB12348-2008）</w:t>
            </w:r>
            <w:r>
              <w:rPr>
                <w:rFonts w:hint="eastAsia" w:ascii="Times New Roman" w:hAnsi="Times New Roman" w:eastAsia="宋体" w:cs="Times New Roman"/>
                <w:color w:val="auto"/>
                <w:lang w:val="en-US" w:eastAsia="zh-CN"/>
              </w:rPr>
              <w:t>2类和4类</w:t>
            </w:r>
            <w:r>
              <w:rPr>
                <w:rFonts w:hint="default" w:ascii="Times New Roman" w:hAnsi="Times New Roman" w:eastAsia="宋体" w:cs="Times New Roman"/>
                <w:color w:val="auto"/>
              </w:rPr>
              <w:t>标准</w:t>
            </w:r>
            <w:r>
              <w:rPr>
                <w:rFonts w:hint="eastAsia" w:ascii="Times New Roman" w:hAnsi="Times New Roman" w:eastAsia="宋体" w:cs="Times New Roman"/>
                <w:color w:val="auto"/>
                <w:lang w:eastAsia="zh-CN"/>
              </w:rPr>
              <w:t>限值</w:t>
            </w:r>
            <w:r>
              <w:rPr>
                <w:rFonts w:hint="default" w:ascii="Times New Roman" w:hAnsi="Times New Roman" w:eastAsia="宋体" w:cs="Times New Roman"/>
                <w:color w:val="auto"/>
              </w:rPr>
              <w:t>。</w:t>
            </w:r>
          </w:p>
          <w:p>
            <w:pPr>
              <w:pStyle w:val="76"/>
              <w:rPr>
                <w:color w:val="auto"/>
                <w:szCs w:val="28"/>
              </w:rPr>
            </w:pPr>
            <w:r>
              <w:rPr>
                <w:color w:val="auto"/>
              </w:rPr>
              <w:t>表3-</w:t>
            </w:r>
            <w:r>
              <w:rPr>
                <w:rFonts w:hint="eastAsia"/>
                <w:color w:val="auto"/>
                <w:lang w:val="en-US" w:eastAsia="zh-CN"/>
              </w:rPr>
              <w:t>9</w:t>
            </w:r>
            <w:r>
              <w:rPr>
                <w:color w:val="auto"/>
              </w:rPr>
              <w:t xml:space="preserve"> 工业企业厂界环境噪声排放标准</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527"/>
              <w:gridCol w:w="3188"/>
              <w:gridCol w:w="31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6" w:type="pct"/>
                  <w:vMerge w:val="restart"/>
                  <w:vAlign w:val="center"/>
                </w:tcPr>
                <w:p>
                  <w:pPr>
                    <w:pStyle w:val="78"/>
                    <w:rPr>
                      <w:color w:val="auto"/>
                    </w:rPr>
                  </w:pPr>
                  <w:r>
                    <w:rPr>
                      <w:color w:val="auto"/>
                    </w:rPr>
                    <w:t>类别</w:t>
                  </w:r>
                </w:p>
              </w:tc>
              <w:tc>
                <w:tcPr>
                  <w:tcW w:w="4033" w:type="pct"/>
                  <w:gridSpan w:val="2"/>
                  <w:vAlign w:val="center"/>
                </w:tcPr>
                <w:p>
                  <w:pPr>
                    <w:pStyle w:val="78"/>
                    <w:rPr>
                      <w:color w:val="auto"/>
                    </w:rPr>
                  </w:pPr>
                  <w:r>
                    <w:rPr>
                      <w:color w:val="auto"/>
                    </w:rPr>
                    <w:t>环境噪声标准值（dB（A））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6" w:type="pct"/>
                  <w:vMerge w:val="continue"/>
                  <w:vAlign w:val="center"/>
                </w:tcPr>
                <w:p>
                  <w:pPr>
                    <w:pStyle w:val="78"/>
                    <w:rPr>
                      <w:color w:val="auto"/>
                    </w:rPr>
                  </w:pPr>
                </w:p>
              </w:tc>
              <w:tc>
                <w:tcPr>
                  <w:tcW w:w="2016" w:type="pct"/>
                  <w:vAlign w:val="center"/>
                </w:tcPr>
                <w:p>
                  <w:pPr>
                    <w:pStyle w:val="78"/>
                    <w:rPr>
                      <w:color w:val="auto"/>
                    </w:rPr>
                  </w:pPr>
                  <w:r>
                    <w:rPr>
                      <w:color w:val="auto"/>
                    </w:rPr>
                    <w:t>昼间</w:t>
                  </w:r>
                </w:p>
              </w:tc>
              <w:tc>
                <w:tcPr>
                  <w:tcW w:w="2016" w:type="pct"/>
                  <w:vAlign w:val="center"/>
                </w:tcPr>
                <w:p>
                  <w:pPr>
                    <w:pStyle w:val="78"/>
                    <w:rPr>
                      <w:color w:val="auto"/>
                    </w:rPr>
                  </w:pPr>
                  <w:r>
                    <w:rP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6" w:type="pct"/>
                  <w:vAlign w:val="center"/>
                </w:tcPr>
                <w:p>
                  <w:pPr>
                    <w:pStyle w:val="78"/>
                    <w:rPr>
                      <w:color w:val="auto"/>
                    </w:rPr>
                  </w:pPr>
                  <w:r>
                    <w:rPr>
                      <w:color w:val="auto"/>
                    </w:rPr>
                    <w:t>2类</w:t>
                  </w:r>
                </w:p>
              </w:tc>
              <w:tc>
                <w:tcPr>
                  <w:tcW w:w="2016" w:type="pct"/>
                  <w:vAlign w:val="center"/>
                </w:tcPr>
                <w:p>
                  <w:pPr>
                    <w:pStyle w:val="78"/>
                    <w:rPr>
                      <w:color w:val="auto"/>
                    </w:rPr>
                  </w:pPr>
                  <w:r>
                    <w:rPr>
                      <w:color w:val="auto"/>
                    </w:rPr>
                    <w:t>60</w:t>
                  </w:r>
                </w:p>
              </w:tc>
              <w:tc>
                <w:tcPr>
                  <w:tcW w:w="2016" w:type="pct"/>
                  <w:vAlign w:val="center"/>
                </w:tcPr>
                <w:p>
                  <w:pPr>
                    <w:pStyle w:val="78"/>
                    <w:rPr>
                      <w:color w:val="auto"/>
                    </w:rPr>
                  </w:pPr>
                  <w:r>
                    <w:rPr>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6" w:type="pct"/>
                  <w:vAlign w:val="center"/>
                </w:tcPr>
                <w:p>
                  <w:pPr>
                    <w:pStyle w:val="78"/>
                    <w:rPr>
                      <w:rFonts w:hint="default" w:eastAsia="宋体"/>
                      <w:color w:val="auto"/>
                      <w:lang w:val="en-US" w:eastAsia="zh-CN"/>
                    </w:rPr>
                  </w:pPr>
                  <w:r>
                    <w:rPr>
                      <w:rFonts w:hint="eastAsia"/>
                      <w:color w:val="auto"/>
                      <w:lang w:val="en-US" w:eastAsia="zh-CN"/>
                    </w:rPr>
                    <w:t>4类</w:t>
                  </w:r>
                </w:p>
              </w:tc>
              <w:tc>
                <w:tcPr>
                  <w:tcW w:w="2016" w:type="pct"/>
                  <w:vAlign w:val="center"/>
                </w:tcPr>
                <w:p>
                  <w:pPr>
                    <w:pStyle w:val="78"/>
                    <w:rPr>
                      <w:rFonts w:hint="default" w:eastAsia="宋体"/>
                      <w:color w:val="auto"/>
                      <w:lang w:val="en-US" w:eastAsia="zh-CN"/>
                    </w:rPr>
                  </w:pPr>
                  <w:r>
                    <w:rPr>
                      <w:rFonts w:hint="eastAsia"/>
                      <w:color w:val="auto"/>
                      <w:lang w:val="en-US" w:eastAsia="zh-CN"/>
                    </w:rPr>
                    <w:t>70</w:t>
                  </w:r>
                </w:p>
              </w:tc>
              <w:tc>
                <w:tcPr>
                  <w:tcW w:w="2016" w:type="pct"/>
                  <w:vAlign w:val="center"/>
                </w:tcPr>
                <w:p>
                  <w:pPr>
                    <w:pStyle w:val="78"/>
                    <w:rPr>
                      <w:rFonts w:hint="default" w:eastAsia="宋体"/>
                      <w:color w:val="auto"/>
                      <w:lang w:val="en-US" w:eastAsia="zh-CN"/>
                    </w:rPr>
                  </w:pPr>
                  <w:r>
                    <w:rPr>
                      <w:rFonts w:hint="eastAsia"/>
                      <w:color w:val="auto"/>
                      <w:lang w:val="en-US" w:eastAsia="zh-CN"/>
                    </w:rPr>
                    <w:t>55</w:t>
                  </w:r>
                </w:p>
              </w:tc>
            </w:tr>
          </w:tbl>
          <w:p>
            <w:pPr>
              <w:pStyle w:val="82"/>
              <w:rPr>
                <w:color w:val="auto"/>
              </w:rPr>
            </w:pPr>
            <w:r>
              <w:rPr>
                <w:color w:val="auto"/>
              </w:rPr>
              <w:t>四、固体废物</w:t>
            </w:r>
          </w:p>
          <w:p>
            <w:pPr>
              <w:pStyle w:val="75"/>
              <w:rPr>
                <w:color w:val="auto"/>
              </w:rPr>
            </w:pPr>
            <w:r>
              <w:rPr>
                <w:color w:val="auto"/>
              </w:rPr>
              <w:t>《一般工业固体废物贮存和填埋污染控制标准》（GB18599-2020）；</w:t>
            </w:r>
          </w:p>
          <w:p>
            <w:pPr>
              <w:pStyle w:val="75"/>
              <w:rPr>
                <w:color w:val="auto"/>
              </w:rPr>
            </w:pPr>
            <w:r>
              <w:rPr>
                <w:color w:val="auto"/>
              </w:rPr>
              <w:t>《一般固体废物分类与代码》（GB/T39198-2020）；</w:t>
            </w:r>
          </w:p>
          <w:p>
            <w:pPr>
              <w:pStyle w:val="75"/>
              <w:rPr>
                <w:color w:val="auto"/>
              </w:rPr>
            </w:pPr>
            <w:r>
              <w:rPr>
                <w:color w:val="auto"/>
              </w:rPr>
              <w:t>《危险废物贮存污染控制标准》（GB18597-20</w:t>
            </w:r>
            <w:r>
              <w:rPr>
                <w:rFonts w:hint="eastAsia"/>
                <w:color w:val="auto"/>
                <w:lang w:val="en-US" w:eastAsia="zh-CN"/>
              </w:rPr>
              <w:t>23</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40" w:hRule="atLeast"/>
          <w:jc w:val="center"/>
        </w:trPr>
        <w:tc>
          <w:tcPr>
            <w:tcW w:w="699" w:type="dxa"/>
            <w:vAlign w:val="center"/>
          </w:tcPr>
          <w:p>
            <w:pPr>
              <w:jc w:val="center"/>
              <w:rPr>
                <w:b/>
                <w:bCs/>
                <w:color w:val="auto"/>
                <w:sz w:val="24"/>
              </w:rPr>
            </w:pPr>
            <w:r>
              <w:rPr>
                <w:b/>
                <w:bCs/>
                <w:color w:val="auto"/>
                <w:sz w:val="24"/>
              </w:rPr>
              <w:t>总量控制指标</w:t>
            </w:r>
          </w:p>
        </w:tc>
        <w:tc>
          <w:tcPr>
            <w:tcW w:w="7588" w:type="dxa"/>
            <w:vAlign w:val="center"/>
          </w:tcPr>
          <w:p>
            <w:pPr>
              <w:pStyle w:val="76"/>
              <w:rPr>
                <w:color w:val="auto"/>
              </w:rPr>
            </w:pPr>
            <w:r>
              <w:rPr>
                <w:color w:val="auto"/>
              </w:rPr>
              <w:t>表3-</w:t>
            </w:r>
            <w:r>
              <w:rPr>
                <w:rFonts w:hint="eastAsia"/>
                <w:color w:val="auto"/>
                <w:lang w:val="en-US" w:eastAsia="zh-CN"/>
              </w:rPr>
              <w:t>10</w:t>
            </w:r>
            <w:r>
              <w:rPr>
                <w:color w:val="auto"/>
              </w:rPr>
              <w:t xml:space="preserve"> 本项目污染物排放情况</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1"/>
              <w:gridCol w:w="2813"/>
              <w:gridCol w:w="2040"/>
              <w:gridCol w:w="2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2419" w:type="pct"/>
                  <w:gridSpan w:val="2"/>
                  <w:vAlign w:val="center"/>
                </w:tcPr>
                <w:p>
                  <w:pPr>
                    <w:pStyle w:val="52"/>
                    <w:rPr>
                      <w:rFonts w:cs="Times New Roman"/>
                      <w:b/>
                      <w:bCs/>
                      <w:color w:val="auto"/>
                      <w:szCs w:val="21"/>
                    </w:rPr>
                  </w:pPr>
                  <w:r>
                    <w:rPr>
                      <w:rFonts w:cs="Times New Roman"/>
                      <w:b/>
                      <w:bCs/>
                      <w:color w:val="auto"/>
                      <w:szCs w:val="21"/>
                    </w:rPr>
                    <w:t>污染物名称</w:t>
                  </w:r>
                </w:p>
              </w:tc>
              <w:tc>
                <w:tcPr>
                  <w:tcW w:w="1290" w:type="pct"/>
                  <w:vAlign w:val="center"/>
                </w:tcPr>
                <w:p>
                  <w:pPr>
                    <w:pStyle w:val="52"/>
                    <w:rPr>
                      <w:rFonts w:cs="Times New Roman"/>
                      <w:b/>
                      <w:bCs/>
                      <w:color w:val="auto"/>
                      <w:szCs w:val="21"/>
                    </w:rPr>
                  </w:pPr>
                  <w:r>
                    <w:rPr>
                      <w:rFonts w:cs="Times New Roman"/>
                      <w:b/>
                      <w:bCs/>
                      <w:color w:val="auto"/>
                      <w:szCs w:val="21"/>
                    </w:rPr>
                    <w:t>预测排放量（t/a）</w:t>
                  </w:r>
                </w:p>
              </w:tc>
              <w:tc>
                <w:tcPr>
                  <w:tcW w:w="1290" w:type="pct"/>
                  <w:vAlign w:val="center"/>
                </w:tcPr>
                <w:p>
                  <w:pPr>
                    <w:pStyle w:val="52"/>
                    <w:rPr>
                      <w:rFonts w:cs="Times New Roman"/>
                      <w:b/>
                      <w:bCs/>
                      <w:color w:val="auto"/>
                      <w:szCs w:val="21"/>
                    </w:rPr>
                  </w:pPr>
                  <w:r>
                    <w:rPr>
                      <w:rFonts w:cs="Times New Roman"/>
                      <w:b/>
                      <w:bCs/>
                      <w:color w:val="auto"/>
                      <w:szCs w:val="21"/>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40" w:type="pct"/>
                  <w:vMerge w:val="restart"/>
                  <w:vAlign w:val="center"/>
                </w:tcPr>
                <w:p>
                  <w:pPr>
                    <w:pStyle w:val="52"/>
                    <w:rPr>
                      <w:rFonts w:cs="Times New Roman"/>
                      <w:color w:val="auto"/>
                      <w:szCs w:val="21"/>
                    </w:rPr>
                  </w:pPr>
                  <w:r>
                    <w:rPr>
                      <w:rFonts w:cs="Times New Roman"/>
                      <w:color w:val="auto"/>
                      <w:szCs w:val="21"/>
                    </w:rPr>
                    <w:t>废气</w:t>
                  </w:r>
                </w:p>
              </w:tc>
              <w:tc>
                <w:tcPr>
                  <w:tcW w:w="1778" w:type="pct"/>
                  <w:vAlign w:val="center"/>
                </w:tcPr>
                <w:p>
                  <w:pPr>
                    <w:pStyle w:val="52"/>
                    <w:rPr>
                      <w:rFonts w:cs="Times New Roman"/>
                      <w:color w:val="auto"/>
                      <w:szCs w:val="21"/>
                    </w:rPr>
                  </w:pPr>
                  <w:r>
                    <w:rPr>
                      <w:rFonts w:cs="Times New Roman"/>
                      <w:color w:val="auto"/>
                      <w:szCs w:val="21"/>
                    </w:rPr>
                    <w:t>颗粒物</w:t>
                  </w:r>
                </w:p>
              </w:tc>
              <w:tc>
                <w:tcPr>
                  <w:tcW w:w="1290" w:type="pct"/>
                  <w:vAlign w:val="center"/>
                </w:tcPr>
                <w:p>
                  <w:pPr>
                    <w:jc w:val="center"/>
                    <w:rPr>
                      <w:rFonts w:hint="default" w:eastAsia="宋体"/>
                      <w:color w:val="auto"/>
                      <w:kern w:val="0"/>
                      <w:szCs w:val="21"/>
                      <w:lang w:val="en-US" w:eastAsia="zh-CN"/>
                    </w:rPr>
                  </w:pPr>
                  <w:r>
                    <w:rPr>
                      <w:color w:val="auto"/>
                      <w:kern w:val="0"/>
                      <w:szCs w:val="20"/>
                    </w:rPr>
                    <w:t>0.00</w:t>
                  </w:r>
                  <w:r>
                    <w:rPr>
                      <w:rFonts w:hint="eastAsia"/>
                      <w:color w:val="auto"/>
                      <w:kern w:val="0"/>
                      <w:szCs w:val="20"/>
                      <w:lang w:val="en-US" w:eastAsia="zh-CN"/>
                    </w:rPr>
                    <w:t>01</w:t>
                  </w:r>
                </w:p>
              </w:tc>
              <w:tc>
                <w:tcPr>
                  <w:tcW w:w="2040" w:type="dxa"/>
                  <w:vAlign w:val="center"/>
                </w:tcPr>
                <w:p>
                  <w:pPr>
                    <w:jc w:val="center"/>
                    <w:rPr>
                      <w:rFonts w:hint="eastAsia" w:ascii="Times New Roman" w:hAnsi="Times New Roman" w:eastAsia="宋体" w:cs="Times New Roman"/>
                      <w:color w:val="auto"/>
                      <w:kern w:val="0"/>
                      <w:sz w:val="21"/>
                      <w:szCs w:val="21"/>
                      <w:lang w:val="en-US" w:eastAsia="zh-CN" w:bidi="ar-SA"/>
                    </w:rPr>
                  </w:pPr>
                  <w:r>
                    <w:rPr>
                      <w:color w:val="auto"/>
                      <w:kern w:val="0"/>
                      <w:szCs w:val="20"/>
                    </w:rPr>
                    <w:t>0.00</w:t>
                  </w:r>
                  <w:r>
                    <w:rPr>
                      <w:rFonts w:hint="eastAsia"/>
                      <w:color w:val="auto"/>
                      <w:kern w:val="0"/>
                      <w:szCs w:val="20"/>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40" w:type="pct"/>
                  <w:vMerge w:val="continue"/>
                  <w:vAlign w:val="center"/>
                </w:tcPr>
                <w:p>
                  <w:pPr>
                    <w:pStyle w:val="52"/>
                    <w:rPr>
                      <w:rFonts w:cs="Times New Roman"/>
                      <w:color w:val="auto"/>
                      <w:szCs w:val="21"/>
                    </w:rPr>
                  </w:pPr>
                </w:p>
              </w:tc>
              <w:tc>
                <w:tcPr>
                  <w:tcW w:w="1778" w:type="pct"/>
                  <w:vAlign w:val="center"/>
                </w:tcPr>
                <w:p>
                  <w:pPr>
                    <w:pStyle w:val="52"/>
                    <w:rPr>
                      <w:rFonts w:cs="Times New Roman"/>
                      <w:color w:val="auto"/>
                      <w:szCs w:val="21"/>
                    </w:rPr>
                  </w:pPr>
                  <w:r>
                    <w:rPr>
                      <w:rFonts w:hint="eastAsia" w:cs="Times New Roman"/>
                      <w:color w:val="auto"/>
                      <w:szCs w:val="21"/>
                    </w:rPr>
                    <w:t>V</w:t>
                  </w:r>
                  <w:r>
                    <w:rPr>
                      <w:rFonts w:cs="Times New Roman"/>
                      <w:color w:val="auto"/>
                      <w:szCs w:val="21"/>
                    </w:rPr>
                    <w:t>OCs</w:t>
                  </w:r>
                </w:p>
              </w:tc>
              <w:tc>
                <w:tcPr>
                  <w:tcW w:w="1290" w:type="pct"/>
                  <w:vAlign w:val="center"/>
                </w:tcPr>
                <w:p>
                  <w:pPr>
                    <w:jc w:val="center"/>
                    <w:rPr>
                      <w:rFonts w:hint="default" w:eastAsia="宋体"/>
                      <w:color w:val="auto"/>
                      <w:kern w:val="0"/>
                      <w:szCs w:val="21"/>
                      <w:lang w:val="en-US" w:eastAsia="zh-CN"/>
                    </w:rPr>
                  </w:pPr>
                  <w:r>
                    <w:rPr>
                      <w:color w:val="auto"/>
                      <w:kern w:val="0"/>
                      <w:szCs w:val="20"/>
                    </w:rPr>
                    <w:t>0.</w:t>
                  </w:r>
                  <w:r>
                    <w:rPr>
                      <w:rFonts w:hint="eastAsia"/>
                      <w:color w:val="auto"/>
                      <w:kern w:val="0"/>
                      <w:szCs w:val="20"/>
                      <w:lang w:val="en-US" w:eastAsia="zh-CN"/>
                    </w:rPr>
                    <w:t>12</w:t>
                  </w:r>
                </w:p>
              </w:tc>
              <w:tc>
                <w:tcPr>
                  <w:tcW w:w="2040" w:type="dxa"/>
                  <w:vAlign w:val="center"/>
                </w:tcPr>
                <w:p>
                  <w:pPr>
                    <w:jc w:val="center"/>
                    <w:rPr>
                      <w:rFonts w:hint="default" w:ascii="Times New Roman" w:hAnsi="Times New Roman" w:eastAsia="宋体" w:cs="Times New Roman"/>
                      <w:color w:val="auto"/>
                      <w:kern w:val="0"/>
                      <w:sz w:val="21"/>
                      <w:szCs w:val="21"/>
                      <w:lang w:val="en-US" w:eastAsia="zh-CN" w:bidi="ar-SA"/>
                    </w:rPr>
                  </w:pPr>
                  <w:r>
                    <w:rPr>
                      <w:color w:val="auto"/>
                      <w:kern w:val="0"/>
                      <w:szCs w:val="20"/>
                    </w:rPr>
                    <w:t>0.</w:t>
                  </w:r>
                  <w:r>
                    <w:rPr>
                      <w:rFonts w:hint="eastAsia"/>
                      <w:color w:val="auto"/>
                      <w:kern w:val="0"/>
                      <w:szCs w:val="20"/>
                      <w:lang w:val="en-US" w:eastAsia="zh-CN"/>
                    </w:rPr>
                    <w:t>12</w:t>
                  </w:r>
                </w:p>
              </w:tc>
            </w:tr>
          </w:tbl>
          <w:p>
            <w:pPr>
              <w:pStyle w:val="80"/>
              <w:rPr>
                <w:b/>
                <w:bCs/>
                <w:color w:val="auto"/>
              </w:rPr>
            </w:pPr>
          </w:p>
        </w:tc>
      </w:tr>
    </w:tbl>
    <w:p>
      <w:pPr>
        <w:pStyle w:val="17"/>
        <w:jc w:val="center"/>
        <w:outlineLvl w:val="0"/>
        <w:rPr>
          <w:rFonts w:ascii="Times New Roman" w:hAnsi="Times New Roman"/>
          <w:snapToGrid w:val="0"/>
          <w:color w:val="auto"/>
          <w:sz w:val="36"/>
          <w:szCs w:val="36"/>
        </w:rPr>
        <w:sectPr>
          <w:pgSz w:w="11907" w:h="16840"/>
          <w:pgMar w:top="1440" w:right="1800" w:bottom="1440" w:left="1800" w:header="851" w:footer="851" w:gutter="0"/>
          <w:cols w:space="720" w:num="1"/>
          <w:docGrid w:linePitch="312" w:charSpace="0"/>
        </w:sectPr>
      </w:pPr>
    </w:p>
    <w:p>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11" w:name="_Toc22442"/>
      <w:r>
        <w:rPr>
          <w:rFonts w:ascii="Times New Roman" w:hAnsi="Times New Roman"/>
          <w:b/>
          <w:bCs/>
          <w:snapToGrid w:val="0"/>
          <w:color w:val="auto"/>
          <w:sz w:val="30"/>
          <w:szCs w:val="30"/>
        </w:rPr>
        <w:t>四、主要环境影响和保护措施</w:t>
      </w:r>
      <w:bookmarkEnd w:id="11"/>
    </w:p>
    <w:tbl>
      <w:tblPr>
        <w:tblStyle w:val="21"/>
        <w:tblW w:w="8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8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4" w:hRule="atLeast"/>
          <w:jc w:val="center"/>
        </w:trPr>
        <w:tc>
          <w:tcPr>
            <w:tcW w:w="752" w:type="dxa"/>
            <w:vAlign w:val="center"/>
          </w:tcPr>
          <w:p>
            <w:pPr>
              <w:pStyle w:val="17"/>
              <w:jc w:val="center"/>
              <w:rPr>
                <w:rFonts w:ascii="Times New Roman" w:hAnsi="Times New Roman"/>
                <w:snapToGrid w:val="0"/>
                <w:color w:val="auto"/>
                <w:sz w:val="36"/>
                <w:szCs w:val="36"/>
              </w:rPr>
            </w:pPr>
            <w:r>
              <w:rPr>
                <w:rFonts w:ascii="Times New Roman" w:hAnsi="Times New Roman"/>
                <w:b/>
                <w:bCs/>
                <w:color w:val="auto"/>
              </w:rPr>
              <w:t>施工期环境保护措施</w:t>
            </w:r>
          </w:p>
        </w:tc>
        <w:tc>
          <w:tcPr>
            <w:tcW w:w="8116" w:type="dxa"/>
            <w:vAlign w:val="center"/>
          </w:tcPr>
          <w:p>
            <w:pPr>
              <w:pStyle w:val="75"/>
              <w:rPr>
                <w:snapToGrid w:val="0"/>
                <w:color w:val="auto"/>
                <w:sz w:val="36"/>
                <w:szCs w:val="36"/>
              </w:rPr>
            </w:pPr>
            <w:r>
              <w:rPr>
                <w:color w:val="auto"/>
              </w:rPr>
              <w:t>本项目利用现有厂房及建筑进行建设，施工期主要</w:t>
            </w:r>
            <w:r>
              <w:rPr>
                <w:rFonts w:hint="eastAsia"/>
                <w:color w:val="auto"/>
                <w:lang w:eastAsia="zh-CN"/>
              </w:rPr>
              <w:t>为</w:t>
            </w:r>
            <w:r>
              <w:rPr>
                <w:rFonts w:hint="eastAsia"/>
                <w:color w:val="auto"/>
              </w:rPr>
              <w:t>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752" w:type="dxa"/>
            <w:vAlign w:val="center"/>
          </w:tcPr>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措施</w:t>
            </w:r>
          </w:p>
        </w:tc>
        <w:tc>
          <w:tcPr>
            <w:tcW w:w="8116" w:type="dxa"/>
            <w:vAlign w:val="center"/>
          </w:tcPr>
          <w:p>
            <w:pPr>
              <w:pStyle w:val="82"/>
              <w:rPr>
                <w:color w:val="auto"/>
              </w:rPr>
            </w:pPr>
            <w:r>
              <w:rPr>
                <w:color w:val="auto"/>
              </w:rPr>
              <w:t>一、废气环境影响和保护措施</w:t>
            </w:r>
          </w:p>
          <w:p>
            <w:pPr>
              <w:pStyle w:val="75"/>
              <w:rPr>
                <w:rFonts w:hint="eastAsia" w:eastAsia="宋体"/>
                <w:color w:val="auto"/>
                <w:lang w:val="en-US" w:eastAsia="zh-CN"/>
              </w:rPr>
            </w:pPr>
            <w:r>
              <w:rPr>
                <w:color w:val="auto"/>
              </w:rPr>
              <w:t>（一）</w:t>
            </w:r>
            <w:r>
              <w:rPr>
                <w:rFonts w:hint="eastAsia"/>
                <w:color w:val="auto"/>
              </w:rPr>
              <w:t>废气污染源源强核算</w:t>
            </w:r>
            <w:r>
              <w:rPr>
                <w:rFonts w:hint="eastAsia"/>
                <w:color w:val="auto"/>
                <w:lang w:val="en-US" w:eastAsia="zh-CN"/>
              </w:rPr>
              <w:t>一览表</w:t>
            </w:r>
          </w:p>
          <w:p>
            <w:pPr>
              <w:pStyle w:val="75"/>
              <w:rPr>
                <w:color w:val="auto"/>
              </w:rPr>
            </w:pPr>
            <w:r>
              <w:rPr>
                <w:color w:val="auto"/>
              </w:rPr>
              <w:t>项目废气污染源源强核算结果及相关参数一览表见下表4-1。</w:t>
            </w:r>
          </w:p>
        </w:tc>
      </w:tr>
    </w:tbl>
    <w:p>
      <w:pPr>
        <w:pStyle w:val="17"/>
        <w:adjustRightInd w:val="0"/>
        <w:snapToGrid w:val="0"/>
        <w:jc w:val="center"/>
        <w:rPr>
          <w:rFonts w:ascii="Times New Roman" w:hAnsi="Times New Roman"/>
          <w:snapToGrid w:val="0"/>
          <w:color w:val="auto"/>
          <w:sz w:val="36"/>
          <w:szCs w:val="36"/>
        </w:rPr>
        <w:sectPr>
          <w:pgSz w:w="11907" w:h="16840"/>
          <w:pgMar w:top="1440" w:right="1800" w:bottom="1440" w:left="1800" w:header="851" w:footer="851" w:gutter="0"/>
          <w:cols w:space="720" w:num="1"/>
          <w:docGrid w:linePitch="312" w:charSpace="0"/>
        </w:sectPr>
      </w:pP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3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2" w:hRule="atLeast"/>
          <w:jc w:val="center"/>
        </w:trPr>
        <w:tc>
          <w:tcPr>
            <w:tcW w:w="704" w:type="dxa"/>
            <w:vAlign w:val="center"/>
          </w:tcPr>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pPr>
              <w:pStyle w:val="17"/>
              <w:adjustRightInd w:val="0"/>
              <w:snapToGrid w:val="0"/>
              <w:spacing w:before="0" w:beforeAutospacing="0" w:after="0" w:afterAutospacing="0"/>
              <w:jc w:val="center"/>
              <w:rPr>
                <w:rFonts w:ascii="Times New Roman" w:hAnsi="Times New Roman"/>
                <w:snapToGrid w:val="0"/>
                <w:color w:val="auto"/>
                <w:sz w:val="36"/>
                <w:szCs w:val="36"/>
              </w:rPr>
            </w:pPr>
            <w:r>
              <w:rPr>
                <w:rFonts w:ascii="Times New Roman" w:hAnsi="Times New Roman"/>
                <w:b/>
                <w:bCs/>
                <w:color w:val="auto"/>
              </w:rPr>
              <w:t>措施</w:t>
            </w:r>
          </w:p>
        </w:tc>
        <w:tc>
          <w:tcPr>
            <w:tcW w:w="8164" w:type="dxa"/>
            <w:vAlign w:val="center"/>
          </w:tcPr>
          <w:p>
            <w:pPr>
              <w:pStyle w:val="76"/>
              <w:rPr>
                <w:color w:val="auto"/>
              </w:rPr>
            </w:pPr>
            <w:r>
              <w:rPr>
                <w:color w:val="auto"/>
              </w:rPr>
              <w:t>表4-1废气污染源源强核算结果及相关参数一览表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438"/>
              <w:gridCol w:w="930"/>
              <w:gridCol w:w="776"/>
              <w:gridCol w:w="537"/>
              <w:gridCol w:w="1031"/>
              <w:gridCol w:w="1195"/>
              <w:gridCol w:w="1010"/>
              <w:gridCol w:w="1525"/>
              <w:gridCol w:w="725"/>
              <w:gridCol w:w="585"/>
              <w:gridCol w:w="1031"/>
              <w:gridCol w:w="1196"/>
              <w:gridCol w:w="1075"/>
              <w:gridCol w:w="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restart"/>
                  <w:shd w:val="clear" w:color="auto" w:fill="auto"/>
                  <w:vAlign w:val="center"/>
                </w:tcPr>
                <w:p>
                  <w:pPr>
                    <w:pStyle w:val="78"/>
                    <w:rPr>
                      <w:color w:val="auto"/>
                    </w:rPr>
                  </w:pPr>
                  <w:r>
                    <w:rPr>
                      <w:color w:val="auto"/>
                    </w:rPr>
                    <w:t>工序/生产线</w:t>
                  </w:r>
                </w:p>
              </w:tc>
              <w:tc>
                <w:tcPr>
                  <w:tcW w:w="438" w:type="dxa"/>
                  <w:vMerge w:val="restart"/>
                  <w:shd w:val="clear" w:color="auto" w:fill="auto"/>
                  <w:vAlign w:val="center"/>
                </w:tcPr>
                <w:p>
                  <w:pPr>
                    <w:pStyle w:val="78"/>
                    <w:rPr>
                      <w:color w:val="auto"/>
                    </w:rPr>
                  </w:pPr>
                  <w:r>
                    <w:rPr>
                      <w:color w:val="auto"/>
                    </w:rPr>
                    <w:t>装置</w:t>
                  </w:r>
                </w:p>
              </w:tc>
              <w:tc>
                <w:tcPr>
                  <w:tcW w:w="930" w:type="dxa"/>
                  <w:vMerge w:val="restart"/>
                  <w:shd w:val="clear" w:color="auto" w:fill="auto"/>
                  <w:vAlign w:val="center"/>
                </w:tcPr>
                <w:p>
                  <w:pPr>
                    <w:pStyle w:val="78"/>
                    <w:rPr>
                      <w:color w:val="auto"/>
                    </w:rPr>
                  </w:pPr>
                  <w:r>
                    <w:rPr>
                      <w:color w:val="auto"/>
                    </w:rPr>
                    <w:t>污染源</w:t>
                  </w:r>
                </w:p>
              </w:tc>
              <w:tc>
                <w:tcPr>
                  <w:tcW w:w="776" w:type="dxa"/>
                  <w:vMerge w:val="restart"/>
                  <w:shd w:val="clear" w:color="auto" w:fill="auto"/>
                  <w:vAlign w:val="center"/>
                </w:tcPr>
                <w:p>
                  <w:pPr>
                    <w:pStyle w:val="78"/>
                    <w:rPr>
                      <w:color w:val="auto"/>
                    </w:rPr>
                  </w:pPr>
                  <w:r>
                    <w:rPr>
                      <w:color w:val="auto"/>
                    </w:rPr>
                    <w:t>污染物</w:t>
                  </w:r>
                </w:p>
              </w:tc>
              <w:tc>
                <w:tcPr>
                  <w:tcW w:w="3604" w:type="dxa"/>
                  <w:gridSpan w:val="4"/>
                  <w:shd w:val="clear" w:color="auto" w:fill="auto"/>
                  <w:vAlign w:val="center"/>
                </w:tcPr>
                <w:p>
                  <w:pPr>
                    <w:pStyle w:val="78"/>
                    <w:rPr>
                      <w:color w:val="auto"/>
                    </w:rPr>
                  </w:pPr>
                  <w:r>
                    <w:rPr>
                      <w:color w:val="auto"/>
                    </w:rPr>
                    <w:t>污染物产生</w:t>
                  </w:r>
                </w:p>
              </w:tc>
              <w:tc>
                <w:tcPr>
                  <w:tcW w:w="2250" w:type="dxa"/>
                  <w:gridSpan w:val="2"/>
                  <w:shd w:val="clear" w:color="auto" w:fill="auto"/>
                  <w:vAlign w:val="center"/>
                </w:tcPr>
                <w:p>
                  <w:pPr>
                    <w:pStyle w:val="78"/>
                    <w:rPr>
                      <w:color w:val="auto"/>
                    </w:rPr>
                  </w:pPr>
                  <w:r>
                    <w:rPr>
                      <w:color w:val="auto"/>
                    </w:rPr>
                    <w:t>治理措施</w:t>
                  </w:r>
                </w:p>
              </w:tc>
              <w:tc>
                <w:tcPr>
                  <w:tcW w:w="3828" w:type="dxa"/>
                  <w:gridSpan w:val="4"/>
                  <w:shd w:val="clear" w:color="auto" w:fill="auto"/>
                  <w:vAlign w:val="center"/>
                </w:tcPr>
                <w:p>
                  <w:pPr>
                    <w:pStyle w:val="78"/>
                    <w:rPr>
                      <w:color w:val="auto"/>
                    </w:rPr>
                  </w:pPr>
                  <w:r>
                    <w:rPr>
                      <w:color w:val="auto"/>
                    </w:rPr>
                    <w:t>污染物排放</w:t>
                  </w:r>
                </w:p>
              </w:tc>
              <w:tc>
                <w:tcPr>
                  <w:tcW w:w="618" w:type="dxa"/>
                  <w:vMerge w:val="restart"/>
                  <w:shd w:val="clear" w:color="auto" w:fill="auto"/>
                  <w:vAlign w:val="center"/>
                </w:tcPr>
                <w:p>
                  <w:pPr>
                    <w:pStyle w:val="78"/>
                    <w:rPr>
                      <w:color w:val="auto"/>
                    </w:rPr>
                  </w:pPr>
                  <w:r>
                    <w:rPr>
                      <w:color w:val="auto"/>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pPr>
                    <w:pStyle w:val="78"/>
                    <w:rPr>
                      <w:color w:val="auto"/>
                    </w:rPr>
                  </w:pPr>
                </w:p>
              </w:tc>
              <w:tc>
                <w:tcPr>
                  <w:tcW w:w="438" w:type="dxa"/>
                  <w:vMerge w:val="continue"/>
                  <w:vAlign w:val="center"/>
                </w:tcPr>
                <w:p>
                  <w:pPr>
                    <w:pStyle w:val="78"/>
                    <w:rPr>
                      <w:color w:val="auto"/>
                    </w:rPr>
                  </w:pPr>
                </w:p>
              </w:tc>
              <w:tc>
                <w:tcPr>
                  <w:tcW w:w="930" w:type="dxa"/>
                  <w:vMerge w:val="continue"/>
                  <w:vAlign w:val="center"/>
                </w:tcPr>
                <w:p>
                  <w:pPr>
                    <w:pStyle w:val="78"/>
                    <w:rPr>
                      <w:color w:val="auto"/>
                    </w:rPr>
                  </w:pPr>
                </w:p>
              </w:tc>
              <w:tc>
                <w:tcPr>
                  <w:tcW w:w="776" w:type="dxa"/>
                  <w:vMerge w:val="continue"/>
                  <w:vAlign w:val="center"/>
                </w:tcPr>
                <w:p>
                  <w:pPr>
                    <w:pStyle w:val="78"/>
                    <w:rPr>
                      <w:color w:val="auto"/>
                    </w:rPr>
                  </w:pPr>
                </w:p>
              </w:tc>
              <w:tc>
                <w:tcPr>
                  <w:tcW w:w="537" w:type="dxa"/>
                  <w:vMerge w:val="restart"/>
                  <w:shd w:val="clear" w:color="auto" w:fill="auto"/>
                  <w:vAlign w:val="center"/>
                </w:tcPr>
                <w:p>
                  <w:pPr>
                    <w:pStyle w:val="78"/>
                    <w:rPr>
                      <w:color w:val="auto"/>
                    </w:rPr>
                  </w:pPr>
                  <w:r>
                    <w:rPr>
                      <w:color w:val="auto"/>
                    </w:rPr>
                    <w:t>核算方法</w:t>
                  </w:r>
                </w:p>
              </w:tc>
              <w:tc>
                <w:tcPr>
                  <w:tcW w:w="980" w:type="dxa"/>
                  <w:vMerge w:val="restart"/>
                  <w:shd w:val="clear" w:color="auto" w:fill="auto"/>
                  <w:vAlign w:val="center"/>
                </w:tcPr>
                <w:p>
                  <w:pPr>
                    <w:pStyle w:val="78"/>
                    <w:rPr>
                      <w:color w:val="auto"/>
                    </w:rPr>
                  </w:pPr>
                  <w:r>
                    <w:rPr>
                      <w:color w:val="auto"/>
                    </w:rPr>
                    <w:t>烟气量/（m</w:t>
                  </w:r>
                  <w:r>
                    <w:rPr>
                      <w:color w:val="auto"/>
                      <w:vertAlign w:val="superscript"/>
                    </w:rPr>
                    <w:t>3</w:t>
                  </w:r>
                  <w:r>
                    <w:rPr>
                      <w:color w:val="auto"/>
                    </w:rPr>
                    <w:t>/h）</w:t>
                  </w:r>
                </w:p>
              </w:tc>
              <w:tc>
                <w:tcPr>
                  <w:tcW w:w="1129" w:type="dxa"/>
                  <w:vMerge w:val="restart"/>
                  <w:shd w:val="clear" w:color="auto" w:fill="auto"/>
                  <w:vAlign w:val="center"/>
                </w:tcPr>
                <w:p>
                  <w:pPr>
                    <w:pStyle w:val="78"/>
                    <w:rPr>
                      <w:color w:val="auto"/>
                    </w:rPr>
                  </w:pPr>
                  <w:r>
                    <w:rPr>
                      <w:color w:val="auto"/>
                    </w:rPr>
                    <w:t>质量浓度/（mg/m</w:t>
                  </w:r>
                  <w:r>
                    <w:rPr>
                      <w:color w:val="auto"/>
                      <w:vertAlign w:val="superscript"/>
                    </w:rPr>
                    <w:t>3</w:t>
                  </w:r>
                  <w:r>
                    <w:rPr>
                      <w:color w:val="auto"/>
                    </w:rPr>
                    <w:t>）</w:t>
                  </w:r>
                </w:p>
              </w:tc>
              <w:tc>
                <w:tcPr>
                  <w:tcW w:w="958" w:type="dxa"/>
                  <w:vMerge w:val="restart"/>
                  <w:shd w:val="clear" w:color="auto" w:fill="auto"/>
                  <w:vAlign w:val="center"/>
                </w:tcPr>
                <w:p>
                  <w:pPr>
                    <w:pStyle w:val="78"/>
                    <w:rPr>
                      <w:color w:val="auto"/>
                    </w:rPr>
                  </w:pPr>
                  <w:r>
                    <w:rPr>
                      <w:color w:val="auto"/>
                    </w:rPr>
                    <w:t>产生量/（kg/h）</w:t>
                  </w:r>
                </w:p>
              </w:tc>
              <w:tc>
                <w:tcPr>
                  <w:tcW w:w="1525" w:type="dxa"/>
                  <w:vMerge w:val="restart"/>
                  <w:shd w:val="clear" w:color="auto" w:fill="auto"/>
                  <w:vAlign w:val="center"/>
                </w:tcPr>
                <w:p>
                  <w:pPr>
                    <w:pStyle w:val="78"/>
                    <w:rPr>
                      <w:color w:val="auto"/>
                    </w:rPr>
                  </w:pPr>
                  <w:r>
                    <w:rPr>
                      <w:color w:val="auto"/>
                    </w:rPr>
                    <w:t>工艺</w:t>
                  </w:r>
                </w:p>
              </w:tc>
              <w:tc>
                <w:tcPr>
                  <w:tcW w:w="725" w:type="dxa"/>
                  <w:vMerge w:val="restart"/>
                  <w:shd w:val="clear" w:color="auto" w:fill="auto"/>
                  <w:vAlign w:val="center"/>
                </w:tcPr>
                <w:p>
                  <w:pPr>
                    <w:pStyle w:val="78"/>
                    <w:rPr>
                      <w:color w:val="auto"/>
                    </w:rPr>
                  </w:pPr>
                  <w:r>
                    <w:rPr>
                      <w:color w:val="auto"/>
                    </w:rPr>
                    <w:t>效率%</w:t>
                  </w:r>
                </w:p>
              </w:tc>
              <w:tc>
                <w:tcPr>
                  <w:tcW w:w="585" w:type="dxa"/>
                  <w:vMerge w:val="restart"/>
                  <w:shd w:val="clear" w:color="auto" w:fill="auto"/>
                  <w:vAlign w:val="center"/>
                </w:tcPr>
                <w:p>
                  <w:pPr>
                    <w:pStyle w:val="78"/>
                    <w:rPr>
                      <w:color w:val="auto"/>
                    </w:rPr>
                  </w:pPr>
                  <w:r>
                    <w:rPr>
                      <w:color w:val="auto"/>
                    </w:rPr>
                    <w:t>核算</w:t>
                  </w:r>
                </w:p>
                <w:p>
                  <w:pPr>
                    <w:pStyle w:val="78"/>
                    <w:rPr>
                      <w:color w:val="auto"/>
                    </w:rPr>
                  </w:pPr>
                  <w:r>
                    <w:rPr>
                      <w:color w:val="auto"/>
                    </w:rPr>
                    <w:t>方法</w:t>
                  </w:r>
                </w:p>
              </w:tc>
              <w:tc>
                <w:tcPr>
                  <w:tcW w:w="980" w:type="dxa"/>
                  <w:vMerge w:val="restart"/>
                  <w:shd w:val="clear" w:color="auto" w:fill="auto"/>
                  <w:vAlign w:val="center"/>
                </w:tcPr>
                <w:p>
                  <w:pPr>
                    <w:pStyle w:val="78"/>
                    <w:rPr>
                      <w:color w:val="auto"/>
                    </w:rPr>
                  </w:pPr>
                  <w:r>
                    <w:rPr>
                      <w:color w:val="auto"/>
                    </w:rPr>
                    <w:t>烟气量/（m</w:t>
                  </w:r>
                  <w:r>
                    <w:rPr>
                      <w:color w:val="auto"/>
                      <w:vertAlign w:val="superscript"/>
                    </w:rPr>
                    <w:t>3</w:t>
                  </w:r>
                  <w:r>
                    <w:rPr>
                      <w:color w:val="auto"/>
                    </w:rPr>
                    <w:t>/h）</w:t>
                  </w:r>
                </w:p>
              </w:tc>
              <w:tc>
                <w:tcPr>
                  <w:tcW w:w="1189" w:type="dxa"/>
                  <w:vMerge w:val="restart"/>
                  <w:shd w:val="clear" w:color="auto" w:fill="auto"/>
                  <w:vAlign w:val="center"/>
                </w:tcPr>
                <w:p>
                  <w:pPr>
                    <w:pStyle w:val="78"/>
                    <w:rPr>
                      <w:color w:val="auto"/>
                    </w:rPr>
                  </w:pPr>
                  <w:r>
                    <w:rPr>
                      <w:color w:val="auto"/>
                    </w:rPr>
                    <w:t>质量浓度/（mg/m</w:t>
                  </w:r>
                  <w:r>
                    <w:rPr>
                      <w:color w:val="auto"/>
                      <w:vertAlign w:val="superscript"/>
                    </w:rPr>
                    <w:t>3</w:t>
                  </w:r>
                  <w:r>
                    <w:rPr>
                      <w:color w:val="auto"/>
                    </w:rPr>
                    <w:t>）</w:t>
                  </w:r>
                </w:p>
              </w:tc>
              <w:tc>
                <w:tcPr>
                  <w:tcW w:w="1074" w:type="dxa"/>
                  <w:vMerge w:val="restart"/>
                  <w:shd w:val="clear" w:color="auto" w:fill="auto"/>
                  <w:vAlign w:val="center"/>
                </w:tcPr>
                <w:p>
                  <w:pPr>
                    <w:pStyle w:val="78"/>
                    <w:rPr>
                      <w:color w:val="auto"/>
                    </w:rPr>
                  </w:pPr>
                  <w:r>
                    <w:rPr>
                      <w:color w:val="auto"/>
                    </w:rPr>
                    <w:t>排放量/（kg/h）</w:t>
                  </w:r>
                </w:p>
              </w:tc>
              <w:tc>
                <w:tcPr>
                  <w:tcW w:w="618" w:type="dxa"/>
                  <w:vMerge w:val="continue"/>
                  <w:vAlign w:val="center"/>
                </w:tcPr>
                <w:p>
                  <w:pPr>
                    <w:pStyle w:val="78"/>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pPr>
                    <w:pStyle w:val="78"/>
                    <w:rPr>
                      <w:color w:val="auto"/>
                    </w:rPr>
                  </w:pPr>
                </w:p>
              </w:tc>
              <w:tc>
                <w:tcPr>
                  <w:tcW w:w="438" w:type="dxa"/>
                  <w:vMerge w:val="continue"/>
                  <w:vAlign w:val="center"/>
                </w:tcPr>
                <w:p>
                  <w:pPr>
                    <w:pStyle w:val="78"/>
                    <w:rPr>
                      <w:color w:val="auto"/>
                    </w:rPr>
                  </w:pPr>
                </w:p>
              </w:tc>
              <w:tc>
                <w:tcPr>
                  <w:tcW w:w="930" w:type="dxa"/>
                  <w:vMerge w:val="continue"/>
                  <w:vAlign w:val="center"/>
                </w:tcPr>
                <w:p>
                  <w:pPr>
                    <w:pStyle w:val="78"/>
                    <w:rPr>
                      <w:color w:val="auto"/>
                    </w:rPr>
                  </w:pPr>
                </w:p>
              </w:tc>
              <w:tc>
                <w:tcPr>
                  <w:tcW w:w="776" w:type="dxa"/>
                  <w:vMerge w:val="continue"/>
                  <w:vAlign w:val="center"/>
                </w:tcPr>
                <w:p>
                  <w:pPr>
                    <w:pStyle w:val="78"/>
                    <w:rPr>
                      <w:color w:val="auto"/>
                    </w:rPr>
                  </w:pPr>
                </w:p>
              </w:tc>
              <w:tc>
                <w:tcPr>
                  <w:tcW w:w="537" w:type="dxa"/>
                  <w:vMerge w:val="continue"/>
                  <w:vAlign w:val="center"/>
                </w:tcPr>
                <w:p>
                  <w:pPr>
                    <w:pStyle w:val="78"/>
                    <w:rPr>
                      <w:color w:val="auto"/>
                    </w:rPr>
                  </w:pPr>
                </w:p>
              </w:tc>
              <w:tc>
                <w:tcPr>
                  <w:tcW w:w="980" w:type="dxa"/>
                  <w:vMerge w:val="continue"/>
                  <w:vAlign w:val="center"/>
                </w:tcPr>
                <w:p>
                  <w:pPr>
                    <w:pStyle w:val="78"/>
                    <w:rPr>
                      <w:color w:val="auto"/>
                    </w:rPr>
                  </w:pPr>
                </w:p>
              </w:tc>
              <w:tc>
                <w:tcPr>
                  <w:tcW w:w="1129" w:type="dxa"/>
                  <w:vMerge w:val="continue"/>
                  <w:vAlign w:val="center"/>
                </w:tcPr>
                <w:p>
                  <w:pPr>
                    <w:pStyle w:val="78"/>
                    <w:rPr>
                      <w:color w:val="auto"/>
                    </w:rPr>
                  </w:pPr>
                </w:p>
              </w:tc>
              <w:tc>
                <w:tcPr>
                  <w:tcW w:w="958" w:type="dxa"/>
                  <w:vMerge w:val="continue"/>
                  <w:vAlign w:val="center"/>
                </w:tcPr>
                <w:p>
                  <w:pPr>
                    <w:pStyle w:val="78"/>
                    <w:rPr>
                      <w:color w:val="auto"/>
                    </w:rPr>
                  </w:pPr>
                </w:p>
              </w:tc>
              <w:tc>
                <w:tcPr>
                  <w:tcW w:w="1525" w:type="dxa"/>
                  <w:vMerge w:val="continue"/>
                  <w:vAlign w:val="center"/>
                </w:tcPr>
                <w:p>
                  <w:pPr>
                    <w:pStyle w:val="78"/>
                    <w:rPr>
                      <w:color w:val="auto"/>
                    </w:rPr>
                  </w:pPr>
                </w:p>
              </w:tc>
              <w:tc>
                <w:tcPr>
                  <w:tcW w:w="725" w:type="dxa"/>
                  <w:vMerge w:val="continue"/>
                  <w:vAlign w:val="center"/>
                </w:tcPr>
                <w:p>
                  <w:pPr>
                    <w:pStyle w:val="78"/>
                    <w:rPr>
                      <w:color w:val="auto"/>
                    </w:rPr>
                  </w:pPr>
                </w:p>
              </w:tc>
              <w:tc>
                <w:tcPr>
                  <w:tcW w:w="585" w:type="dxa"/>
                  <w:vMerge w:val="continue"/>
                  <w:vAlign w:val="center"/>
                </w:tcPr>
                <w:p>
                  <w:pPr>
                    <w:pStyle w:val="78"/>
                    <w:rPr>
                      <w:color w:val="auto"/>
                    </w:rPr>
                  </w:pPr>
                </w:p>
              </w:tc>
              <w:tc>
                <w:tcPr>
                  <w:tcW w:w="980" w:type="dxa"/>
                  <w:vMerge w:val="continue"/>
                  <w:vAlign w:val="center"/>
                </w:tcPr>
                <w:p>
                  <w:pPr>
                    <w:pStyle w:val="78"/>
                    <w:rPr>
                      <w:color w:val="auto"/>
                    </w:rPr>
                  </w:pPr>
                </w:p>
              </w:tc>
              <w:tc>
                <w:tcPr>
                  <w:tcW w:w="1189" w:type="dxa"/>
                  <w:vMerge w:val="continue"/>
                  <w:vAlign w:val="center"/>
                </w:tcPr>
                <w:p>
                  <w:pPr>
                    <w:pStyle w:val="78"/>
                    <w:rPr>
                      <w:color w:val="auto"/>
                    </w:rPr>
                  </w:pPr>
                </w:p>
              </w:tc>
              <w:tc>
                <w:tcPr>
                  <w:tcW w:w="1074" w:type="dxa"/>
                  <w:vMerge w:val="continue"/>
                  <w:vAlign w:val="center"/>
                </w:tcPr>
                <w:p>
                  <w:pPr>
                    <w:pStyle w:val="78"/>
                    <w:rPr>
                      <w:color w:val="auto"/>
                    </w:rPr>
                  </w:pPr>
                </w:p>
              </w:tc>
              <w:tc>
                <w:tcPr>
                  <w:tcW w:w="618" w:type="dxa"/>
                  <w:vMerge w:val="continue"/>
                  <w:vAlign w:val="center"/>
                </w:tcPr>
                <w:p>
                  <w:pPr>
                    <w:pStyle w:val="78"/>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62" w:type="dxa"/>
                  <w:vMerge w:val="restart"/>
                  <w:shd w:val="clear" w:color="auto" w:fill="auto"/>
                  <w:vAlign w:val="center"/>
                </w:tcPr>
                <w:p>
                  <w:pPr>
                    <w:pStyle w:val="78"/>
                    <w:rPr>
                      <w:color w:val="auto"/>
                    </w:rPr>
                  </w:pPr>
                  <w:r>
                    <w:rPr>
                      <w:rFonts w:hint="eastAsia"/>
                      <w:color w:val="auto"/>
                      <w:lang w:val="en-US" w:eastAsia="zh-CN"/>
                    </w:rPr>
                    <w:t>农机</w:t>
                  </w:r>
                  <w:r>
                    <w:rPr>
                      <w:color w:val="auto"/>
                    </w:rPr>
                    <w:t>拆解生产线</w:t>
                  </w:r>
                </w:p>
              </w:tc>
              <w:tc>
                <w:tcPr>
                  <w:tcW w:w="438" w:type="dxa"/>
                  <w:vMerge w:val="restart"/>
                  <w:shd w:val="clear" w:color="auto" w:fill="auto"/>
                  <w:vAlign w:val="center"/>
                </w:tcPr>
                <w:p>
                  <w:pPr>
                    <w:pStyle w:val="78"/>
                    <w:rPr>
                      <w:color w:val="auto"/>
                    </w:rPr>
                  </w:pPr>
                  <w:r>
                    <w:rPr>
                      <w:color w:val="auto"/>
                    </w:rPr>
                    <w:t>生产车间</w:t>
                  </w:r>
                </w:p>
              </w:tc>
              <w:tc>
                <w:tcPr>
                  <w:tcW w:w="930" w:type="dxa"/>
                  <w:shd w:val="clear" w:color="auto" w:fill="auto"/>
                  <w:vAlign w:val="center"/>
                </w:tcPr>
                <w:p>
                  <w:pPr>
                    <w:pStyle w:val="78"/>
                    <w:rPr>
                      <w:color w:val="auto"/>
                    </w:rPr>
                  </w:pPr>
                  <w:r>
                    <w:rPr>
                      <w:color w:val="auto"/>
                    </w:rPr>
                    <w:t>切割工段粉尘</w:t>
                  </w:r>
                </w:p>
              </w:tc>
              <w:tc>
                <w:tcPr>
                  <w:tcW w:w="776" w:type="dxa"/>
                  <w:shd w:val="clear" w:color="auto" w:fill="auto"/>
                  <w:vAlign w:val="center"/>
                </w:tcPr>
                <w:p>
                  <w:pPr>
                    <w:pStyle w:val="78"/>
                    <w:rPr>
                      <w:color w:val="auto"/>
                    </w:rPr>
                  </w:pPr>
                  <w:r>
                    <w:rPr>
                      <w:color w:val="auto"/>
                    </w:rPr>
                    <w:t>粉尘</w:t>
                  </w:r>
                </w:p>
              </w:tc>
              <w:tc>
                <w:tcPr>
                  <w:tcW w:w="537" w:type="dxa"/>
                  <w:shd w:val="clear" w:color="auto" w:fill="auto"/>
                  <w:vAlign w:val="center"/>
                </w:tcPr>
                <w:p>
                  <w:pPr>
                    <w:pStyle w:val="78"/>
                    <w:rPr>
                      <w:color w:val="auto"/>
                    </w:rPr>
                  </w:pPr>
                  <w:r>
                    <w:rPr>
                      <w:color w:val="auto"/>
                    </w:rPr>
                    <w:t>产污系数法</w:t>
                  </w:r>
                </w:p>
              </w:tc>
              <w:tc>
                <w:tcPr>
                  <w:tcW w:w="980" w:type="dxa"/>
                  <w:shd w:val="clear" w:color="auto" w:fill="auto"/>
                  <w:vAlign w:val="center"/>
                </w:tcPr>
                <w:p>
                  <w:pPr>
                    <w:pStyle w:val="78"/>
                    <w:rPr>
                      <w:color w:val="auto"/>
                    </w:rPr>
                  </w:pPr>
                  <w:r>
                    <w:rPr>
                      <w:color w:val="auto"/>
                    </w:rPr>
                    <w:t>/</w:t>
                  </w:r>
                </w:p>
              </w:tc>
              <w:tc>
                <w:tcPr>
                  <w:tcW w:w="1129" w:type="dxa"/>
                  <w:shd w:val="clear" w:color="auto" w:fill="auto"/>
                  <w:vAlign w:val="center"/>
                </w:tcPr>
                <w:p>
                  <w:pPr>
                    <w:pStyle w:val="78"/>
                    <w:rPr>
                      <w:color w:val="auto"/>
                    </w:rPr>
                  </w:pPr>
                  <w:r>
                    <w:rPr>
                      <w:color w:val="auto"/>
                    </w:rPr>
                    <w:t>/</w:t>
                  </w:r>
                </w:p>
              </w:tc>
              <w:tc>
                <w:tcPr>
                  <w:tcW w:w="958" w:type="dxa"/>
                  <w:shd w:val="clear" w:color="auto" w:fill="auto"/>
                  <w:vAlign w:val="center"/>
                </w:tcPr>
                <w:p>
                  <w:pPr>
                    <w:pStyle w:val="78"/>
                    <w:rPr>
                      <w:color w:val="auto"/>
                    </w:rPr>
                  </w:pPr>
                  <w:r>
                    <w:rPr>
                      <w:rFonts w:hint="eastAsia"/>
                      <w:color w:val="auto"/>
                    </w:rPr>
                    <w:t>0.</w:t>
                  </w:r>
                  <w:r>
                    <w:rPr>
                      <w:rFonts w:hint="eastAsia"/>
                      <w:color w:val="auto"/>
                      <w:lang w:val="en-US" w:eastAsia="zh-CN"/>
                    </w:rPr>
                    <w:t>01</w:t>
                  </w:r>
                  <w:r>
                    <w:rPr>
                      <w:rFonts w:hint="eastAsia"/>
                      <w:color w:val="auto"/>
                    </w:rPr>
                    <w:t xml:space="preserve"> </w:t>
                  </w:r>
                </w:p>
              </w:tc>
              <w:tc>
                <w:tcPr>
                  <w:tcW w:w="1525" w:type="dxa"/>
                  <w:shd w:val="clear" w:color="auto" w:fill="auto"/>
                  <w:vAlign w:val="center"/>
                </w:tcPr>
                <w:p>
                  <w:pPr>
                    <w:pStyle w:val="78"/>
                    <w:jc w:val="both"/>
                    <w:rPr>
                      <w:rFonts w:hint="eastAsia" w:eastAsia="宋体"/>
                      <w:color w:val="auto"/>
                      <w:lang w:eastAsia="zh-CN"/>
                    </w:rPr>
                  </w:pPr>
                  <w:r>
                    <w:rPr>
                      <w:color w:val="auto"/>
                    </w:rPr>
                    <w:t>全封闭拆解车间+</w:t>
                  </w:r>
                  <w:r>
                    <w:rPr>
                      <w:rFonts w:hint="eastAsia"/>
                      <w:color w:val="auto"/>
                      <w:lang w:eastAsia="zh-CN"/>
                    </w:rPr>
                    <w:t>移动式布袋除尘器</w:t>
                  </w:r>
                </w:p>
              </w:tc>
              <w:tc>
                <w:tcPr>
                  <w:tcW w:w="725" w:type="dxa"/>
                  <w:shd w:val="clear" w:color="auto" w:fill="auto"/>
                  <w:vAlign w:val="center"/>
                </w:tcPr>
                <w:p>
                  <w:pPr>
                    <w:pStyle w:val="78"/>
                    <w:rPr>
                      <w:color w:val="auto"/>
                    </w:rPr>
                  </w:pPr>
                  <w:r>
                    <w:rPr>
                      <w:color w:val="auto"/>
                    </w:rPr>
                    <w:t>99</w:t>
                  </w:r>
                </w:p>
              </w:tc>
              <w:tc>
                <w:tcPr>
                  <w:tcW w:w="585" w:type="dxa"/>
                  <w:shd w:val="clear" w:color="auto" w:fill="auto"/>
                  <w:vAlign w:val="center"/>
                </w:tcPr>
                <w:p>
                  <w:pPr>
                    <w:pStyle w:val="78"/>
                    <w:rPr>
                      <w:color w:val="auto"/>
                    </w:rPr>
                  </w:pPr>
                  <w:r>
                    <w:rPr>
                      <w:color w:val="auto"/>
                    </w:rPr>
                    <w:t>产污系数法</w:t>
                  </w:r>
                </w:p>
              </w:tc>
              <w:tc>
                <w:tcPr>
                  <w:tcW w:w="980" w:type="dxa"/>
                  <w:shd w:val="clear" w:color="auto" w:fill="auto"/>
                  <w:vAlign w:val="center"/>
                </w:tcPr>
                <w:p>
                  <w:pPr>
                    <w:pStyle w:val="78"/>
                    <w:rPr>
                      <w:color w:val="auto"/>
                    </w:rPr>
                  </w:pPr>
                  <w:r>
                    <w:rPr>
                      <w:color w:val="auto"/>
                    </w:rPr>
                    <w:t>/</w:t>
                  </w:r>
                </w:p>
              </w:tc>
              <w:tc>
                <w:tcPr>
                  <w:tcW w:w="1189" w:type="dxa"/>
                  <w:shd w:val="clear" w:color="auto" w:fill="auto"/>
                  <w:vAlign w:val="center"/>
                </w:tcPr>
                <w:p>
                  <w:pPr>
                    <w:pStyle w:val="78"/>
                    <w:rPr>
                      <w:color w:val="auto"/>
                    </w:rPr>
                  </w:pPr>
                  <w:r>
                    <w:rPr>
                      <w:color w:val="auto"/>
                    </w:rPr>
                    <w:t>/</w:t>
                  </w:r>
                </w:p>
              </w:tc>
              <w:tc>
                <w:tcPr>
                  <w:tcW w:w="1074" w:type="dxa"/>
                  <w:shd w:val="clear" w:color="auto" w:fill="auto"/>
                  <w:vAlign w:val="center"/>
                </w:tcPr>
                <w:p>
                  <w:pPr>
                    <w:pStyle w:val="78"/>
                    <w:rPr>
                      <w:color w:val="auto"/>
                    </w:rPr>
                  </w:pPr>
                  <w:r>
                    <w:rPr>
                      <w:rFonts w:hint="eastAsia"/>
                      <w:color w:val="auto"/>
                    </w:rPr>
                    <w:t>0.00</w:t>
                  </w:r>
                  <w:r>
                    <w:rPr>
                      <w:rFonts w:hint="eastAsia"/>
                      <w:color w:val="auto"/>
                      <w:lang w:val="en-US" w:eastAsia="zh-CN"/>
                    </w:rPr>
                    <w:t>01</w:t>
                  </w:r>
                  <w:r>
                    <w:rPr>
                      <w:rFonts w:hint="eastAsia"/>
                      <w:color w:val="auto"/>
                    </w:rPr>
                    <w:t xml:space="preserve"> </w:t>
                  </w:r>
                </w:p>
              </w:tc>
              <w:tc>
                <w:tcPr>
                  <w:tcW w:w="618" w:type="dxa"/>
                  <w:shd w:val="clear" w:color="auto" w:fill="auto"/>
                  <w:vAlign w:val="center"/>
                </w:tcPr>
                <w:p>
                  <w:pPr>
                    <w:pStyle w:val="78"/>
                    <w:rPr>
                      <w:rFonts w:hint="default" w:eastAsia="宋体"/>
                      <w:color w:val="auto"/>
                      <w:lang w:val="en-US" w:eastAsia="zh-CN"/>
                    </w:rPr>
                  </w:pPr>
                  <w:r>
                    <w:rPr>
                      <w:rFonts w:hint="eastAsia"/>
                      <w:color w:val="auto"/>
                      <w:lang w:val="en-US" w:eastAsia="zh-CN"/>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62" w:type="dxa"/>
                  <w:vMerge w:val="continue"/>
                  <w:shd w:val="clear" w:color="auto" w:fill="auto"/>
                  <w:vAlign w:val="center"/>
                </w:tcPr>
                <w:p>
                  <w:pPr>
                    <w:pStyle w:val="78"/>
                    <w:rPr>
                      <w:color w:val="auto"/>
                    </w:rPr>
                  </w:pPr>
                </w:p>
              </w:tc>
              <w:tc>
                <w:tcPr>
                  <w:tcW w:w="438" w:type="dxa"/>
                  <w:vMerge w:val="continue"/>
                  <w:shd w:val="clear" w:color="auto" w:fill="auto"/>
                  <w:vAlign w:val="center"/>
                </w:tcPr>
                <w:p>
                  <w:pPr>
                    <w:pStyle w:val="78"/>
                    <w:rPr>
                      <w:color w:val="auto"/>
                    </w:rPr>
                  </w:pPr>
                </w:p>
              </w:tc>
              <w:tc>
                <w:tcPr>
                  <w:tcW w:w="930" w:type="dxa"/>
                  <w:shd w:val="clear" w:color="auto" w:fill="auto"/>
                  <w:vAlign w:val="center"/>
                </w:tcPr>
                <w:p>
                  <w:pPr>
                    <w:pStyle w:val="78"/>
                    <w:rPr>
                      <w:color w:val="auto"/>
                    </w:rPr>
                  </w:pPr>
                  <w:r>
                    <w:rPr>
                      <w:color w:val="auto"/>
                    </w:rPr>
                    <w:t>拆解工段非甲烷总烃</w:t>
                  </w:r>
                </w:p>
              </w:tc>
              <w:tc>
                <w:tcPr>
                  <w:tcW w:w="776" w:type="dxa"/>
                  <w:shd w:val="clear" w:color="auto" w:fill="auto"/>
                  <w:noWrap/>
                  <w:vAlign w:val="center"/>
                </w:tcPr>
                <w:p>
                  <w:pPr>
                    <w:pStyle w:val="78"/>
                    <w:rPr>
                      <w:color w:val="auto"/>
                    </w:rPr>
                  </w:pPr>
                  <w:r>
                    <w:rPr>
                      <w:color w:val="auto"/>
                    </w:rPr>
                    <w:t>非甲烷总烃</w:t>
                  </w:r>
                </w:p>
              </w:tc>
              <w:tc>
                <w:tcPr>
                  <w:tcW w:w="537" w:type="dxa"/>
                  <w:shd w:val="clear" w:color="auto" w:fill="auto"/>
                  <w:vAlign w:val="center"/>
                </w:tcPr>
                <w:p>
                  <w:pPr>
                    <w:pStyle w:val="78"/>
                    <w:rPr>
                      <w:color w:val="auto"/>
                    </w:rPr>
                  </w:pPr>
                  <w:r>
                    <w:rPr>
                      <w:color w:val="auto"/>
                    </w:rPr>
                    <w:t>物料衡算法</w:t>
                  </w:r>
                </w:p>
              </w:tc>
              <w:tc>
                <w:tcPr>
                  <w:tcW w:w="980" w:type="dxa"/>
                  <w:shd w:val="clear" w:color="auto" w:fill="auto"/>
                  <w:noWrap/>
                  <w:vAlign w:val="center"/>
                </w:tcPr>
                <w:p>
                  <w:pPr>
                    <w:pStyle w:val="78"/>
                    <w:rPr>
                      <w:color w:val="auto"/>
                    </w:rPr>
                  </w:pPr>
                  <w:r>
                    <w:rPr>
                      <w:color w:val="auto"/>
                    </w:rPr>
                    <w:t>/</w:t>
                  </w:r>
                </w:p>
              </w:tc>
              <w:tc>
                <w:tcPr>
                  <w:tcW w:w="1129" w:type="dxa"/>
                  <w:shd w:val="clear" w:color="auto" w:fill="auto"/>
                  <w:noWrap/>
                  <w:vAlign w:val="center"/>
                </w:tcPr>
                <w:p>
                  <w:pPr>
                    <w:pStyle w:val="78"/>
                    <w:rPr>
                      <w:color w:val="auto"/>
                    </w:rPr>
                  </w:pPr>
                  <w:r>
                    <w:rPr>
                      <w:color w:val="auto"/>
                    </w:rPr>
                    <w:t>/</w:t>
                  </w:r>
                </w:p>
              </w:tc>
              <w:tc>
                <w:tcPr>
                  <w:tcW w:w="958" w:type="dxa"/>
                  <w:shd w:val="clear" w:color="auto" w:fill="auto"/>
                  <w:noWrap/>
                  <w:vAlign w:val="center"/>
                </w:tcPr>
                <w:p>
                  <w:pPr>
                    <w:pStyle w:val="78"/>
                    <w:rPr>
                      <w:rFonts w:hint="default" w:eastAsia="宋体"/>
                      <w:color w:val="auto"/>
                      <w:lang w:val="en-US" w:eastAsia="zh-CN"/>
                    </w:rPr>
                  </w:pPr>
                  <w:r>
                    <w:rPr>
                      <w:rFonts w:hint="eastAsia"/>
                      <w:color w:val="auto"/>
                      <w:lang w:val="en-US" w:eastAsia="zh-CN"/>
                    </w:rPr>
                    <w:t>0.31</w:t>
                  </w:r>
                </w:p>
              </w:tc>
              <w:tc>
                <w:tcPr>
                  <w:tcW w:w="1525" w:type="dxa"/>
                  <w:shd w:val="clear" w:color="auto" w:fill="auto"/>
                  <w:vAlign w:val="center"/>
                </w:tcPr>
                <w:p>
                  <w:pPr>
                    <w:pStyle w:val="78"/>
                    <w:rPr>
                      <w:color w:val="auto"/>
                    </w:rPr>
                  </w:pPr>
                  <w:r>
                    <w:rPr>
                      <w:rFonts w:hint="eastAsia"/>
                      <w:color w:val="auto"/>
                    </w:rPr>
                    <w:t>集气罩+活性炭吸附装置</w:t>
                  </w:r>
                </w:p>
              </w:tc>
              <w:tc>
                <w:tcPr>
                  <w:tcW w:w="725" w:type="dxa"/>
                  <w:shd w:val="clear" w:color="auto" w:fill="auto"/>
                  <w:noWrap/>
                  <w:vAlign w:val="center"/>
                </w:tcPr>
                <w:p>
                  <w:pPr>
                    <w:pStyle w:val="78"/>
                    <w:rPr>
                      <w:rFonts w:hint="default" w:eastAsia="宋体"/>
                      <w:color w:val="auto"/>
                      <w:lang w:val="en-US" w:eastAsia="zh-CN"/>
                    </w:rPr>
                  </w:pPr>
                  <w:r>
                    <w:rPr>
                      <w:rFonts w:hint="eastAsia"/>
                      <w:color w:val="auto"/>
                      <w:lang w:val="en-US" w:eastAsia="zh-CN"/>
                    </w:rPr>
                    <w:t>集气罩80%/活性炭60%</w:t>
                  </w:r>
                </w:p>
              </w:tc>
              <w:tc>
                <w:tcPr>
                  <w:tcW w:w="585" w:type="dxa"/>
                  <w:shd w:val="clear" w:color="auto" w:fill="auto"/>
                  <w:vAlign w:val="center"/>
                </w:tcPr>
                <w:p>
                  <w:pPr>
                    <w:pStyle w:val="78"/>
                    <w:rPr>
                      <w:color w:val="auto"/>
                    </w:rPr>
                  </w:pPr>
                  <w:r>
                    <w:rPr>
                      <w:color w:val="auto"/>
                    </w:rPr>
                    <w:t>物料衡算法</w:t>
                  </w:r>
                </w:p>
              </w:tc>
              <w:tc>
                <w:tcPr>
                  <w:tcW w:w="980" w:type="dxa"/>
                  <w:shd w:val="clear" w:color="auto" w:fill="auto"/>
                  <w:noWrap/>
                  <w:vAlign w:val="center"/>
                </w:tcPr>
                <w:p>
                  <w:pPr>
                    <w:pStyle w:val="78"/>
                    <w:rPr>
                      <w:color w:val="auto"/>
                    </w:rPr>
                  </w:pPr>
                  <w:r>
                    <w:rPr>
                      <w:color w:val="auto"/>
                    </w:rPr>
                    <w:t>/</w:t>
                  </w:r>
                </w:p>
              </w:tc>
              <w:tc>
                <w:tcPr>
                  <w:tcW w:w="1189" w:type="dxa"/>
                  <w:shd w:val="clear" w:color="auto" w:fill="auto"/>
                  <w:noWrap/>
                  <w:vAlign w:val="center"/>
                </w:tcPr>
                <w:p>
                  <w:pPr>
                    <w:pStyle w:val="78"/>
                    <w:rPr>
                      <w:color w:val="auto"/>
                    </w:rPr>
                  </w:pPr>
                  <w:r>
                    <w:rPr>
                      <w:color w:val="auto"/>
                    </w:rPr>
                    <w:t>/</w:t>
                  </w:r>
                </w:p>
              </w:tc>
              <w:tc>
                <w:tcPr>
                  <w:tcW w:w="1074" w:type="dxa"/>
                  <w:shd w:val="clear" w:color="auto" w:fill="auto"/>
                  <w:noWrap/>
                  <w:vAlign w:val="center"/>
                </w:tcPr>
                <w:p>
                  <w:pPr>
                    <w:pStyle w:val="78"/>
                    <w:rPr>
                      <w:color w:val="auto"/>
                    </w:rPr>
                  </w:pPr>
                  <w:r>
                    <w:rPr>
                      <w:rFonts w:hint="eastAsia"/>
                      <w:color w:val="auto"/>
                    </w:rPr>
                    <w:t>0.1</w:t>
                  </w:r>
                  <w:r>
                    <w:rPr>
                      <w:rFonts w:hint="eastAsia"/>
                      <w:color w:val="auto"/>
                      <w:lang w:val="en-US" w:eastAsia="zh-CN"/>
                    </w:rPr>
                    <w:t>2</w:t>
                  </w:r>
                  <w:r>
                    <w:rPr>
                      <w:rFonts w:hint="eastAsia"/>
                      <w:color w:val="auto"/>
                    </w:rPr>
                    <w:t xml:space="preserve"> </w:t>
                  </w:r>
                </w:p>
              </w:tc>
              <w:tc>
                <w:tcPr>
                  <w:tcW w:w="618" w:type="dxa"/>
                  <w:shd w:val="clear" w:color="auto" w:fill="auto"/>
                  <w:vAlign w:val="center"/>
                </w:tcPr>
                <w:p>
                  <w:pPr>
                    <w:pStyle w:val="78"/>
                    <w:rPr>
                      <w:rFonts w:hint="default"/>
                      <w:color w:val="auto"/>
                      <w:lang w:val="en-US"/>
                    </w:rPr>
                  </w:pPr>
                  <w:r>
                    <w:rPr>
                      <w:rFonts w:hint="eastAsia"/>
                      <w:color w:val="auto"/>
                      <w:lang w:val="en-US" w:eastAsia="zh-CN"/>
                    </w:rPr>
                    <w:t>83.3</w:t>
                  </w:r>
                </w:p>
              </w:tc>
            </w:tr>
          </w:tbl>
          <w:p>
            <w:pPr>
              <w:pStyle w:val="17"/>
              <w:adjustRightInd w:val="0"/>
              <w:snapToGrid w:val="0"/>
              <w:jc w:val="center"/>
              <w:rPr>
                <w:rFonts w:ascii="Times New Roman" w:hAnsi="Times New Roman"/>
                <w:snapToGrid w:val="0"/>
                <w:color w:val="auto"/>
                <w:sz w:val="36"/>
                <w:szCs w:val="36"/>
              </w:rPr>
            </w:pPr>
          </w:p>
        </w:tc>
      </w:tr>
    </w:tbl>
    <w:p>
      <w:pPr>
        <w:pStyle w:val="17"/>
        <w:jc w:val="center"/>
        <w:outlineLvl w:val="0"/>
        <w:rPr>
          <w:rFonts w:ascii="Times New Roman" w:hAnsi="Times New Roman"/>
          <w:snapToGrid w:val="0"/>
          <w:color w:val="auto"/>
          <w:sz w:val="36"/>
          <w:szCs w:val="36"/>
        </w:rPr>
        <w:sectPr>
          <w:pgSz w:w="16840" w:h="11907" w:orient="landscape"/>
          <w:pgMar w:top="1800" w:right="1440" w:bottom="1800" w:left="1440" w:header="851" w:footer="851" w:gutter="0"/>
          <w:cols w:space="720" w:num="1"/>
          <w:docGrid w:linePitch="312" w:charSpace="0"/>
        </w:sectPr>
      </w:pP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7"/>
        <w:gridCol w:w="77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447" w:hRule="atLeast"/>
          <w:jc w:val="center"/>
        </w:trPr>
        <w:tc>
          <w:tcPr>
            <w:tcW w:w="557" w:type="dxa"/>
            <w:tcMar>
              <w:left w:w="28" w:type="dxa"/>
              <w:right w:w="28" w:type="dxa"/>
            </w:tcMar>
            <w:vAlign w:val="center"/>
          </w:tcPr>
          <w:p>
            <w:pPr>
              <w:ind w:left="113" w:right="113"/>
              <w:jc w:val="center"/>
              <w:rPr>
                <w:b/>
                <w:bCs/>
                <w:color w:val="auto"/>
                <w:sz w:val="24"/>
              </w:rPr>
            </w:pPr>
            <w:r>
              <w:rPr>
                <w:b/>
                <w:bCs/>
                <w:color w:val="auto"/>
                <w:sz w:val="24"/>
              </w:rPr>
              <w:t>运</w:t>
            </w:r>
          </w:p>
          <w:p>
            <w:pPr>
              <w:ind w:left="113" w:right="113"/>
              <w:jc w:val="center"/>
              <w:rPr>
                <w:b/>
                <w:bCs/>
                <w:color w:val="auto"/>
                <w:sz w:val="24"/>
              </w:rPr>
            </w:pPr>
            <w:r>
              <w:rPr>
                <w:b/>
                <w:bCs/>
                <w:color w:val="auto"/>
                <w:sz w:val="24"/>
              </w:rPr>
              <w:t>营</w:t>
            </w:r>
          </w:p>
          <w:p>
            <w:pPr>
              <w:ind w:left="113" w:right="113"/>
              <w:jc w:val="center"/>
              <w:rPr>
                <w:b/>
                <w:bCs/>
                <w:color w:val="auto"/>
                <w:sz w:val="24"/>
              </w:rPr>
            </w:pPr>
            <w:r>
              <w:rPr>
                <w:b/>
                <w:bCs/>
                <w:color w:val="auto"/>
                <w:sz w:val="24"/>
              </w:rPr>
              <w:t>期</w:t>
            </w:r>
          </w:p>
          <w:p>
            <w:pPr>
              <w:ind w:left="113" w:right="113"/>
              <w:jc w:val="center"/>
              <w:rPr>
                <w:b/>
                <w:bCs/>
                <w:color w:val="auto"/>
                <w:sz w:val="24"/>
              </w:rPr>
            </w:pPr>
            <w:r>
              <w:rPr>
                <w:b/>
                <w:bCs/>
                <w:color w:val="auto"/>
                <w:sz w:val="24"/>
              </w:rPr>
              <w:t>环</w:t>
            </w:r>
          </w:p>
          <w:p>
            <w:pPr>
              <w:ind w:left="113" w:right="113"/>
              <w:jc w:val="center"/>
              <w:rPr>
                <w:b/>
                <w:bCs/>
                <w:color w:val="auto"/>
                <w:sz w:val="24"/>
              </w:rPr>
            </w:pPr>
            <w:r>
              <w:rPr>
                <w:b/>
                <w:bCs/>
                <w:color w:val="auto"/>
                <w:sz w:val="24"/>
              </w:rPr>
              <w:t>境</w:t>
            </w:r>
          </w:p>
          <w:p>
            <w:pPr>
              <w:ind w:left="113" w:right="113"/>
              <w:jc w:val="center"/>
              <w:rPr>
                <w:b/>
                <w:bCs/>
                <w:color w:val="auto"/>
                <w:sz w:val="24"/>
              </w:rPr>
            </w:pPr>
            <w:r>
              <w:rPr>
                <w:b/>
                <w:bCs/>
                <w:color w:val="auto"/>
                <w:sz w:val="24"/>
              </w:rPr>
              <w:t>影</w:t>
            </w:r>
          </w:p>
          <w:p>
            <w:pPr>
              <w:ind w:left="113" w:right="113"/>
              <w:jc w:val="center"/>
              <w:rPr>
                <w:b/>
                <w:bCs/>
                <w:color w:val="auto"/>
                <w:sz w:val="24"/>
              </w:rPr>
            </w:pPr>
            <w:r>
              <w:rPr>
                <w:b/>
                <w:bCs/>
                <w:color w:val="auto"/>
                <w:sz w:val="24"/>
              </w:rPr>
              <w:t>响</w:t>
            </w:r>
          </w:p>
          <w:p>
            <w:pPr>
              <w:ind w:left="113" w:right="113"/>
              <w:jc w:val="center"/>
              <w:rPr>
                <w:b/>
                <w:bCs/>
                <w:color w:val="auto"/>
                <w:sz w:val="24"/>
              </w:rPr>
            </w:pPr>
            <w:r>
              <w:rPr>
                <w:b/>
                <w:bCs/>
                <w:color w:val="auto"/>
                <w:sz w:val="24"/>
              </w:rPr>
              <w:t>和</w:t>
            </w:r>
          </w:p>
          <w:p>
            <w:pPr>
              <w:ind w:left="113" w:right="113"/>
              <w:jc w:val="center"/>
              <w:rPr>
                <w:b/>
                <w:bCs/>
                <w:color w:val="auto"/>
                <w:sz w:val="24"/>
              </w:rPr>
            </w:pPr>
            <w:r>
              <w:rPr>
                <w:b/>
                <w:bCs/>
                <w:color w:val="auto"/>
                <w:sz w:val="24"/>
              </w:rPr>
              <w:t>保</w:t>
            </w:r>
          </w:p>
          <w:p>
            <w:pPr>
              <w:ind w:left="113" w:right="113"/>
              <w:jc w:val="center"/>
              <w:rPr>
                <w:b/>
                <w:bCs/>
                <w:color w:val="auto"/>
                <w:sz w:val="24"/>
              </w:rPr>
            </w:pPr>
            <w:r>
              <w:rPr>
                <w:b/>
                <w:bCs/>
                <w:color w:val="auto"/>
                <w:sz w:val="24"/>
              </w:rPr>
              <w:t>护</w:t>
            </w:r>
          </w:p>
          <w:p>
            <w:pPr>
              <w:ind w:left="113" w:right="113"/>
              <w:jc w:val="center"/>
              <w:rPr>
                <w:b/>
                <w:bCs/>
                <w:color w:val="auto"/>
                <w:sz w:val="24"/>
              </w:rPr>
            </w:pPr>
            <w:r>
              <w:rPr>
                <w:b/>
                <w:bCs/>
                <w:color w:val="auto"/>
                <w:sz w:val="24"/>
              </w:rPr>
              <w:t>措</w:t>
            </w:r>
          </w:p>
          <w:p>
            <w:pPr>
              <w:ind w:left="113" w:right="113"/>
              <w:jc w:val="center"/>
              <w:rPr>
                <w:b/>
                <w:color w:val="auto"/>
                <w:sz w:val="24"/>
              </w:rPr>
            </w:pPr>
            <w:r>
              <w:rPr>
                <w:b/>
                <w:bCs/>
                <w:color w:val="auto"/>
                <w:sz w:val="24"/>
              </w:rPr>
              <w:t>施</w:t>
            </w:r>
          </w:p>
        </w:tc>
        <w:tc>
          <w:tcPr>
            <w:tcW w:w="7730" w:type="dxa"/>
          </w:tcPr>
          <w:p>
            <w:pPr>
              <w:pStyle w:val="82"/>
              <w:rPr>
                <w:color w:val="auto"/>
              </w:rPr>
            </w:pPr>
            <w:r>
              <w:rPr>
                <w:color w:val="auto"/>
              </w:rPr>
              <w:t>（二）废气源强计算</w:t>
            </w:r>
          </w:p>
          <w:p>
            <w:pPr>
              <w:pStyle w:val="75"/>
              <w:rPr>
                <w:color w:val="auto"/>
              </w:rPr>
            </w:pPr>
            <w:r>
              <w:rPr>
                <w:color w:val="auto"/>
              </w:rPr>
              <w:t>本项产生的废气主要为拆解车间废气。</w:t>
            </w:r>
          </w:p>
          <w:p>
            <w:pPr>
              <w:pStyle w:val="82"/>
              <w:rPr>
                <w:color w:val="auto"/>
              </w:rPr>
            </w:pPr>
            <w:r>
              <w:rPr>
                <w:color w:val="auto"/>
              </w:rPr>
              <w:t>1、切割工段粉尘</w:t>
            </w:r>
          </w:p>
          <w:p>
            <w:pPr>
              <w:pStyle w:val="75"/>
              <w:rPr>
                <w:color w:val="auto"/>
              </w:rPr>
            </w:pPr>
            <w:r>
              <w:rPr>
                <w:color w:val="auto"/>
              </w:rPr>
              <w:t>报废农业机械在拆解后较大部件需进行切割，本项目切割采用等离子切割进行切割。</w:t>
            </w:r>
          </w:p>
          <w:p>
            <w:pPr>
              <w:pStyle w:val="75"/>
              <w:rPr>
                <w:color w:val="auto"/>
              </w:rPr>
            </w:pPr>
            <w:r>
              <w:rPr>
                <w:color w:val="auto"/>
              </w:rPr>
              <w:t>本项目废钢</w:t>
            </w:r>
            <w:r>
              <w:rPr>
                <w:rFonts w:hint="eastAsia"/>
                <w:color w:val="auto"/>
                <w:lang w:val="en-US" w:eastAsia="zh-CN"/>
              </w:rPr>
              <w:t>铁</w:t>
            </w:r>
            <w:r>
              <w:rPr>
                <w:color w:val="auto"/>
              </w:rPr>
              <w:t>不进行破碎，剪切直径较大，只考虑使用等离子切割时的粉尘。等离子切割将产生金属粉尘，粉尘产生系数参照参考《排放源统计调查产排污核算方法和系数手册》“C4210金属废料和碎屑加工处理行业系数表”-废钢铁-切割的产尘系数：7.2g/t原料，本项目拆解的废钢铁为</w:t>
            </w:r>
            <w:r>
              <w:rPr>
                <w:rFonts w:hint="eastAsia"/>
                <w:color w:val="auto"/>
                <w:lang w:val="en-US" w:eastAsia="zh-CN"/>
              </w:rPr>
              <w:t>1979.4</w:t>
            </w:r>
            <w:r>
              <w:rPr>
                <w:color w:val="auto"/>
              </w:rPr>
              <w:t>t/a，切割工序均在拆解车间进行，则废钢切割粉尘产生量合计为0.</w:t>
            </w:r>
            <w:r>
              <w:rPr>
                <w:rFonts w:hint="eastAsia"/>
                <w:color w:val="auto"/>
                <w:lang w:val="en-US" w:eastAsia="zh-CN"/>
              </w:rPr>
              <w:t>01</w:t>
            </w:r>
            <w:r>
              <w:rPr>
                <w:color w:val="auto"/>
              </w:rPr>
              <w:t>t/a。本项目每天切割约3h，</w:t>
            </w:r>
            <w:r>
              <w:rPr>
                <w:rFonts w:hint="eastAsia"/>
                <w:color w:val="auto"/>
              </w:rPr>
              <w:t>共切割</w:t>
            </w:r>
            <w:r>
              <w:rPr>
                <w:rFonts w:hint="eastAsia"/>
                <w:color w:val="auto"/>
                <w:lang w:val="en-US" w:eastAsia="zh-CN"/>
              </w:rPr>
              <w:t>900</w:t>
            </w:r>
            <w:r>
              <w:rPr>
                <w:color w:val="auto"/>
              </w:rPr>
              <w:t>h/a</w:t>
            </w:r>
            <w:r>
              <w:rPr>
                <w:rFonts w:hint="eastAsia"/>
                <w:color w:val="auto"/>
              </w:rPr>
              <w:t>，</w:t>
            </w:r>
            <w:r>
              <w:rPr>
                <w:color w:val="auto"/>
              </w:rPr>
              <w:t>则废钢切割粉尘产生速率0.</w:t>
            </w:r>
            <w:r>
              <w:rPr>
                <w:rFonts w:hint="eastAsia"/>
                <w:color w:val="auto"/>
                <w:lang w:val="en-US" w:eastAsia="zh-CN"/>
              </w:rPr>
              <w:t>01</w:t>
            </w:r>
            <w:r>
              <w:rPr>
                <w:color w:val="auto"/>
              </w:rPr>
              <w:t>kg/h。</w:t>
            </w:r>
          </w:p>
          <w:p>
            <w:pPr>
              <w:pStyle w:val="75"/>
              <w:rPr>
                <w:color w:val="auto"/>
              </w:rPr>
            </w:pPr>
            <w:r>
              <w:rPr>
                <w:color w:val="auto"/>
              </w:rPr>
              <w:t>本项目在全封闭拆解车间内切割工位设置移动式</w:t>
            </w:r>
            <w:r>
              <w:rPr>
                <w:rFonts w:hint="eastAsia"/>
                <w:color w:val="auto"/>
                <w:lang w:val="en-US" w:eastAsia="zh-CN"/>
              </w:rPr>
              <w:t>布袋除尘</w:t>
            </w:r>
            <w:r>
              <w:rPr>
                <w:color w:val="auto"/>
              </w:rPr>
              <w:t>器，除尘效率按99%计，净化处理后排出的气体经车间侧壁通风设施以无组织形式</w:t>
            </w:r>
            <w:r>
              <w:rPr>
                <w:rFonts w:hint="eastAsia"/>
                <w:color w:val="auto"/>
                <w:lang w:val="en-US" w:eastAsia="zh-CN"/>
              </w:rPr>
              <w:t>在车间中</w:t>
            </w:r>
            <w:r>
              <w:rPr>
                <w:color w:val="auto"/>
              </w:rPr>
              <w:t>排放。则粉尘的排放量为</w:t>
            </w:r>
            <w:r>
              <w:rPr>
                <w:rFonts w:hint="eastAsia"/>
                <w:color w:val="auto"/>
                <w:szCs w:val="20"/>
              </w:rPr>
              <w:t>0.00</w:t>
            </w:r>
            <w:r>
              <w:rPr>
                <w:rFonts w:hint="eastAsia"/>
                <w:color w:val="auto"/>
                <w:szCs w:val="20"/>
                <w:lang w:val="en-US" w:eastAsia="zh-CN"/>
              </w:rPr>
              <w:t>01</w:t>
            </w:r>
            <w:r>
              <w:rPr>
                <w:color w:val="auto"/>
              </w:rPr>
              <w:t>t/a，排放速率为</w:t>
            </w:r>
            <w:r>
              <w:rPr>
                <w:rFonts w:hint="eastAsia"/>
                <w:color w:val="auto"/>
              </w:rPr>
              <w:t>0.00</w:t>
            </w:r>
            <w:r>
              <w:rPr>
                <w:rFonts w:hint="eastAsia"/>
                <w:color w:val="auto"/>
                <w:lang w:val="en-US" w:eastAsia="zh-CN"/>
              </w:rPr>
              <w:t>01</w:t>
            </w:r>
            <w:r>
              <w:rPr>
                <w:color w:val="auto"/>
              </w:rPr>
              <w:t>kg/h。</w:t>
            </w:r>
          </w:p>
          <w:p>
            <w:pPr>
              <w:pStyle w:val="82"/>
              <w:rPr>
                <w:color w:val="auto"/>
              </w:rPr>
            </w:pPr>
            <w:r>
              <w:rPr>
                <w:color w:val="auto"/>
              </w:rPr>
              <w:t>2、拆解工段非甲烷总烃</w:t>
            </w:r>
          </w:p>
          <w:p>
            <w:pPr>
              <w:pStyle w:val="75"/>
              <w:rPr>
                <w:color w:val="auto"/>
              </w:rPr>
            </w:pPr>
            <w:r>
              <w:rPr>
                <w:color w:val="auto"/>
              </w:rPr>
              <w:t>在排空油箱油品时，未能达到100%的排空率，这些油正常情况下附着在油箱的内壁，本项目待拆的报废农用车油箱中废油量较少，且油箱整体拆下后不进行进一步破碎处理，因此非甲烷总烃逸散量极少。</w:t>
            </w:r>
          </w:p>
          <w:p>
            <w:pPr>
              <w:pStyle w:val="75"/>
              <w:rPr>
                <w:color w:val="auto"/>
              </w:rPr>
            </w:pPr>
            <w:r>
              <w:rPr>
                <w:color w:val="auto"/>
              </w:rPr>
              <w:t>参照《</w:t>
            </w:r>
            <w:r>
              <w:rPr>
                <w:rFonts w:hint="eastAsia"/>
                <w:color w:val="auto"/>
                <w:lang w:eastAsia="zh-CN"/>
              </w:rPr>
              <w:t>散装液态石油产品损耗</w:t>
            </w:r>
            <w:r>
              <w:rPr>
                <w:color w:val="auto"/>
              </w:rPr>
              <w:t>》（</w:t>
            </w:r>
            <w:r>
              <w:rPr>
                <w:rFonts w:hint="eastAsia"/>
                <w:color w:val="auto"/>
                <w:lang w:eastAsia="zh-CN"/>
              </w:rPr>
              <w:t>GB/T 11085-1989</w:t>
            </w:r>
            <w:r>
              <w:rPr>
                <w:color w:val="auto"/>
              </w:rPr>
              <w:t>）中灌桶损耗率（汽油0.18%，其他油0.01%）和零售损耗率（汽油0.29%，柴油0.08%）的两部分损失率，按总体0.5%的损失率进行核算。按每辆报废机动车平均6L的残存油量，其中回收过程中蒸发损失按总量0.5%计。车用柴油平均密度取0.855g/mL，则平均每辆柴油车拆解存储过程中有0.026kg的非甲烷总烃排放至空气中。本项目年拆解农业机械</w:t>
            </w:r>
            <w:r>
              <w:rPr>
                <w:rFonts w:hint="eastAsia"/>
                <w:color w:val="auto"/>
                <w:lang w:val="en-US" w:eastAsia="zh-CN"/>
              </w:rPr>
              <w:t>1000辆</w:t>
            </w:r>
            <w:r>
              <w:rPr>
                <w:color w:val="auto"/>
              </w:rPr>
              <w:t>，柴油车年非甲烷总烃产生量为0.</w:t>
            </w:r>
            <w:r>
              <w:rPr>
                <w:rFonts w:hint="eastAsia"/>
                <w:color w:val="auto"/>
                <w:lang w:val="en-US" w:eastAsia="zh-CN"/>
              </w:rPr>
              <w:t>026</w:t>
            </w:r>
            <w:r>
              <w:rPr>
                <w:color w:val="auto"/>
              </w:rPr>
              <w:t>t/a，则项目年非甲烷总烃产生量为0.</w:t>
            </w:r>
            <w:r>
              <w:rPr>
                <w:rFonts w:hint="eastAsia"/>
                <w:color w:val="auto"/>
                <w:lang w:val="en-US" w:eastAsia="zh-CN"/>
              </w:rPr>
              <w:t>026</w:t>
            </w:r>
            <w:r>
              <w:rPr>
                <w:color w:val="auto"/>
              </w:rPr>
              <w:t>t/a。类比同类企业，平均每辆车的残油抽取时间大概持续约5分钟，全年的油液抽取时间约</w:t>
            </w:r>
            <w:r>
              <w:rPr>
                <w:rFonts w:hint="eastAsia"/>
                <w:color w:val="auto"/>
                <w:lang w:val="en-US" w:eastAsia="zh-CN"/>
              </w:rPr>
              <w:t>83.3</w:t>
            </w:r>
            <w:r>
              <w:rPr>
                <w:color w:val="auto"/>
              </w:rPr>
              <w:t>小时，产生速率为0.3</w:t>
            </w:r>
            <w:r>
              <w:rPr>
                <w:rFonts w:hint="eastAsia"/>
                <w:color w:val="auto"/>
                <w:lang w:val="en-US" w:eastAsia="zh-CN"/>
              </w:rPr>
              <w:t>1</w:t>
            </w:r>
            <w:r>
              <w:rPr>
                <w:color w:val="auto"/>
              </w:rPr>
              <w:t>kg/h。</w:t>
            </w:r>
          </w:p>
          <w:p>
            <w:pPr>
              <w:pStyle w:val="75"/>
              <w:rPr>
                <w:color w:val="auto"/>
              </w:rPr>
            </w:pPr>
            <w:r>
              <w:rPr>
                <w:color w:val="auto"/>
              </w:rPr>
              <w:t>根据《排污许可证申请与核发技术规范 废弃资源加工工业》（HJ1034-2019），</w:t>
            </w:r>
            <w:r>
              <w:rPr>
                <w:rFonts w:hint="eastAsia"/>
                <w:color w:val="auto"/>
                <w:lang w:val="en-US" w:eastAsia="zh-CN"/>
              </w:rPr>
              <w:t>报废农机</w:t>
            </w:r>
            <w:r>
              <w:rPr>
                <w:color w:val="auto"/>
              </w:rPr>
              <w:t>拆解预处理过程中产生的非甲烷总烃可通过无组织方式排放。</w:t>
            </w:r>
          </w:p>
          <w:p>
            <w:pPr>
              <w:pStyle w:val="75"/>
              <w:rPr>
                <w:rFonts w:hint="eastAsia"/>
                <w:color w:val="auto"/>
              </w:rPr>
            </w:pPr>
            <w:r>
              <w:rPr>
                <w:rFonts w:hint="eastAsia"/>
                <w:color w:val="auto"/>
              </w:rPr>
              <w:t>在工序上方设置集气罩（收集效率80%）+活性炭吸附（吸附效率60%）装置进行处理。经计算，废油液收集过程有机废气无组织排放量为0.</w:t>
            </w:r>
            <w:r>
              <w:rPr>
                <w:rFonts w:hint="eastAsia"/>
                <w:color w:val="auto"/>
                <w:lang w:val="en-US" w:eastAsia="zh-CN"/>
              </w:rPr>
              <w:t>01</w:t>
            </w:r>
            <w:r>
              <w:rPr>
                <w:rFonts w:hint="eastAsia"/>
                <w:color w:val="auto"/>
              </w:rPr>
              <w:t>t/a</w:t>
            </w:r>
            <w:r>
              <w:rPr>
                <w:rFonts w:hint="eastAsia"/>
                <w:color w:val="auto"/>
                <w:lang w:eastAsia="zh-CN"/>
              </w:rPr>
              <w:t>，</w:t>
            </w:r>
            <w:r>
              <w:rPr>
                <w:rFonts w:hint="eastAsia"/>
                <w:color w:val="auto"/>
                <w:lang w:val="en-US" w:eastAsia="zh-CN"/>
              </w:rPr>
              <w:t>排放速率为0.12</w:t>
            </w:r>
            <w:r>
              <w:rPr>
                <w:color w:val="auto"/>
              </w:rPr>
              <w:t>kg/h</w:t>
            </w:r>
            <w:r>
              <w:rPr>
                <w:rFonts w:hint="eastAsia"/>
                <w:color w:val="auto"/>
              </w:rPr>
              <w:t>。</w:t>
            </w:r>
          </w:p>
          <w:p>
            <w:pPr>
              <w:widowControl w:val="0"/>
              <w:autoSpaceDE w:val="0"/>
              <w:autoSpaceDN w:val="0"/>
              <w:adjustRightInd w:val="0"/>
              <w:snapToGrid w:val="0"/>
              <w:spacing w:line="500" w:lineRule="exact"/>
              <w:ind w:firstLine="482" w:firstLineChars="200"/>
              <w:jc w:val="both"/>
              <w:rPr>
                <w:rFonts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3</w:t>
            </w:r>
            <w:r>
              <w:rPr>
                <w:rFonts w:ascii="Times New Roman" w:hAnsi="Times New Roman" w:eastAsia="宋体" w:cs="Times New Roman"/>
                <w:b/>
                <w:bCs/>
                <w:color w:val="auto"/>
                <w:kern w:val="0"/>
                <w:sz w:val="24"/>
                <w:szCs w:val="24"/>
                <w:lang w:val="en-US" w:eastAsia="zh-CN" w:bidi="ar-SA"/>
              </w:rPr>
              <w:t>、</w:t>
            </w:r>
            <w:r>
              <w:rPr>
                <w:rFonts w:hint="eastAsia" w:ascii="Times New Roman" w:hAnsi="Times New Roman" w:eastAsia="宋体" w:cs="Times New Roman"/>
                <w:b/>
                <w:bCs/>
                <w:color w:val="auto"/>
                <w:kern w:val="0"/>
                <w:sz w:val="24"/>
                <w:szCs w:val="24"/>
                <w:lang w:val="en-US" w:eastAsia="zh-CN" w:bidi="ar-SA"/>
              </w:rPr>
              <w:t>危废贮存库废气</w:t>
            </w:r>
          </w:p>
          <w:p>
            <w:pPr>
              <w:pStyle w:val="75"/>
              <w:rPr>
                <w:rFonts w:hint="eastAsia"/>
                <w:color w:val="auto"/>
              </w:rPr>
            </w:pPr>
            <w:r>
              <w:rPr>
                <w:rFonts w:hint="eastAsia"/>
                <w:color w:val="auto"/>
              </w:rPr>
              <w:t>本项目危废贮存库内的危险废物</w:t>
            </w:r>
            <w:r>
              <w:rPr>
                <w:rFonts w:hint="eastAsia"/>
                <w:color w:val="auto"/>
                <w:lang w:val="en-US" w:eastAsia="zh-CN"/>
              </w:rPr>
              <w:t>主要为废蓄电池、废油液、废电容器、废防冻液、废活性炭、石棉废物等</w:t>
            </w:r>
            <w:r>
              <w:rPr>
                <w:rFonts w:hint="eastAsia"/>
                <w:color w:val="auto"/>
              </w:rPr>
              <w:t>。本项目要求所有危险废物均在密闭容器内保存，以控制挥发性有机气体的产生</w:t>
            </w:r>
            <w:r>
              <w:rPr>
                <w:rFonts w:hint="eastAsia"/>
                <w:color w:val="auto"/>
                <w:lang w:eastAsia="zh-CN"/>
              </w:rPr>
              <w:t>，</w:t>
            </w:r>
            <w:r>
              <w:rPr>
                <w:rFonts w:hint="eastAsia"/>
                <w:color w:val="auto"/>
                <w:lang w:val="en-US" w:eastAsia="zh-CN"/>
              </w:rPr>
              <w:t>并且各类危险废物定期交由持有相应类别危险废物经营许可证的单位处理，存放量较小</w:t>
            </w:r>
            <w:r>
              <w:rPr>
                <w:rFonts w:hint="eastAsia"/>
                <w:color w:val="auto"/>
              </w:rPr>
              <w:t>。在采取</w:t>
            </w:r>
            <w:r>
              <w:rPr>
                <w:rFonts w:hint="eastAsia"/>
                <w:color w:val="auto"/>
                <w:lang w:val="en-US" w:eastAsia="zh-CN"/>
              </w:rPr>
              <w:t>上述</w:t>
            </w:r>
            <w:r>
              <w:rPr>
                <w:rFonts w:hint="eastAsia"/>
                <w:color w:val="auto"/>
              </w:rPr>
              <w:t>措施后，危废贮存库废气可以</w:t>
            </w:r>
            <w:r>
              <w:rPr>
                <w:rFonts w:hint="eastAsia"/>
                <w:color w:val="auto"/>
                <w:lang w:val="en-US" w:eastAsia="zh-CN"/>
              </w:rPr>
              <w:t>得</w:t>
            </w:r>
            <w:r>
              <w:rPr>
                <w:rFonts w:hint="eastAsia"/>
                <w:color w:val="auto"/>
              </w:rPr>
              <w:t>到有效控制，基本不会对周边环境造成不良影响，因此不对其进行分析。</w:t>
            </w:r>
          </w:p>
          <w:p>
            <w:pPr>
              <w:pStyle w:val="82"/>
              <w:rPr>
                <w:color w:val="auto"/>
              </w:rPr>
            </w:pPr>
            <w:r>
              <w:rPr>
                <w:color w:val="auto"/>
              </w:rPr>
              <w:t>（三）治理设施及排放达标情况</w:t>
            </w:r>
          </w:p>
          <w:p>
            <w:pPr>
              <w:pStyle w:val="82"/>
              <w:rPr>
                <w:color w:val="auto"/>
              </w:rPr>
            </w:pPr>
            <w:r>
              <w:rPr>
                <w:color w:val="auto"/>
              </w:rPr>
              <w:t>1、切割工段粉尘</w:t>
            </w:r>
          </w:p>
          <w:p>
            <w:pPr>
              <w:pStyle w:val="75"/>
              <w:rPr>
                <w:color w:val="auto"/>
              </w:rPr>
            </w:pPr>
            <w:r>
              <w:rPr>
                <w:color w:val="auto"/>
              </w:rPr>
              <w:t>本项目在全封闭拆解车间内切割工位设置</w:t>
            </w:r>
            <w:r>
              <w:rPr>
                <w:rFonts w:hint="eastAsia"/>
                <w:color w:val="auto"/>
                <w:lang w:eastAsia="zh-CN"/>
              </w:rPr>
              <w:t>移动式布袋除尘器</w:t>
            </w:r>
            <w:r>
              <w:rPr>
                <w:color w:val="auto"/>
              </w:rPr>
              <w:t>，除尘效率按99%计，净化处理后排出的气体经车间侧壁通风设施以无组织形式排放。拆解工段无组织颗粒物排放浓度满足《大气污染物综合排放标准》（GB16297-1996）表2中无组织排放监控浓度限值要求。</w:t>
            </w:r>
          </w:p>
          <w:p>
            <w:pPr>
              <w:pStyle w:val="82"/>
              <w:rPr>
                <w:color w:val="auto"/>
              </w:rPr>
            </w:pPr>
            <w:r>
              <w:rPr>
                <w:color w:val="auto"/>
              </w:rPr>
              <w:t>2、非甲烷总烃</w:t>
            </w:r>
          </w:p>
          <w:p>
            <w:pPr>
              <w:pStyle w:val="75"/>
              <w:rPr>
                <w:color w:val="auto"/>
              </w:rPr>
            </w:pPr>
            <w:r>
              <w:rPr>
                <w:color w:val="auto"/>
              </w:rPr>
              <w:t>本项目待拆的报废车辆油箱中废油量较少，</w:t>
            </w:r>
            <w:r>
              <w:rPr>
                <w:rFonts w:hint="eastAsia"/>
                <w:color w:val="auto"/>
              </w:rPr>
              <w:t>在工序上方设置集气罩（收集效率80%）+活性炭吸附（吸附效率60%）装置进行处理</w:t>
            </w:r>
            <w:r>
              <w:rPr>
                <w:color w:val="auto"/>
              </w:rPr>
              <w:t>。</w:t>
            </w:r>
            <w:r>
              <w:rPr>
                <w:rFonts w:hint="eastAsia"/>
                <w:color w:val="auto"/>
              </w:rPr>
              <w:t>危险废物采用密闭容器包装，控制挥发性有机气体的产生。</w:t>
            </w:r>
          </w:p>
          <w:p>
            <w:pPr>
              <w:pStyle w:val="75"/>
              <w:rPr>
                <w:color w:val="auto"/>
              </w:rPr>
            </w:pPr>
            <w:r>
              <w:rPr>
                <w:color w:val="auto"/>
              </w:rPr>
              <w:t>非甲烷总烃排放浓度满足《大气污染物综合排放标准》（GB16297-1996）非甲烷总烃无组织排放监控浓度限值，厂房外监控点处1h平均浓度值和厂房外监控点处任意一次浓度值满足《挥发性有机物无组织排放控制标准》（GB37822-2019）表A.1厂区内VOCs无组织排放限值要求。</w:t>
            </w:r>
          </w:p>
          <w:p>
            <w:pPr>
              <w:pStyle w:val="82"/>
              <w:rPr>
                <w:rFonts w:hint="default" w:eastAsia="宋体"/>
                <w:color w:val="auto"/>
                <w:lang w:val="en-US" w:eastAsia="zh-CN"/>
              </w:rPr>
            </w:pPr>
            <w:r>
              <w:rPr>
                <w:color w:val="auto"/>
              </w:rPr>
              <w:t>（</w:t>
            </w:r>
            <w:r>
              <w:rPr>
                <w:rFonts w:hint="eastAsia"/>
                <w:color w:val="auto"/>
                <w:lang w:val="en-US" w:eastAsia="zh-CN"/>
              </w:rPr>
              <w:t>四</w:t>
            </w:r>
            <w:r>
              <w:rPr>
                <w:color w:val="auto"/>
              </w:rPr>
              <w:t>）</w:t>
            </w:r>
            <w:r>
              <w:rPr>
                <w:rFonts w:hint="eastAsia"/>
                <w:color w:val="auto"/>
                <w:lang w:val="en-US" w:eastAsia="zh-CN"/>
              </w:rPr>
              <w:t>非正常工况</w:t>
            </w:r>
          </w:p>
          <w:p>
            <w:pPr>
              <w:pStyle w:val="75"/>
              <w:rPr>
                <w:color w:val="auto"/>
                <w:lang w:val="en-US" w:eastAsia="zh-CN"/>
              </w:rPr>
            </w:pPr>
            <w:r>
              <w:rPr>
                <w:rFonts w:hint="eastAsia"/>
                <w:color w:val="auto"/>
                <w:lang w:val="en-US" w:eastAsia="zh-CN"/>
              </w:rPr>
              <w:t>《污染源源强核算技术指南 准则》（HJ884-2018）中指出：生产设施非正常工况是指开停炉（机）、设备检修、工艺设备运转异常等工况，污染防治（控制）设施非正常状况指达不到应有治理效率或同步运转率等情况。</w:t>
            </w:r>
          </w:p>
          <w:p>
            <w:pPr>
              <w:pStyle w:val="75"/>
              <w:rPr>
                <w:color w:val="auto"/>
              </w:rPr>
            </w:pPr>
            <w:r>
              <w:rPr>
                <w:rFonts w:hint="eastAsia"/>
                <w:color w:val="auto"/>
              </w:rPr>
              <w:t>本项目的非正常工况主要是污染物排放治理措施达不到应有效率，造成废气中污染物</w:t>
            </w:r>
            <w:r>
              <w:rPr>
                <w:rFonts w:hint="eastAsia"/>
                <w:color w:val="auto"/>
                <w:lang w:val="en-US" w:eastAsia="zh-CN"/>
              </w:rPr>
              <w:t>处理效率下降</w:t>
            </w:r>
            <w:r>
              <w:rPr>
                <w:rFonts w:hint="eastAsia"/>
                <w:color w:val="auto"/>
              </w:rPr>
              <w:t>，其排放情况如下表所示：</w:t>
            </w:r>
          </w:p>
          <w:p>
            <w:pPr>
              <w:pStyle w:val="76"/>
              <w:rPr>
                <w:rFonts w:hint="eastAsia" w:eastAsia="宋体"/>
                <w:color w:val="auto"/>
                <w:lang w:val="en-US" w:eastAsia="zh-CN"/>
              </w:rPr>
            </w:pPr>
            <w:r>
              <w:rPr>
                <w:color w:val="auto"/>
              </w:rPr>
              <w:t>表4-2 非正常</w:t>
            </w:r>
            <w:r>
              <w:rPr>
                <w:rFonts w:hint="eastAsia"/>
                <w:color w:val="auto"/>
                <w:lang w:val="en-US" w:eastAsia="zh-CN"/>
              </w:rPr>
              <w:t>工况</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737"/>
              <w:gridCol w:w="897"/>
              <w:gridCol w:w="770"/>
              <w:gridCol w:w="731"/>
              <w:gridCol w:w="783"/>
              <w:gridCol w:w="698"/>
              <w:gridCol w:w="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1456" w:type="pct"/>
                  <w:tcBorders>
                    <w:top w:val="single" w:color="auto" w:sz="12" w:space="0"/>
                    <w:left w:val="nil"/>
                  </w:tcBorders>
                  <w:noWrap w:val="0"/>
                  <w:vAlign w:val="center"/>
                </w:tcPr>
                <w:p>
                  <w:pPr>
                    <w:overflowPunct w:val="0"/>
                    <w:adjustRightInd w:val="0"/>
                    <w:jc w:val="center"/>
                    <w:textAlignment w:val="baseline"/>
                    <w:rPr>
                      <w:color w:val="auto"/>
                      <w:szCs w:val="21"/>
                    </w:rPr>
                  </w:pPr>
                  <w:r>
                    <w:rPr>
                      <w:color w:val="auto"/>
                      <w:szCs w:val="21"/>
                    </w:rPr>
                    <w:t>污染源</w:t>
                  </w:r>
                </w:p>
              </w:tc>
              <w:tc>
                <w:tcPr>
                  <w:tcW w:w="491"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污染物</w:t>
                  </w:r>
                </w:p>
              </w:tc>
              <w:tc>
                <w:tcPr>
                  <w:tcW w:w="598"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产生速率(kg/h)</w:t>
                  </w:r>
                </w:p>
              </w:tc>
              <w:tc>
                <w:tcPr>
                  <w:tcW w:w="513" w:type="pct"/>
                  <w:tcBorders>
                    <w:top w:val="single" w:color="auto" w:sz="12" w:space="0"/>
                  </w:tcBorders>
                  <w:noWrap w:val="0"/>
                  <w:vAlign w:val="center"/>
                </w:tcPr>
                <w:p>
                  <w:pPr>
                    <w:overflowPunct w:val="0"/>
                    <w:adjustRightInd w:val="0"/>
                    <w:jc w:val="center"/>
                    <w:textAlignment w:val="baseline"/>
                    <w:rPr>
                      <w:rFonts w:hint="eastAsia" w:eastAsia="宋体"/>
                      <w:color w:val="auto"/>
                      <w:szCs w:val="21"/>
                      <w:lang w:val="en-US" w:eastAsia="zh-CN"/>
                    </w:rPr>
                  </w:pPr>
                  <w:r>
                    <w:rPr>
                      <w:rFonts w:hint="eastAsia"/>
                      <w:color w:val="auto"/>
                      <w:szCs w:val="21"/>
                      <w:lang w:val="en-US" w:eastAsia="zh-CN"/>
                    </w:rPr>
                    <w:t>浓度</w:t>
                  </w:r>
                </w:p>
              </w:tc>
              <w:tc>
                <w:tcPr>
                  <w:tcW w:w="487"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非正常排放原因</w:t>
                  </w:r>
                </w:p>
              </w:tc>
              <w:tc>
                <w:tcPr>
                  <w:tcW w:w="522"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排放速率(kg/h)</w:t>
                  </w:r>
                </w:p>
              </w:tc>
              <w:tc>
                <w:tcPr>
                  <w:tcW w:w="465" w:type="pct"/>
                  <w:tcBorders>
                    <w:top w:val="single" w:color="auto" w:sz="12" w:space="0"/>
                    <w:right w:val="nil"/>
                  </w:tcBorders>
                  <w:noWrap w:val="0"/>
                  <w:vAlign w:val="center"/>
                </w:tcPr>
                <w:p>
                  <w:pPr>
                    <w:overflowPunct w:val="0"/>
                    <w:adjustRightInd w:val="0"/>
                    <w:jc w:val="center"/>
                    <w:textAlignment w:val="baseline"/>
                    <w:rPr>
                      <w:color w:val="auto"/>
                      <w:szCs w:val="21"/>
                    </w:rPr>
                  </w:pPr>
                  <w:r>
                    <w:rPr>
                      <w:rFonts w:ascii="Times New Roman" w:hAnsi="Times New Roman" w:eastAsia="宋体"/>
                      <w:color w:val="auto"/>
                      <w:highlight w:val="none"/>
                    </w:rPr>
                    <w:t>年发生频次/次</w:t>
                  </w:r>
                </w:p>
              </w:tc>
              <w:tc>
                <w:tcPr>
                  <w:tcW w:w="465" w:type="pct"/>
                  <w:tcBorders>
                    <w:top w:val="single" w:color="auto" w:sz="12" w:space="0"/>
                    <w:right w:val="nil"/>
                  </w:tcBorders>
                  <w:noWrap w:val="0"/>
                  <w:vAlign w:val="center"/>
                </w:tcPr>
                <w:p>
                  <w:pPr>
                    <w:overflowPunct w:val="0"/>
                    <w:adjustRightInd w:val="0"/>
                    <w:jc w:val="center"/>
                    <w:textAlignment w:val="baseline"/>
                    <w:rPr>
                      <w:bCs/>
                      <w:color w:val="auto"/>
                      <w:szCs w:val="21"/>
                    </w:rPr>
                  </w:pPr>
                  <w:r>
                    <w:rPr>
                      <w:color w:val="auto"/>
                      <w:szCs w:val="21"/>
                    </w:rPr>
                    <w:t>单次持续时间(h)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pPr>
                    <w:pStyle w:val="28"/>
                    <w:spacing w:line="240" w:lineRule="auto"/>
                    <w:rPr>
                      <w:rFonts w:ascii="Times New Roman"/>
                      <w:color w:val="auto"/>
                      <w:sz w:val="21"/>
                      <w:szCs w:val="21"/>
                    </w:rPr>
                  </w:pPr>
                  <w:r>
                    <w:rPr>
                      <w:rFonts w:hint="eastAsia" w:cs="Arial"/>
                      <w:color w:val="auto"/>
                      <w:sz w:val="21"/>
                      <w:szCs w:val="21"/>
                    </w:rPr>
                    <w:t>切割粉尘非正常排放</w:t>
                  </w:r>
                </w:p>
              </w:tc>
              <w:tc>
                <w:tcPr>
                  <w:tcW w:w="491" w:type="pct"/>
                  <w:noWrap w:val="0"/>
                  <w:vAlign w:val="center"/>
                </w:tcPr>
                <w:p>
                  <w:pPr>
                    <w:pStyle w:val="28"/>
                    <w:spacing w:line="240" w:lineRule="auto"/>
                    <w:rPr>
                      <w:rFonts w:ascii="Times New Roman"/>
                      <w:bCs/>
                      <w:color w:val="auto"/>
                      <w:sz w:val="21"/>
                      <w:szCs w:val="21"/>
                    </w:rPr>
                  </w:pPr>
                  <w:r>
                    <w:rPr>
                      <w:rFonts w:hint="eastAsia" w:ascii="Times New Roman"/>
                      <w:bCs/>
                      <w:color w:val="auto"/>
                      <w:sz w:val="21"/>
                      <w:szCs w:val="21"/>
                    </w:rPr>
                    <w:t>颗粒物</w:t>
                  </w:r>
                </w:p>
              </w:tc>
              <w:tc>
                <w:tcPr>
                  <w:tcW w:w="598" w:type="pct"/>
                  <w:noWrap w:val="0"/>
                  <w:vAlign w:val="center"/>
                </w:tcPr>
                <w:p>
                  <w:pPr>
                    <w:jc w:val="center"/>
                    <w:rPr>
                      <w:rFonts w:hint="default"/>
                      <w:color w:val="auto"/>
                      <w:sz w:val="21"/>
                      <w:szCs w:val="21"/>
                      <w:lang w:val="en-US"/>
                    </w:rPr>
                  </w:pPr>
                  <w:r>
                    <w:rPr>
                      <w:rFonts w:hint="eastAsia"/>
                      <w:color w:val="auto"/>
                      <w:sz w:val="21"/>
                      <w:szCs w:val="21"/>
                    </w:rPr>
                    <w:t>0.</w:t>
                  </w:r>
                  <w:r>
                    <w:rPr>
                      <w:rFonts w:hint="eastAsia"/>
                      <w:color w:val="auto"/>
                      <w:sz w:val="21"/>
                      <w:szCs w:val="21"/>
                      <w:lang w:val="en-US" w:eastAsia="zh-CN"/>
                    </w:rPr>
                    <w:t>01</w:t>
                  </w:r>
                </w:p>
              </w:tc>
              <w:tc>
                <w:tcPr>
                  <w:tcW w:w="513" w:type="pct"/>
                  <w:noWrap w:val="0"/>
                  <w:vAlign w:val="center"/>
                </w:tcPr>
                <w:p>
                  <w:pPr>
                    <w:pStyle w:val="28"/>
                    <w:spacing w:line="240" w:lineRule="auto"/>
                    <w:rPr>
                      <w:rFonts w:hint="eastAsia" w:ascii="Times New Roman" w:eastAsia="宋体"/>
                      <w:color w:val="auto"/>
                      <w:sz w:val="21"/>
                      <w:szCs w:val="21"/>
                      <w:lang w:val="en-US" w:eastAsia="zh-CN"/>
                    </w:rPr>
                  </w:pPr>
                  <w:r>
                    <w:rPr>
                      <w:rFonts w:hint="eastAsia" w:ascii="Times New Roman"/>
                      <w:color w:val="auto"/>
                      <w:sz w:val="21"/>
                      <w:szCs w:val="21"/>
                      <w:lang w:val="en-US" w:eastAsia="zh-CN"/>
                    </w:rPr>
                    <w:t>/</w:t>
                  </w:r>
                </w:p>
              </w:tc>
              <w:tc>
                <w:tcPr>
                  <w:tcW w:w="487" w:type="pct"/>
                  <w:noWrap w:val="0"/>
                  <w:vAlign w:val="center"/>
                </w:tcPr>
                <w:p>
                  <w:pPr>
                    <w:pStyle w:val="28"/>
                    <w:spacing w:line="240" w:lineRule="auto"/>
                    <w:rPr>
                      <w:rFonts w:ascii="Times New Roman"/>
                      <w:color w:val="auto"/>
                      <w:sz w:val="21"/>
                      <w:szCs w:val="21"/>
                    </w:rPr>
                  </w:pPr>
                  <w:r>
                    <w:rPr>
                      <w:rFonts w:ascii="Times New Roman"/>
                      <w:color w:val="auto"/>
                      <w:sz w:val="21"/>
                      <w:szCs w:val="21"/>
                    </w:rPr>
                    <w:t>移动式布袋除尘器处理效率为</w:t>
                  </w:r>
                  <w:r>
                    <w:rPr>
                      <w:rFonts w:hint="eastAsia" w:ascii="Times New Roman"/>
                      <w:color w:val="auto"/>
                      <w:sz w:val="21"/>
                      <w:szCs w:val="21"/>
                    </w:rPr>
                    <w:t>50%</w:t>
                  </w:r>
                </w:p>
              </w:tc>
              <w:tc>
                <w:tcPr>
                  <w:tcW w:w="522" w:type="pct"/>
                  <w:noWrap w:val="0"/>
                  <w:vAlign w:val="center"/>
                </w:tcPr>
                <w:p>
                  <w:pPr>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005</w:t>
                  </w:r>
                </w:p>
              </w:tc>
              <w:tc>
                <w:tcPr>
                  <w:tcW w:w="465" w:type="pct"/>
                  <w:vMerge w:val="restart"/>
                  <w:tcBorders>
                    <w:right w:val="nil"/>
                  </w:tcBorders>
                  <w:noWrap w:val="0"/>
                  <w:vAlign w:val="center"/>
                </w:tcPr>
                <w:p>
                  <w:pPr>
                    <w:pStyle w:val="28"/>
                    <w:spacing w:line="240" w:lineRule="auto"/>
                    <w:rPr>
                      <w:rFonts w:hint="eastAsia" w:ascii="Times New Roman" w:eastAsia="宋体"/>
                      <w:bCs/>
                      <w:color w:val="auto"/>
                      <w:sz w:val="21"/>
                      <w:szCs w:val="21"/>
                      <w:lang w:val="en-US" w:eastAsia="zh-CN"/>
                    </w:rPr>
                  </w:pPr>
                  <w:r>
                    <w:rPr>
                      <w:rFonts w:hint="eastAsia" w:ascii="Times New Roman"/>
                      <w:bCs/>
                      <w:color w:val="auto"/>
                      <w:sz w:val="21"/>
                      <w:szCs w:val="21"/>
                      <w:lang w:val="en-US" w:eastAsia="zh-CN"/>
                    </w:rPr>
                    <w:t>1</w:t>
                  </w:r>
                </w:p>
              </w:tc>
              <w:tc>
                <w:tcPr>
                  <w:tcW w:w="465" w:type="pct"/>
                  <w:vMerge w:val="restart"/>
                  <w:tcBorders>
                    <w:right w:val="nil"/>
                  </w:tcBorders>
                  <w:noWrap w:val="0"/>
                  <w:vAlign w:val="center"/>
                </w:tcPr>
                <w:p>
                  <w:pPr>
                    <w:pStyle w:val="28"/>
                    <w:spacing w:line="240" w:lineRule="auto"/>
                    <w:rPr>
                      <w:rFonts w:ascii="Times New Roman"/>
                      <w:bCs/>
                      <w:color w:val="auto"/>
                      <w:sz w:val="21"/>
                      <w:szCs w:val="21"/>
                    </w:rPr>
                  </w:pPr>
                  <w:r>
                    <w:rPr>
                      <w:rFonts w:hint="eastAsia" w:ascii="Times New Roman"/>
                      <w:bCs/>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pPr>
                    <w:pStyle w:val="28"/>
                    <w:spacing w:line="240" w:lineRule="auto"/>
                    <w:rPr>
                      <w:rFonts w:cs="Arial"/>
                      <w:color w:val="auto"/>
                      <w:sz w:val="21"/>
                      <w:szCs w:val="21"/>
                    </w:rPr>
                  </w:pPr>
                  <w:r>
                    <w:rPr>
                      <w:rFonts w:hint="eastAsia"/>
                      <w:color w:val="auto"/>
                      <w:sz w:val="21"/>
                      <w:szCs w:val="21"/>
                    </w:rPr>
                    <w:t>抽油工段有机废气非正常排放</w:t>
                  </w:r>
                </w:p>
              </w:tc>
              <w:tc>
                <w:tcPr>
                  <w:tcW w:w="491" w:type="pct"/>
                  <w:noWrap w:val="0"/>
                  <w:vAlign w:val="center"/>
                </w:tcPr>
                <w:p>
                  <w:pPr>
                    <w:pStyle w:val="28"/>
                    <w:spacing w:line="240" w:lineRule="auto"/>
                    <w:rPr>
                      <w:rFonts w:hint="eastAsia" w:ascii="Times New Roman"/>
                      <w:bCs/>
                      <w:color w:val="auto"/>
                      <w:sz w:val="21"/>
                      <w:szCs w:val="21"/>
                    </w:rPr>
                  </w:pPr>
                  <w:r>
                    <w:rPr>
                      <w:rFonts w:hint="eastAsia" w:ascii="Times New Roman"/>
                      <w:bCs/>
                      <w:color w:val="auto"/>
                      <w:sz w:val="21"/>
                      <w:szCs w:val="21"/>
                    </w:rPr>
                    <w:t>非甲烷总烃</w:t>
                  </w:r>
                </w:p>
              </w:tc>
              <w:tc>
                <w:tcPr>
                  <w:tcW w:w="598" w:type="pct"/>
                  <w:noWrap w:val="0"/>
                  <w:vAlign w:val="center"/>
                </w:tcPr>
                <w:p>
                  <w:pPr>
                    <w:jc w:val="center"/>
                    <w:rPr>
                      <w:rFonts w:hint="default" w:eastAsia="宋体"/>
                      <w:color w:val="auto"/>
                      <w:sz w:val="21"/>
                      <w:szCs w:val="21"/>
                      <w:lang w:val="en-US" w:eastAsia="zh-CN"/>
                    </w:rPr>
                  </w:pPr>
                  <w:r>
                    <w:rPr>
                      <w:rFonts w:hint="eastAsia"/>
                      <w:color w:val="auto"/>
                      <w:sz w:val="21"/>
                      <w:szCs w:val="21"/>
                    </w:rPr>
                    <w:t>0.3</w:t>
                  </w:r>
                  <w:r>
                    <w:rPr>
                      <w:rFonts w:hint="eastAsia"/>
                      <w:color w:val="auto"/>
                      <w:sz w:val="21"/>
                      <w:szCs w:val="21"/>
                      <w:lang w:val="en-US" w:eastAsia="zh-CN"/>
                    </w:rPr>
                    <w:t>1</w:t>
                  </w:r>
                </w:p>
              </w:tc>
              <w:tc>
                <w:tcPr>
                  <w:tcW w:w="513" w:type="pct"/>
                  <w:noWrap w:val="0"/>
                  <w:vAlign w:val="center"/>
                </w:tcPr>
                <w:p>
                  <w:pPr>
                    <w:pStyle w:val="28"/>
                    <w:spacing w:line="240" w:lineRule="auto"/>
                    <w:rPr>
                      <w:rFonts w:hint="default" w:ascii="Times New Roman" w:hAnsi="Times New Roman" w:eastAsia="宋体" w:cs="Times New Roman"/>
                      <w:color w:val="auto"/>
                      <w:sz w:val="21"/>
                      <w:szCs w:val="21"/>
                      <w:lang w:val="en-US" w:eastAsia="zh-CN" w:bidi="ar-SA"/>
                    </w:rPr>
                  </w:pPr>
                  <w:r>
                    <w:rPr>
                      <w:rFonts w:hint="eastAsia" w:ascii="Times New Roman"/>
                      <w:color w:val="auto"/>
                      <w:sz w:val="21"/>
                      <w:szCs w:val="21"/>
                      <w:lang w:val="en-US" w:eastAsia="zh-CN"/>
                    </w:rPr>
                    <w:t>/</w:t>
                  </w:r>
                </w:p>
              </w:tc>
              <w:tc>
                <w:tcPr>
                  <w:tcW w:w="487" w:type="pct"/>
                  <w:noWrap w:val="0"/>
                  <w:vAlign w:val="center"/>
                </w:tcPr>
                <w:p>
                  <w:pPr>
                    <w:pStyle w:val="28"/>
                    <w:spacing w:line="240" w:lineRule="auto"/>
                    <w:rPr>
                      <w:rFonts w:ascii="Times New Roman"/>
                      <w:color w:val="auto"/>
                      <w:sz w:val="21"/>
                      <w:szCs w:val="21"/>
                    </w:rPr>
                  </w:pPr>
                  <w:r>
                    <w:rPr>
                      <w:rFonts w:hint="eastAsia"/>
                      <w:color w:val="auto"/>
                      <w:sz w:val="21"/>
                      <w:szCs w:val="21"/>
                    </w:rPr>
                    <w:t>活性炭吸附装置</w:t>
                  </w:r>
                  <w:r>
                    <w:rPr>
                      <w:rFonts w:ascii="Times New Roman"/>
                      <w:color w:val="auto"/>
                      <w:sz w:val="21"/>
                      <w:szCs w:val="21"/>
                    </w:rPr>
                    <w:t>处理效率为</w:t>
                  </w:r>
                  <w:r>
                    <w:rPr>
                      <w:rFonts w:hint="eastAsia" w:ascii="Times New Roman"/>
                      <w:color w:val="auto"/>
                      <w:sz w:val="21"/>
                      <w:szCs w:val="21"/>
                    </w:rPr>
                    <w:t>0</w:t>
                  </w:r>
                </w:p>
              </w:tc>
              <w:tc>
                <w:tcPr>
                  <w:tcW w:w="522" w:type="pct"/>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0.3</w:t>
                  </w:r>
                  <w:r>
                    <w:rPr>
                      <w:rFonts w:hint="eastAsia"/>
                      <w:color w:val="auto"/>
                      <w:sz w:val="21"/>
                      <w:szCs w:val="21"/>
                      <w:lang w:val="en-US" w:eastAsia="zh-CN"/>
                    </w:rPr>
                    <w:t>1</w:t>
                  </w:r>
                </w:p>
              </w:tc>
              <w:tc>
                <w:tcPr>
                  <w:tcW w:w="465" w:type="pct"/>
                  <w:vMerge w:val="continue"/>
                  <w:tcBorders>
                    <w:right w:val="nil"/>
                  </w:tcBorders>
                  <w:noWrap w:val="0"/>
                  <w:vAlign w:val="center"/>
                </w:tcPr>
                <w:p>
                  <w:pPr>
                    <w:pStyle w:val="28"/>
                    <w:spacing w:line="240" w:lineRule="auto"/>
                    <w:rPr>
                      <w:rFonts w:hint="eastAsia" w:ascii="Times New Roman"/>
                      <w:bCs/>
                      <w:color w:val="auto"/>
                      <w:sz w:val="21"/>
                      <w:szCs w:val="21"/>
                    </w:rPr>
                  </w:pPr>
                </w:p>
              </w:tc>
              <w:tc>
                <w:tcPr>
                  <w:tcW w:w="465" w:type="pct"/>
                  <w:vMerge w:val="continue"/>
                  <w:tcBorders>
                    <w:right w:val="nil"/>
                  </w:tcBorders>
                  <w:noWrap w:val="0"/>
                  <w:vAlign w:val="center"/>
                </w:tcPr>
                <w:p>
                  <w:pPr>
                    <w:pStyle w:val="28"/>
                    <w:spacing w:line="240" w:lineRule="auto"/>
                    <w:rPr>
                      <w:rFonts w:hint="eastAsia" w:ascii="Times New Roman"/>
                      <w:bCs/>
                      <w:color w:val="auto"/>
                      <w:sz w:val="21"/>
                      <w:szCs w:val="21"/>
                    </w:rPr>
                  </w:pPr>
                </w:p>
              </w:tc>
            </w:tr>
          </w:tbl>
          <w:p>
            <w:pPr>
              <w:pStyle w:val="82"/>
              <w:rPr>
                <w:rFonts w:hint="default" w:eastAsia="宋体"/>
                <w:color w:val="auto"/>
                <w:lang w:val="en-US" w:eastAsia="zh-CN"/>
              </w:rPr>
            </w:pPr>
            <w:r>
              <w:rPr>
                <w:color w:val="auto"/>
              </w:rPr>
              <w:t>（</w:t>
            </w:r>
            <w:r>
              <w:rPr>
                <w:rFonts w:hint="eastAsia"/>
                <w:color w:val="auto"/>
                <w:lang w:val="en-US" w:eastAsia="zh-CN"/>
              </w:rPr>
              <w:t>五</w:t>
            </w:r>
            <w:r>
              <w:rPr>
                <w:color w:val="auto"/>
              </w:rPr>
              <w:t>）</w:t>
            </w:r>
            <w:r>
              <w:rPr>
                <w:rFonts w:hint="eastAsia"/>
                <w:color w:val="auto"/>
                <w:lang w:val="en-US" w:eastAsia="zh-CN"/>
              </w:rPr>
              <w:t>可行技术</w:t>
            </w:r>
          </w:p>
          <w:p>
            <w:pPr>
              <w:pStyle w:val="75"/>
              <w:rPr>
                <w:rFonts w:hint="eastAsia"/>
                <w:color w:val="auto"/>
                <w:lang w:val="en-US" w:eastAsia="zh-CN"/>
              </w:rPr>
            </w:pPr>
            <w:r>
              <w:rPr>
                <w:rFonts w:hint="eastAsia"/>
                <w:color w:val="auto"/>
                <w:lang w:val="en-US" w:eastAsia="zh-CN"/>
              </w:rPr>
              <w:t>根据《排污许可证申请与核发技术规范 废弃资源加工工业》（HJ1034-2019），拆解过程中可行技术要求为颗粒物采用布袋除尘器，非甲烷总烃为净化装置。本项目颗粒物采用移动式布袋除尘器，非甲烷总烃采用集气罩+活性炭吸附装置，项目采用的防治措施属于《排污许可证申请与核发技术规范  废弃资源加工工业》（HJ1034-2019）中要求的可行技术。</w:t>
            </w:r>
          </w:p>
          <w:p>
            <w:pPr>
              <w:pStyle w:val="82"/>
              <w:rPr>
                <w:color w:val="auto"/>
              </w:rPr>
            </w:pPr>
            <w:r>
              <w:rPr>
                <w:color w:val="auto"/>
              </w:rPr>
              <w:t>（</w:t>
            </w:r>
            <w:r>
              <w:rPr>
                <w:rFonts w:hint="eastAsia"/>
                <w:color w:val="auto"/>
                <w:lang w:val="en-US" w:eastAsia="zh-CN"/>
              </w:rPr>
              <w:t>六</w:t>
            </w:r>
            <w:r>
              <w:rPr>
                <w:color w:val="auto"/>
              </w:rPr>
              <w:t>）废气排放污染物核算情况</w:t>
            </w:r>
          </w:p>
          <w:p>
            <w:pPr>
              <w:pStyle w:val="76"/>
              <w:rPr>
                <w:color w:val="auto"/>
              </w:rPr>
            </w:pPr>
            <w:r>
              <w:rPr>
                <w:color w:val="auto"/>
              </w:rPr>
              <w:t>表4-3 大气污染物无组织排放量核算表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
              <w:gridCol w:w="477"/>
              <w:gridCol w:w="584"/>
              <w:gridCol w:w="583"/>
              <w:gridCol w:w="1325"/>
              <w:gridCol w:w="1975"/>
              <w:gridCol w:w="1203"/>
              <w:gridCol w:w="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restart"/>
                  <w:shd w:val="clear" w:color="auto" w:fill="auto"/>
                  <w:vAlign w:val="center"/>
                </w:tcPr>
                <w:p>
                  <w:pPr>
                    <w:pStyle w:val="78"/>
                    <w:rPr>
                      <w:color w:val="auto"/>
                    </w:rPr>
                  </w:pPr>
                  <w:r>
                    <w:rPr>
                      <w:color w:val="auto"/>
                    </w:rPr>
                    <w:t>序号</w:t>
                  </w:r>
                </w:p>
              </w:tc>
              <w:tc>
                <w:tcPr>
                  <w:tcW w:w="488" w:type="dxa"/>
                  <w:vMerge w:val="restart"/>
                  <w:shd w:val="clear" w:color="auto" w:fill="auto"/>
                  <w:vAlign w:val="center"/>
                </w:tcPr>
                <w:p>
                  <w:pPr>
                    <w:pStyle w:val="78"/>
                    <w:rPr>
                      <w:color w:val="auto"/>
                    </w:rPr>
                  </w:pPr>
                  <w:r>
                    <w:rPr>
                      <w:color w:val="auto"/>
                    </w:rPr>
                    <w:t>排放口编号</w:t>
                  </w:r>
                </w:p>
              </w:tc>
              <w:tc>
                <w:tcPr>
                  <w:tcW w:w="599" w:type="dxa"/>
                  <w:vMerge w:val="restart"/>
                  <w:shd w:val="clear" w:color="auto" w:fill="auto"/>
                  <w:vAlign w:val="center"/>
                </w:tcPr>
                <w:p>
                  <w:pPr>
                    <w:pStyle w:val="78"/>
                    <w:rPr>
                      <w:color w:val="auto"/>
                    </w:rPr>
                  </w:pPr>
                  <w:r>
                    <w:rPr>
                      <w:color w:val="auto"/>
                    </w:rPr>
                    <w:t>产污环节</w:t>
                  </w:r>
                </w:p>
              </w:tc>
              <w:tc>
                <w:tcPr>
                  <w:tcW w:w="598" w:type="dxa"/>
                  <w:vMerge w:val="restart"/>
                  <w:shd w:val="clear" w:color="auto" w:fill="auto"/>
                  <w:vAlign w:val="center"/>
                </w:tcPr>
                <w:p>
                  <w:pPr>
                    <w:pStyle w:val="78"/>
                    <w:rPr>
                      <w:color w:val="auto"/>
                    </w:rPr>
                  </w:pPr>
                  <w:r>
                    <w:rPr>
                      <w:color w:val="auto"/>
                    </w:rPr>
                    <w:t>污染物</w:t>
                  </w:r>
                </w:p>
              </w:tc>
              <w:tc>
                <w:tcPr>
                  <w:tcW w:w="1371" w:type="dxa"/>
                  <w:vMerge w:val="restart"/>
                  <w:shd w:val="clear" w:color="auto" w:fill="auto"/>
                  <w:vAlign w:val="center"/>
                </w:tcPr>
                <w:p>
                  <w:pPr>
                    <w:pStyle w:val="78"/>
                    <w:rPr>
                      <w:color w:val="auto"/>
                    </w:rPr>
                  </w:pPr>
                  <w:r>
                    <w:rPr>
                      <w:color w:val="auto"/>
                    </w:rPr>
                    <w:t>主要污染防治措施</w:t>
                  </w:r>
                </w:p>
              </w:tc>
              <w:tc>
                <w:tcPr>
                  <w:tcW w:w="3292" w:type="dxa"/>
                  <w:gridSpan w:val="2"/>
                  <w:shd w:val="clear" w:color="auto" w:fill="auto"/>
                  <w:vAlign w:val="center"/>
                </w:tcPr>
                <w:p>
                  <w:pPr>
                    <w:pStyle w:val="78"/>
                    <w:rPr>
                      <w:color w:val="auto"/>
                    </w:rPr>
                  </w:pPr>
                  <w:r>
                    <w:rPr>
                      <w:color w:val="auto"/>
                    </w:rPr>
                    <w:t>国家或地方污染物排放标准</w:t>
                  </w:r>
                </w:p>
              </w:tc>
              <w:tc>
                <w:tcPr>
                  <w:tcW w:w="935" w:type="dxa"/>
                  <w:vMerge w:val="restart"/>
                  <w:shd w:val="clear" w:color="auto" w:fill="auto"/>
                  <w:vAlign w:val="center"/>
                </w:tcPr>
                <w:p>
                  <w:pPr>
                    <w:pStyle w:val="78"/>
                    <w:rPr>
                      <w:color w:val="auto"/>
                    </w:rPr>
                  </w:pPr>
                  <w:r>
                    <w:rPr>
                      <w:color w:val="auto"/>
                    </w:rPr>
                    <w:t>年排放量</w:t>
                  </w:r>
                </w:p>
                <w:p>
                  <w:pPr>
                    <w:pStyle w:val="78"/>
                    <w:rPr>
                      <w:color w:val="auto"/>
                    </w:rPr>
                  </w:pPr>
                  <w:r>
                    <w:rPr>
                      <w:color w:val="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continue"/>
                  <w:shd w:val="clear" w:color="auto" w:fill="auto"/>
                  <w:vAlign w:val="center"/>
                </w:tcPr>
                <w:p>
                  <w:pPr>
                    <w:pStyle w:val="78"/>
                    <w:rPr>
                      <w:color w:val="auto"/>
                    </w:rPr>
                  </w:pPr>
                </w:p>
              </w:tc>
              <w:tc>
                <w:tcPr>
                  <w:tcW w:w="488" w:type="dxa"/>
                  <w:vMerge w:val="continue"/>
                  <w:shd w:val="clear" w:color="auto" w:fill="auto"/>
                  <w:vAlign w:val="center"/>
                </w:tcPr>
                <w:p>
                  <w:pPr>
                    <w:pStyle w:val="78"/>
                    <w:rPr>
                      <w:color w:val="auto"/>
                    </w:rPr>
                  </w:pPr>
                </w:p>
              </w:tc>
              <w:tc>
                <w:tcPr>
                  <w:tcW w:w="599" w:type="dxa"/>
                  <w:vMerge w:val="continue"/>
                  <w:shd w:val="clear" w:color="auto" w:fill="auto"/>
                  <w:vAlign w:val="center"/>
                </w:tcPr>
                <w:p>
                  <w:pPr>
                    <w:pStyle w:val="78"/>
                    <w:rPr>
                      <w:color w:val="auto"/>
                    </w:rPr>
                  </w:pPr>
                </w:p>
              </w:tc>
              <w:tc>
                <w:tcPr>
                  <w:tcW w:w="598" w:type="dxa"/>
                  <w:vMerge w:val="continue"/>
                  <w:shd w:val="clear" w:color="auto" w:fill="auto"/>
                  <w:vAlign w:val="center"/>
                </w:tcPr>
                <w:p>
                  <w:pPr>
                    <w:pStyle w:val="78"/>
                    <w:rPr>
                      <w:color w:val="auto"/>
                    </w:rPr>
                  </w:pPr>
                </w:p>
              </w:tc>
              <w:tc>
                <w:tcPr>
                  <w:tcW w:w="1371" w:type="dxa"/>
                  <w:vMerge w:val="continue"/>
                  <w:shd w:val="clear" w:color="auto" w:fill="auto"/>
                  <w:vAlign w:val="center"/>
                </w:tcPr>
                <w:p>
                  <w:pPr>
                    <w:pStyle w:val="78"/>
                    <w:rPr>
                      <w:color w:val="auto"/>
                    </w:rPr>
                  </w:pPr>
                </w:p>
              </w:tc>
              <w:tc>
                <w:tcPr>
                  <w:tcW w:w="2048" w:type="dxa"/>
                  <w:shd w:val="clear" w:color="auto" w:fill="auto"/>
                  <w:vAlign w:val="center"/>
                </w:tcPr>
                <w:p>
                  <w:pPr>
                    <w:pStyle w:val="78"/>
                    <w:rPr>
                      <w:color w:val="auto"/>
                    </w:rPr>
                  </w:pPr>
                  <w:r>
                    <w:rPr>
                      <w:color w:val="auto"/>
                    </w:rPr>
                    <w:t>标准</w:t>
                  </w:r>
                </w:p>
                <w:p>
                  <w:pPr>
                    <w:pStyle w:val="78"/>
                    <w:rPr>
                      <w:color w:val="auto"/>
                    </w:rPr>
                  </w:pPr>
                  <w:r>
                    <w:rPr>
                      <w:color w:val="auto"/>
                    </w:rPr>
                    <w:t>名称</w:t>
                  </w:r>
                </w:p>
              </w:tc>
              <w:tc>
                <w:tcPr>
                  <w:tcW w:w="1244" w:type="dxa"/>
                  <w:shd w:val="clear" w:color="auto" w:fill="auto"/>
                  <w:vAlign w:val="center"/>
                </w:tcPr>
                <w:p>
                  <w:pPr>
                    <w:pStyle w:val="78"/>
                    <w:rPr>
                      <w:color w:val="auto"/>
                    </w:rPr>
                  </w:pPr>
                  <w:r>
                    <w:rPr>
                      <w:color w:val="auto"/>
                    </w:rPr>
                    <w:t>厂界无组织排放浓度监控限值（mg/m</w:t>
                  </w:r>
                  <w:r>
                    <w:rPr>
                      <w:color w:val="auto"/>
                      <w:vertAlign w:val="superscript"/>
                    </w:rPr>
                    <w:t>3</w:t>
                  </w:r>
                  <w:r>
                    <w:rPr>
                      <w:color w:val="auto"/>
                    </w:rPr>
                    <w:t>）</w:t>
                  </w:r>
                </w:p>
              </w:tc>
              <w:tc>
                <w:tcPr>
                  <w:tcW w:w="935" w:type="dxa"/>
                  <w:vMerge w:val="continue"/>
                  <w:shd w:val="clear" w:color="auto" w:fill="auto"/>
                  <w:vAlign w:val="center"/>
                </w:tcPr>
                <w:p>
                  <w:pPr>
                    <w:pStyle w:val="78"/>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restart"/>
                  <w:shd w:val="clear" w:color="auto" w:fill="auto"/>
                  <w:vAlign w:val="center"/>
                </w:tcPr>
                <w:p>
                  <w:pPr>
                    <w:pStyle w:val="78"/>
                    <w:rPr>
                      <w:color w:val="auto"/>
                    </w:rPr>
                  </w:pPr>
                  <w:r>
                    <w:rPr>
                      <w:color w:val="auto"/>
                    </w:rPr>
                    <w:t>1</w:t>
                  </w:r>
                </w:p>
              </w:tc>
              <w:tc>
                <w:tcPr>
                  <w:tcW w:w="488" w:type="dxa"/>
                  <w:vMerge w:val="restart"/>
                  <w:shd w:val="clear" w:color="auto" w:fill="auto"/>
                  <w:vAlign w:val="center"/>
                </w:tcPr>
                <w:p>
                  <w:pPr>
                    <w:pStyle w:val="78"/>
                    <w:rPr>
                      <w:color w:val="auto"/>
                    </w:rPr>
                  </w:pPr>
                  <w:r>
                    <w:rPr>
                      <w:color w:val="auto"/>
                    </w:rPr>
                    <w:t>/</w:t>
                  </w:r>
                </w:p>
              </w:tc>
              <w:tc>
                <w:tcPr>
                  <w:tcW w:w="599" w:type="dxa"/>
                  <w:shd w:val="clear" w:color="auto" w:fill="auto"/>
                  <w:vAlign w:val="center"/>
                </w:tcPr>
                <w:p>
                  <w:pPr>
                    <w:pStyle w:val="78"/>
                    <w:jc w:val="both"/>
                    <w:rPr>
                      <w:color w:val="auto"/>
                    </w:rPr>
                  </w:pPr>
                  <w:r>
                    <w:rPr>
                      <w:color w:val="auto"/>
                    </w:rPr>
                    <w:t>废钢铁切割</w:t>
                  </w:r>
                </w:p>
              </w:tc>
              <w:tc>
                <w:tcPr>
                  <w:tcW w:w="598" w:type="dxa"/>
                  <w:shd w:val="clear" w:color="auto" w:fill="auto"/>
                  <w:vAlign w:val="center"/>
                </w:tcPr>
                <w:p>
                  <w:pPr>
                    <w:pStyle w:val="78"/>
                    <w:jc w:val="both"/>
                    <w:rPr>
                      <w:color w:val="auto"/>
                    </w:rPr>
                  </w:pPr>
                  <w:r>
                    <w:rPr>
                      <w:color w:val="auto"/>
                    </w:rPr>
                    <w:t>颗粒物</w:t>
                  </w:r>
                </w:p>
              </w:tc>
              <w:tc>
                <w:tcPr>
                  <w:tcW w:w="1371" w:type="dxa"/>
                  <w:shd w:val="clear" w:color="auto" w:fill="auto"/>
                  <w:vAlign w:val="center"/>
                </w:tcPr>
                <w:p>
                  <w:pPr>
                    <w:pStyle w:val="78"/>
                    <w:jc w:val="both"/>
                    <w:rPr>
                      <w:rFonts w:hint="eastAsia" w:eastAsia="宋体"/>
                      <w:color w:val="auto"/>
                      <w:lang w:eastAsia="zh-CN"/>
                    </w:rPr>
                  </w:pPr>
                  <w:r>
                    <w:rPr>
                      <w:color w:val="auto"/>
                    </w:rPr>
                    <w:t>本项目在全封闭拆解车间内切割工位设置</w:t>
                  </w:r>
                  <w:r>
                    <w:rPr>
                      <w:rFonts w:hint="eastAsia"/>
                      <w:color w:val="auto"/>
                      <w:lang w:eastAsia="zh-CN"/>
                    </w:rPr>
                    <w:t>移动式布袋除尘器</w:t>
                  </w:r>
                </w:p>
              </w:tc>
              <w:tc>
                <w:tcPr>
                  <w:tcW w:w="2048" w:type="dxa"/>
                  <w:vMerge w:val="restart"/>
                  <w:shd w:val="clear" w:color="auto" w:fill="auto"/>
                  <w:vAlign w:val="center"/>
                </w:tcPr>
                <w:p>
                  <w:pPr>
                    <w:pStyle w:val="78"/>
                    <w:jc w:val="both"/>
                    <w:rPr>
                      <w:rFonts w:hint="eastAsia" w:eastAsia="宋体"/>
                      <w:color w:val="auto"/>
                      <w:lang w:eastAsia="zh-CN"/>
                    </w:rPr>
                  </w:pPr>
                  <w:r>
                    <w:rPr>
                      <w:color w:val="auto"/>
                    </w:rPr>
                    <w:t>《大气污染物综合排放标准》（GB16297-1996）</w:t>
                  </w:r>
                  <w:r>
                    <w:rPr>
                      <w:rFonts w:hint="eastAsia"/>
                      <w:color w:val="auto"/>
                      <w:lang w:eastAsia="zh-CN"/>
                    </w:rPr>
                    <w:t>、《挥发性有机物无组织排放控制标准》（GB37822 -2019）</w:t>
                  </w:r>
                </w:p>
              </w:tc>
              <w:tc>
                <w:tcPr>
                  <w:tcW w:w="1244" w:type="dxa"/>
                  <w:shd w:val="clear" w:color="auto" w:fill="auto"/>
                  <w:vAlign w:val="center"/>
                </w:tcPr>
                <w:p>
                  <w:pPr>
                    <w:pStyle w:val="78"/>
                    <w:rPr>
                      <w:color w:val="auto"/>
                    </w:rPr>
                  </w:pPr>
                  <w:r>
                    <w:rPr>
                      <w:color w:val="auto"/>
                    </w:rPr>
                    <w:t>1.0</w:t>
                  </w:r>
                </w:p>
              </w:tc>
              <w:tc>
                <w:tcPr>
                  <w:tcW w:w="935" w:type="dxa"/>
                  <w:shd w:val="clear" w:color="auto" w:fill="auto"/>
                  <w:vAlign w:val="center"/>
                </w:tcPr>
                <w:p>
                  <w:pPr>
                    <w:pStyle w:val="78"/>
                    <w:rPr>
                      <w:color w:val="auto"/>
                    </w:rPr>
                  </w:pPr>
                  <w:r>
                    <w:rPr>
                      <w:rFonts w:hint="eastAsia"/>
                      <w:color w:val="auto"/>
                    </w:rPr>
                    <w:t>0.00</w:t>
                  </w:r>
                  <w:r>
                    <w:rPr>
                      <w:rFonts w:hint="eastAsia"/>
                      <w:color w:val="auto"/>
                      <w:lang w:val="en-US" w:eastAsia="zh-CN"/>
                    </w:rPr>
                    <w:t>01</w:t>
                  </w:r>
                  <w:r>
                    <w:rPr>
                      <w:rFonts w:hint="eastAsia"/>
                      <w:color w:val="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469" w:type="dxa"/>
                  <w:vMerge w:val="continue"/>
                  <w:tcBorders>
                    <w:bottom w:val="single" w:color="auto" w:sz="4" w:space="0"/>
                  </w:tcBorders>
                  <w:shd w:val="clear" w:color="auto" w:fill="auto"/>
                  <w:vAlign w:val="center"/>
                </w:tcPr>
                <w:p>
                  <w:pPr>
                    <w:pStyle w:val="78"/>
                    <w:rPr>
                      <w:color w:val="auto"/>
                    </w:rPr>
                  </w:pPr>
                </w:p>
              </w:tc>
              <w:tc>
                <w:tcPr>
                  <w:tcW w:w="488" w:type="dxa"/>
                  <w:vMerge w:val="continue"/>
                  <w:shd w:val="clear" w:color="auto" w:fill="auto"/>
                  <w:vAlign w:val="center"/>
                </w:tcPr>
                <w:p>
                  <w:pPr>
                    <w:pStyle w:val="78"/>
                    <w:rPr>
                      <w:color w:val="auto"/>
                    </w:rPr>
                  </w:pPr>
                </w:p>
              </w:tc>
              <w:tc>
                <w:tcPr>
                  <w:tcW w:w="599" w:type="dxa"/>
                  <w:shd w:val="clear" w:color="auto" w:fill="auto"/>
                  <w:vAlign w:val="center"/>
                </w:tcPr>
                <w:p>
                  <w:pPr>
                    <w:pStyle w:val="78"/>
                    <w:jc w:val="both"/>
                    <w:rPr>
                      <w:color w:val="auto"/>
                    </w:rPr>
                  </w:pPr>
                  <w:r>
                    <w:rPr>
                      <w:color w:val="auto"/>
                      <w:szCs w:val="21"/>
                    </w:rPr>
                    <w:t>排空油箱油品</w:t>
                  </w:r>
                </w:p>
              </w:tc>
              <w:tc>
                <w:tcPr>
                  <w:tcW w:w="598" w:type="dxa"/>
                  <w:shd w:val="clear" w:color="auto" w:fill="auto"/>
                  <w:vAlign w:val="center"/>
                </w:tcPr>
                <w:p>
                  <w:pPr>
                    <w:pStyle w:val="78"/>
                    <w:jc w:val="both"/>
                    <w:rPr>
                      <w:color w:val="auto"/>
                    </w:rPr>
                  </w:pPr>
                  <w:r>
                    <w:rPr>
                      <w:color w:val="auto"/>
                    </w:rPr>
                    <w:t>非甲烷总烃</w:t>
                  </w:r>
                </w:p>
              </w:tc>
              <w:tc>
                <w:tcPr>
                  <w:tcW w:w="1371" w:type="dxa"/>
                  <w:shd w:val="clear" w:color="auto" w:fill="auto"/>
                  <w:vAlign w:val="center"/>
                </w:tcPr>
                <w:p>
                  <w:pPr>
                    <w:pStyle w:val="78"/>
                    <w:jc w:val="both"/>
                    <w:rPr>
                      <w:color w:val="auto"/>
                    </w:rPr>
                  </w:pPr>
                  <w:r>
                    <w:rPr>
                      <w:rFonts w:hint="eastAsia"/>
                      <w:color w:val="auto"/>
                      <w:lang w:val="en-US" w:eastAsia="zh-CN"/>
                    </w:rPr>
                    <w:t>抽油工段采用</w:t>
                  </w:r>
                  <w:r>
                    <w:rPr>
                      <w:rFonts w:hint="eastAsia"/>
                      <w:color w:val="auto"/>
                    </w:rPr>
                    <w:t>集气罩+活性炭吸附装置</w:t>
                  </w:r>
                </w:p>
              </w:tc>
              <w:tc>
                <w:tcPr>
                  <w:tcW w:w="2048" w:type="dxa"/>
                  <w:vMerge w:val="continue"/>
                  <w:shd w:val="clear" w:color="auto" w:fill="auto"/>
                  <w:vAlign w:val="center"/>
                </w:tcPr>
                <w:p>
                  <w:pPr>
                    <w:pStyle w:val="78"/>
                    <w:rPr>
                      <w:color w:val="auto"/>
                    </w:rPr>
                  </w:pPr>
                </w:p>
              </w:tc>
              <w:tc>
                <w:tcPr>
                  <w:tcW w:w="1244" w:type="dxa"/>
                  <w:shd w:val="clear" w:color="auto" w:fill="auto"/>
                  <w:vAlign w:val="center"/>
                </w:tcPr>
                <w:p>
                  <w:pPr>
                    <w:pStyle w:val="78"/>
                    <w:rPr>
                      <w:color w:val="auto"/>
                    </w:rPr>
                  </w:pPr>
                  <w:r>
                    <w:rPr>
                      <w:color w:val="auto"/>
                    </w:rPr>
                    <w:t>4.0</w:t>
                  </w:r>
                </w:p>
              </w:tc>
              <w:tc>
                <w:tcPr>
                  <w:tcW w:w="935" w:type="dxa"/>
                  <w:tcBorders>
                    <w:bottom w:val="single" w:color="auto" w:sz="4" w:space="0"/>
                  </w:tcBorders>
                  <w:shd w:val="clear" w:color="auto" w:fill="auto"/>
                  <w:vAlign w:val="center"/>
                </w:tcPr>
                <w:p>
                  <w:pPr>
                    <w:pStyle w:val="78"/>
                    <w:rPr>
                      <w:color w:val="auto"/>
                    </w:rPr>
                  </w:pPr>
                  <w:r>
                    <w:rPr>
                      <w:rFonts w:hint="eastAsia"/>
                      <w:color w:val="auto"/>
                    </w:rPr>
                    <w:t>0.</w:t>
                  </w:r>
                  <w:r>
                    <w:rPr>
                      <w:rFonts w:hint="eastAsia"/>
                      <w:color w:val="auto"/>
                      <w:lang w:val="en-US" w:eastAsia="zh-CN"/>
                    </w:rPr>
                    <w:t>01</w:t>
                  </w:r>
                  <w:r>
                    <w:rPr>
                      <w:rFonts w:hint="eastAsia"/>
                      <w:color w:val="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6" w:type="dxa"/>
                  <w:gridSpan w:val="3"/>
                  <w:vMerge w:val="restart"/>
                  <w:tcBorders>
                    <w:top w:val="single" w:color="auto" w:sz="4" w:space="0"/>
                  </w:tcBorders>
                  <w:shd w:val="clear" w:color="auto" w:fill="auto"/>
                  <w:vAlign w:val="center"/>
                </w:tcPr>
                <w:p>
                  <w:pPr>
                    <w:pStyle w:val="78"/>
                    <w:rPr>
                      <w:color w:val="auto"/>
                    </w:rPr>
                  </w:pPr>
                  <w:r>
                    <w:rPr>
                      <w:color w:val="auto"/>
                    </w:rPr>
                    <w:t>无组织排放总计</w:t>
                  </w:r>
                </w:p>
              </w:tc>
              <w:tc>
                <w:tcPr>
                  <w:tcW w:w="598" w:type="dxa"/>
                  <w:tcBorders>
                    <w:top w:val="single" w:color="auto" w:sz="4" w:space="0"/>
                    <w:bottom w:val="single" w:color="auto" w:sz="4" w:space="0"/>
                  </w:tcBorders>
                  <w:shd w:val="clear" w:color="auto" w:fill="auto"/>
                  <w:vAlign w:val="center"/>
                </w:tcPr>
                <w:p>
                  <w:pPr>
                    <w:pStyle w:val="78"/>
                    <w:jc w:val="both"/>
                    <w:rPr>
                      <w:color w:val="auto"/>
                    </w:rPr>
                  </w:pPr>
                  <w:r>
                    <w:rPr>
                      <w:color w:val="auto"/>
                    </w:rPr>
                    <w:t>颗粒物</w:t>
                  </w:r>
                </w:p>
              </w:tc>
              <w:tc>
                <w:tcPr>
                  <w:tcW w:w="4663" w:type="dxa"/>
                  <w:gridSpan w:val="3"/>
                  <w:tcBorders>
                    <w:top w:val="single" w:color="auto" w:sz="4" w:space="0"/>
                    <w:bottom w:val="single" w:color="auto" w:sz="4" w:space="0"/>
                  </w:tcBorders>
                  <w:shd w:val="clear" w:color="auto" w:fill="auto"/>
                  <w:vAlign w:val="center"/>
                </w:tcPr>
                <w:p>
                  <w:pPr>
                    <w:pStyle w:val="78"/>
                    <w:rPr>
                      <w:color w:val="auto"/>
                    </w:rPr>
                  </w:pPr>
                  <w:r>
                    <w:rPr>
                      <w:color w:val="auto"/>
                    </w:rPr>
                    <w:t>/</w:t>
                  </w:r>
                </w:p>
              </w:tc>
              <w:tc>
                <w:tcPr>
                  <w:tcW w:w="935" w:type="dxa"/>
                  <w:tcBorders>
                    <w:top w:val="single" w:color="auto" w:sz="4" w:space="0"/>
                    <w:bottom w:val="single" w:color="auto" w:sz="4" w:space="0"/>
                  </w:tcBorders>
                  <w:shd w:val="clear" w:color="auto" w:fill="auto"/>
                  <w:vAlign w:val="center"/>
                </w:tcPr>
                <w:p>
                  <w:pPr>
                    <w:pStyle w:val="78"/>
                    <w:rPr>
                      <w:rFonts w:ascii="Times New Roman" w:hAnsi="Times New Roman" w:eastAsia="宋体" w:cs="Times New Roman"/>
                      <w:color w:val="auto"/>
                      <w:kern w:val="2"/>
                      <w:sz w:val="21"/>
                      <w:szCs w:val="24"/>
                      <w:lang w:val="en-US" w:eastAsia="zh-CN" w:bidi="ar-SA"/>
                    </w:rPr>
                  </w:pPr>
                  <w:r>
                    <w:rPr>
                      <w:rFonts w:hint="eastAsia"/>
                      <w:color w:val="auto"/>
                    </w:rPr>
                    <w:t>0.00</w:t>
                  </w:r>
                  <w:r>
                    <w:rPr>
                      <w:rFonts w:hint="eastAsia"/>
                      <w:color w:val="auto"/>
                      <w:lang w:val="en-US" w:eastAsia="zh-CN"/>
                    </w:rPr>
                    <w:t>01</w:t>
                  </w:r>
                  <w:r>
                    <w:rPr>
                      <w:rFonts w:hint="eastAsia"/>
                      <w:color w:val="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6" w:type="dxa"/>
                  <w:gridSpan w:val="3"/>
                  <w:vMerge w:val="continue"/>
                  <w:tcBorders>
                    <w:bottom w:val="single" w:color="auto" w:sz="12" w:space="0"/>
                  </w:tcBorders>
                  <w:shd w:val="clear" w:color="auto" w:fill="auto"/>
                  <w:vAlign w:val="center"/>
                </w:tcPr>
                <w:p>
                  <w:pPr>
                    <w:pStyle w:val="78"/>
                    <w:rPr>
                      <w:color w:val="auto"/>
                    </w:rPr>
                  </w:pPr>
                </w:p>
              </w:tc>
              <w:tc>
                <w:tcPr>
                  <w:tcW w:w="598" w:type="dxa"/>
                  <w:tcBorders>
                    <w:top w:val="single" w:color="auto" w:sz="4" w:space="0"/>
                    <w:bottom w:val="single" w:color="auto" w:sz="12" w:space="0"/>
                  </w:tcBorders>
                  <w:shd w:val="clear" w:color="auto" w:fill="auto"/>
                  <w:vAlign w:val="center"/>
                </w:tcPr>
                <w:p>
                  <w:pPr>
                    <w:pStyle w:val="78"/>
                    <w:jc w:val="both"/>
                    <w:rPr>
                      <w:color w:val="auto"/>
                    </w:rPr>
                  </w:pPr>
                  <w:r>
                    <w:rPr>
                      <w:color w:val="auto"/>
                    </w:rPr>
                    <w:t>非甲烷总烃</w:t>
                  </w:r>
                </w:p>
              </w:tc>
              <w:tc>
                <w:tcPr>
                  <w:tcW w:w="4663" w:type="dxa"/>
                  <w:gridSpan w:val="3"/>
                  <w:tcBorders>
                    <w:top w:val="single" w:color="auto" w:sz="4" w:space="0"/>
                    <w:bottom w:val="single" w:color="auto" w:sz="12" w:space="0"/>
                  </w:tcBorders>
                  <w:shd w:val="clear" w:color="auto" w:fill="auto"/>
                  <w:vAlign w:val="center"/>
                </w:tcPr>
                <w:p>
                  <w:pPr>
                    <w:pStyle w:val="78"/>
                    <w:rPr>
                      <w:color w:val="auto"/>
                    </w:rPr>
                  </w:pPr>
                  <w:r>
                    <w:rPr>
                      <w:color w:val="auto"/>
                    </w:rPr>
                    <w:t>/</w:t>
                  </w:r>
                </w:p>
              </w:tc>
              <w:tc>
                <w:tcPr>
                  <w:tcW w:w="935" w:type="dxa"/>
                  <w:tcBorders>
                    <w:top w:val="single" w:color="auto" w:sz="4" w:space="0"/>
                    <w:bottom w:val="single" w:color="auto" w:sz="12" w:space="0"/>
                  </w:tcBorders>
                  <w:shd w:val="clear" w:color="auto" w:fill="auto"/>
                  <w:vAlign w:val="center"/>
                </w:tcPr>
                <w:p>
                  <w:pPr>
                    <w:pStyle w:val="78"/>
                    <w:rPr>
                      <w:rFonts w:ascii="Times New Roman" w:hAnsi="Times New Roman" w:eastAsia="宋体" w:cs="Times New Roman"/>
                      <w:color w:val="auto"/>
                      <w:kern w:val="2"/>
                      <w:sz w:val="21"/>
                      <w:szCs w:val="24"/>
                      <w:lang w:val="en-US" w:eastAsia="zh-CN" w:bidi="ar-SA"/>
                    </w:rPr>
                  </w:pPr>
                  <w:r>
                    <w:rPr>
                      <w:rFonts w:hint="eastAsia"/>
                      <w:color w:val="auto"/>
                    </w:rPr>
                    <w:t>0.</w:t>
                  </w:r>
                  <w:r>
                    <w:rPr>
                      <w:rFonts w:hint="eastAsia"/>
                      <w:color w:val="auto"/>
                      <w:lang w:val="en-US" w:eastAsia="zh-CN"/>
                    </w:rPr>
                    <w:t>01</w:t>
                  </w:r>
                  <w:r>
                    <w:rPr>
                      <w:rFonts w:hint="eastAsia"/>
                      <w:color w:val="auto"/>
                    </w:rPr>
                    <w:t xml:space="preserve"> </w:t>
                  </w:r>
                </w:p>
              </w:tc>
            </w:tr>
          </w:tbl>
          <w:p>
            <w:pPr>
              <w:pStyle w:val="76"/>
              <w:rPr>
                <w:color w:val="auto"/>
              </w:rPr>
            </w:pPr>
            <w:r>
              <w:rPr>
                <w:color w:val="auto"/>
              </w:rPr>
              <w:t>表4-4 大气污染物年排放量核算表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65"/>
              <w:gridCol w:w="2237"/>
              <w:gridCol w:w="29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2440" w:type="dxa"/>
                  <w:shd w:val="clear" w:color="auto" w:fill="auto"/>
                  <w:vAlign w:val="center"/>
                </w:tcPr>
                <w:p>
                  <w:pPr>
                    <w:pStyle w:val="78"/>
                    <w:rPr>
                      <w:color w:val="auto"/>
                    </w:rPr>
                  </w:pPr>
                  <w:r>
                    <w:rPr>
                      <w:color w:val="auto"/>
                    </w:rPr>
                    <w:t>序号</w:t>
                  </w:r>
                </w:p>
              </w:tc>
              <w:tc>
                <w:tcPr>
                  <w:tcW w:w="2307" w:type="dxa"/>
                  <w:shd w:val="clear" w:color="auto" w:fill="auto"/>
                  <w:vAlign w:val="center"/>
                </w:tcPr>
                <w:p>
                  <w:pPr>
                    <w:pStyle w:val="78"/>
                    <w:rPr>
                      <w:color w:val="auto"/>
                    </w:rPr>
                  </w:pPr>
                  <w:r>
                    <w:rPr>
                      <w:color w:val="auto"/>
                    </w:rPr>
                    <w:t>污染物</w:t>
                  </w:r>
                </w:p>
              </w:tc>
              <w:tc>
                <w:tcPr>
                  <w:tcW w:w="3005" w:type="dxa"/>
                  <w:shd w:val="clear" w:color="auto" w:fill="auto"/>
                  <w:vAlign w:val="center"/>
                </w:tcPr>
                <w:p>
                  <w:pPr>
                    <w:pStyle w:val="78"/>
                    <w:rPr>
                      <w:color w:val="auto"/>
                    </w:rPr>
                  </w:pPr>
                  <w:r>
                    <w:rPr>
                      <w:color w:val="auto"/>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pPr>
                    <w:pStyle w:val="78"/>
                    <w:rPr>
                      <w:color w:val="auto"/>
                    </w:rPr>
                  </w:pPr>
                  <w:r>
                    <w:rPr>
                      <w:color w:val="auto"/>
                    </w:rPr>
                    <w:t>1</w:t>
                  </w:r>
                </w:p>
              </w:tc>
              <w:tc>
                <w:tcPr>
                  <w:tcW w:w="2307" w:type="dxa"/>
                  <w:shd w:val="clear" w:color="auto" w:fill="auto"/>
                  <w:vAlign w:val="center"/>
                </w:tcPr>
                <w:p>
                  <w:pPr>
                    <w:pStyle w:val="78"/>
                    <w:rPr>
                      <w:color w:val="auto"/>
                    </w:rPr>
                  </w:pPr>
                  <w:r>
                    <w:rPr>
                      <w:color w:val="auto"/>
                    </w:rPr>
                    <w:t>颗粒物</w:t>
                  </w:r>
                </w:p>
              </w:tc>
              <w:tc>
                <w:tcPr>
                  <w:tcW w:w="3005" w:type="dxa"/>
                  <w:shd w:val="clear" w:color="auto" w:fill="auto"/>
                  <w:vAlign w:val="center"/>
                </w:tcPr>
                <w:p>
                  <w:pPr>
                    <w:pStyle w:val="78"/>
                    <w:rPr>
                      <w:rFonts w:ascii="Times New Roman" w:hAnsi="Times New Roman" w:eastAsia="宋体" w:cs="Times New Roman"/>
                      <w:color w:val="auto"/>
                      <w:kern w:val="2"/>
                      <w:sz w:val="21"/>
                      <w:szCs w:val="24"/>
                      <w:lang w:val="en-US" w:eastAsia="zh-CN" w:bidi="ar-SA"/>
                    </w:rPr>
                  </w:pPr>
                  <w:r>
                    <w:rPr>
                      <w:rFonts w:hint="eastAsia"/>
                      <w:color w:val="auto"/>
                    </w:rPr>
                    <w:t>0.00</w:t>
                  </w:r>
                  <w:r>
                    <w:rPr>
                      <w:rFonts w:hint="eastAsia"/>
                      <w:color w:val="auto"/>
                      <w:lang w:val="en-US" w:eastAsia="zh-CN"/>
                    </w:rPr>
                    <w:t>01</w:t>
                  </w:r>
                  <w:r>
                    <w:rPr>
                      <w:rFonts w:hint="eastAsia"/>
                      <w:color w:val="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pPr>
                    <w:pStyle w:val="78"/>
                    <w:rPr>
                      <w:color w:val="auto"/>
                    </w:rPr>
                  </w:pPr>
                  <w:r>
                    <w:rPr>
                      <w:color w:val="auto"/>
                    </w:rPr>
                    <w:t>2</w:t>
                  </w:r>
                </w:p>
              </w:tc>
              <w:tc>
                <w:tcPr>
                  <w:tcW w:w="2307" w:type="dxa"/>
                  <w:shd w:val="clear" w:color="auto" w:fill="auto"/>
                  <w:vAlign w:val="center"/>
                </w:tcPr>
                <w:p>
                  <w:pPr>
                    <w:pStyle w:val="78"/>
                    <w:rPr>
                      <w:color w:val="auto"/>
                    </w:rPr>
                  </w:pPr>
                  <w:r>
                    <w:rPr>
                      <w:color w:val="auto"/>
                    </w:rPr>
                    <w:t>非甲烷总烃</w:t>
                  </w:r>
                </w:p>
              </w:tc>
              <w:tc>
                <w:tcPr>
                  <w:tcW w:w="3005" w:type="dxa"/>
                  <w:shd w:val="clear" w:color="auto" w:fill="auto"/>
                  <w:vAlign w:val="center"/>
                </w:tcPr>
                <w:p>
                  <w:pPr>
                    <w:pStyle w:val="78"/>
                    <w:rPr>
                      <w:rFonts w:hint="default" w:ascii="Times New Roman" w:hAnsi="Times New Roman" w:eastAsia="宋体" w:cs="Times New Roman"/>
                      <w:color w:val="auto"/>
                      <w:kern w:val="2"/>
                      <w:sz w:val="21"/>
                      <w:szCs w:val="24"/>
                      <w:lang w:val="en-US" w:eastAsia="zh-CN" w:bidi="ar-SA"/>
                    </w:rPr>
                  </w:pPr>
                  <w:r>
                    <w:rPr>
                      <w:rFonts w:hint="eastAsia"/>
                      <w:color w:val="auto"/>
                    </w:rPr>
                    <w:t>0.</w:t>
                  </w:r>
                  <w:r>
                    <w:rPr>
                      <w:rFonts w:hint="eastAsia"/>
                      <w:color w:val="auto"/>
                      <w:lang w:val="en-US" w:eastAsia="zh-CN"/>
                    </w:rPr>
                    <w:t>01</w:t>
                  </w:r>
                </w:p>
              </w:tc>
            </w:tr>
          </w:tbl>
          <w:p>
            <w:pPr>
              <w:pStyle w:val="82"/>
              <w:rPr>
                <w:color w:val="auto"/>
              </w:rPr>
            </w:pPr>
            <w:r>
              <w:rPr>
                <w:color w:val="auto"/>
              </w:rPr>
              <w:t>（</w:t>
            </w:r>
            <w:r>
              <w:rPr>
                <w:rFonts w:hint="eastAsia"/>
                <w:color w:val="auto"/>
                <w:lang w:val="en-US" w:eastAsia="zh-CN"/>
              </w:rPr>
              <w:t>七</w:t>
            </w:r>
            <w:r>
              <w:rPr>
                <w:color w:val="auto"/>
              </w:rPr>
              <w:t>）自行监测要求</w:t>
            </w:r>
          </w:p>
          <w:p>
            <w:pPr>
              <w:pStyle w:val="75"/>
              <w:rPr>
                <w:color w:val="auto"/>
              </w:rPr>
            </w:pPr>
            <w:r>
              <w:rPr>
                <w:color w:val="auto"/>
              </w:rPr>
              <w:t>根据《排污许可证申请与核发技术规范 废弃资源加工工业》（HJ1034-2019）、《排污单位自行监测技术指南 总则》（HJ 819-2017）及项目排污特点制定，针对本项目排放废气，企业需定期委托有资质的单位进行监测，确保达标排放，减轻对周围环境的污染。具体监测计划见下表。</w:t>
            </w:r>
          </w:p>
          <w:p>
            <w:pPr>
              <w:pStyle w:val="76"/>
              <w:rPr>
                <w:color w:val="auto"/>
              </w:rPr>
            </w:pPr>
            <w:r>
              <w:rPr>
                <w:color w:val="auto"/>
              </w:rPr>
              <w:t>表4-5 废气监测计划一览表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35"/>
              <w:gridCol w:w="1733"/>
              <w:gridCol w:w="2269"/>
              <w:gridCol w:w="23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755" w:type="pct"/>
                  <w:vAlign w:val="center"/>
                </w:tcPr>
                <w:p>
                  <w:pPr>
                    <w:pStyle w:val="78"/>
                    <w:rPr>
                      <w:color w:val="auto"/>
                      <w:lang w:val="zh-CN"/>
                    </w:rPr>
                  </w:pPr>
                  <w:r>
                    <w:rPr>
                      <w:color w:val="auto"/>
                      <w:lang w:val="zh-CN"/>
                    </w:rPr>
                    <w:t>类别</w:t>
                  </w:r>
                </w:p>
              </w:tc>
              <w:tc>
                <w:tcPr>
                  <w:tcW w:w="1153" w:type="pct"/>
                  <w:vAlign w:val="center"/>
                </w:tcPr>
                <w:p>
                  <w:pPr>
                    <w:pStyle w:val="78"/>
                    <w:rPr>
                      <w:color w:val="auto"/>
                      <w:lang w:val="zh-CN"/>
                    </w:rPr>
                  </w:pPr>
                  <w:r>
                    <w:rPr>
                      <w:color w:val="auto"/>
                      <w:lang w:val="zh-CN"/>
                    </w:rPr>
                    <w:t>监测项目</w:t>
                  </w:r>
                </w:p>
              </w:tc>
              <w:tc>
                <w:tcPr>
                  <w:tcW w:w="1510" w:type="pct"/>
                  <w:vAlign w:val="center"/>
                </w:tcPr>
                <w:p>
                  <w:pPr>
                    <w:pStyle w:val="78"/>
                    <w:rPr>
                      <w:color w:val="auto"/>
                      <w:lang w:val="zh-CN"/>
                    </w:rPr>
                  </w:pPr>
                  <w:r>
                    <w:rPr>
                      <w:color w:val="auto"/>
                      <w:lang w:val="zh-CN"/>
                    </w:rPr>
                    <w:t>监测点</w:t>
                  </w:r>
                </w:p>
              </w:tc>
              <w:tc>
                <w:tcPr>
                  <w:tcW w:w="1582" w:type="pct"/>
                  <w:vAlign w:val="center"/>
                </w:tcPr>
                <w:p>
                  <w:pPr>
                    <w:pStyle w:val="78"/>
                    <w:rPr>
                      <w:color w:val="auto"/>
                      <w:lang w:val="zh-CN"/>
                    </w:rPr>
                  </w:pPr>
                  <w:r>
                    <w:rPr>
                      <w:color w:val="auto"/>
                      <w:lang w:val="zh-CN"/>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restart"/>
                  <w:vAlign w:val="center"/>
                </w:tcPr>
                <w:p>
                  <w:pPr>
                    <w:pStyle w:val="78"/>
                    <w:rPr>
                      <w:color w:val="auto"/>
                      <w:lang w:val="zh-CN"/>
                    </w:rPr>
                  </w:pPr>
                  <w:r>
                    <w:rPr>
                      <w:color w:val="auto"/>
                      <w:lang w:val="zh-CN"/>
                    </w:rPr>
                    <w:t>废气</w:t>
                  </w:r>
                </w:p>
              </w:tc>
              <w:tc>
                <w:tcPr>
                  <w:tcW w:w="1153" w:type="pct"/>
                  <w:vAlign w:val="center"/>
                </w:tcPr>
                <w:p>
                  <w:pPr>
                    <w:pStyle w:val="78"/>
                    <w:rPr>
                      <w:color w:val="auto"/>
                    </w:rPr>
                  </w:pPr>
                  <w:r>
                    <w:rPr>
                      <w:color w:val="auto"/>
                    </w:rPr>
                    <w:t>颗粒物</w:t>
                  </w:r>
                </w:p>
              </w:tc>
              <w:tc>
                <w:tcPr>
                  <w:tcW w:w="1510" w:type="pct"/>
                  <w:vAlign w:val="center"/>
                </w:tcPr>
                <w:p>
                  <w:pPr>
                    <w:pStyle w:val="78"/>
                    <w:rPr>
                      <w:color w:val="auto"/>
                    </w:rPr>
                  </w:pPr>
                  <w:r>
                    <w:rPr>
                      <w:color w:val="auto"/>
                    </w:rPr>
                    <w:t>厂界</w:t>
                  </w:r>
                </w:p>
              </w:tc>
              <w:tc>
                <w:tcPr>
                  <w:tcW w:w="1582" w:type="pct"/>
                  <w:vAlign w:val="center"/>
                </w:tcPr>
                <w:p>
                  <w:pPr>
                    <w:pStyle w:val="78"/>
                    <w:rPr>
                      <w:color w:val="auto"/>
                      <w:lang w:val="zh-CN"/>
                    </w:rPr>
                  </w:pPr>
                  <w:r>
                    <w:rPr>
                      <w:color w:val="auto"/>
                      <w:lang w:val="zh-CN"/>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755" w:type="pct"/>
                  <w:vMerge w:val="continue"/>
                  <w:tcBorders>
                    <w:bottom w:val="single" w:color="auto" w:sz="4" w:space="0"/>
                  </w:tcBorders>
                  <w:vAlign w:val="center"/>
                </w:tcPr>
                <w:p>
                  <w:pPr>
                    <w:pStyle w:val="78"/>
                    <w:rPr>
                      <w:color w:val="auto"/>
                      <w:lang w:val="zh-CN"/>
                    </w:rPr>
                  </w:pPr>
                </w:p>
              </w:tc>
              <w:tc>
                <w:tcPr>
                  <w:tcW w:w="1153" w:type="pct"/>
                  <w:vMerge w:val="restart"/>
                  <w:tcBorders>
                    <w:bottom w:val="single" w:color="auto" w:sz="4" w:space="0"/>
                  </w:tcBorders>
                  <w:vAlign w:val="center"/>
                </w:tcPr>
                <w:p>
                  <w:pPr>
                    <w:pStyle w:val="78"/>
                    <w:rPr>
                      <w:color w:val="auto"/>
                    </w:rPr>
                  </w:pPr>
                  <w:r>
                    <w:rPr>
                      <w:color w:val="auto"/>
                    </w:rPr>
                    <w:t>NMHC</w:t>
                  </w:r>
                </w:p>
              </w:tc>
              <w:tc>
                <w:tcPr>
                  <w:tcW w:w="1510" w:type="pct"/>
                  <w:tcBorders>
                    <w:bottom w:val="single" w:color="auto" w:sz="4" w:space="0"/>
                  </w:tcBorders>
                  <w:vAlign w:val="center"/>
                </w:tcPr>
                <w:p>
                  <w:pPr>
                    <w:pStyle w:val="78"/>
                    <w:rPr>
                      <w:color w:val="auto"/>
                    </w:rPr>
                  </w:pPr>
                  <w:r>
                    <w:rPr>
                      <w:color w:val="auto"/>
                    </w:rPr>
                    <w:t>厂界</w:t>
                  </w:r>
                </w:p>
              </w:tc>
              <w:tc>
                <w:tcPr>
                  <w:tcW w:w="1582" w:type="pct"/>
                  <w:vMerge w:val="restart"/>
                  <w:tcBorders>
                    <w:bottom w:val="single" w:color="auto" w:sz="4" w:space="0"/>
                  </w:tcBorders>
                  <w:vAlign w:val="center"/>
                </w:tcPr>
                <w:p>
                  <w:pPr>
                    <w:pStyle w:val="78"/>
                    <w:rPr>
                      <w:color w:val="auto"/>
                      <w:lang w:val="zh-CN"/>
                    </w:rPr>
                  </w:pPr>
                  <w:r>
                    <w:rPr>
                      <w:color w:val="auto"/>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continue"/>
                  <w:vAlign w:val="center"/>
                </w:tcPr>
                <w:p>
                  <w:pPr>
                    <w:pStyle w:val="78"/>
                    <w:rPr>
                      <w:color w:val="auto"/>
                      <w:lang w:val="zh-CN"/>
                    </w:rPr>
                  </w:pPr>
                </w:p>
              </w:tc>
              <w:tc>
                <w:tcPr>
                  <w:tcW w:w="1153" w:type="pct"/>
                  <w:vMerge w:val="continue"/>
                  <w:vAlign w:val="center"/>
                </w:tcPr>
                <w:p>
                  <w:pPr>
                    <w:pStyle w:val="78"/>
                    <w:rPr>
                      <w:color w:val="auto"/>
                    </w:rPr>
                  </w:pPr>
                </w:p>
              </w:tc>
              <w:tc>
                <w:tcPr>
                  <w:tcW w:w="1510" w:type="pct"/>
                  <w:vAlign w:val="center"/>
                </w:tcPr>
                <w:p>
                  <w:pPr>
                    <w:pStyle w:val="78"/>
                    <w:rPr>
                      <w:color w:val="auto"/>
                    </w:rPr>
                  </w:pPr>
                  <w:r>
                    <w:rPr>
                      <w:color w:val="auto"/>
                    </w:rPr>
                    <w:t>拆解车间外</w:t>
                  </w:r>
                </w:p>
              </w:tc>
              <w:tc>
                <w:tcPr>
                  <w:tcW w:w="1582" w:type="pct"/>
                  <w:vMerge w:val="continue"/>
                  <w:vAlign w:val="center"/>
                </w:tcPr>
                <w:p>
                  <w:pPr>
                    <w:pStyle w:val="78"/>
                    <w:rPr>
                      <w:color w:val="auto"/>
                      <w:lang w:val="zh-CN"/>
                    </w:rPr>
                  </w:pPr>
                </w:p>
              </w:tc>
            </w:tr>
          </w:tbl>
          <w:p>
            <w:pPr>
              <w:pStyle w:val="82"/>
              <w:rPr>
                <w:color w:val="auto"/>
              </w:rPr>
            </w:pPr>
            <w:r>
              <w:rPr>
                <w:color w:val="auto"/>
              </w:rPr>
              <w:t>二、废水</w:t>
            </w:r>
          </w:p>
          <w:p>
            <w:pPr>
              <w:pStyle w:val="75"/>
              <w:rPr>
                <w:color w:val="auto"/>
              </w:rPr>
            </w:pPr>
            <w:r>
              <w:rPr>
                <w:rFonts w:hint="eastAsia"/>
                <w:color w:val="auto"/>
              </w:rPr>
              <w:t>本项目拆解区位于厂房内部，具有防风、防雨功能；拆解区地面15天清洗一次，主要采用拖把清洁，水分自然蒸发。</w:t>
            </w:r>
            <w:r>
              <w:rPr>
                <w:rFonts w:hint="eastAsia"/>
                <w:color w:val="auto"/>
                <w:lang w:val="en-US" w:eastAsia="zh-CN"/>
              </w:rPr>
              <w:t>营运期</w:t>
            </w:r>
            <w:r>
              <w:rPr>
                <w:color w:val="auto"/>
              </w:rPr>
              <w:t>主要为生活污水和待拆车辆存放区初期雨水。</w:t>
            </w:r>
          </w:p>
          <w:p>
            <w:pPr>
              <w:pStyle w:val="75"/>
              <w:rPr>
                <w:rFonts w:hint="eastAsia"/>
                <w:color w:val="auto"/>
                <w:lang w:eastAsia="zh-CN"/>
              </w:rPr>
            </w:pPr>
            <w:r>
              <w:rPr>
                <w:rFonts w:hint="eastAsia" w:ascii="宋体" w:hAnsi="宋体" w:cs="宋体"/>
                <w:color w:val="auto"/>
              </w:rPr>
              <w:t>①</w:t>
            </w:r>
            <w:r>
              <w:rPr>
                <w:color w:val="auto"/>
              </w:rPr>
              <w:t>生活污水：排放量按生活用水量的80%计算，则生活污水产生量为0.32t/d，</w:t>
            </w:r>
            <w:r>
              <w:rPr>
                <w:rFonts w:hint="eastAsia"/>
                <w:color w:val="auto"/>
                <w:lang w:val="en-US" w:eastAsia="zh-CN"/>
              </w:rPr>
              <w:t>96</w:t>
            </w:r>
            <w:r>
              <w:rPr>
                <w:color w:val="auto"/>
              </w:rPr>
              <w:t>t/a。</w:t>
            </w:r>
            <w:r>
              <w:rPr>
                <w:rFonts w:hint="eastAsia"/>
                <w:color w:val="auto"/>
              </w:rPr>
              <w:t>项目生活污水</w:t>
            </w:r>
            <w:r>
              <w:rPr>
                <w:rFonts w:hint="eastAsia"/>
                <w:color w:val="auto"/>
                <w:lang w:val="en-US" w:eastAsia="zh-CN"/>
              </w:rPr>
              <w:t>排入</w:t>
            </w:r>
            <w:r>
              <w:rPr>
                <w:rFonts w:hint="eastAsia"/>
                <w:color w:val="auto"/>
              </w:rPr>
              <w:t>市政管网</w:t>
            </w:r>
            <w:r>
              <w:rPr>
                <w:rFonts w:hint="eastAsia"/>
                <w:color w:val="auto"/>
                <w:lang w:eastAsia="zh-CN"/>
              </w:rPr>
              <w:t>。</w:t>
            </w:r>
          </w:p>
          <w:p>
            <w:pPr>
              <w:pStyle w:val="75"/>
              <w:rPr>
                <w:color w:val="auto"/>
              </w:rPr>
            </w:pPr>
            <w:r>
              <w:rPr>
                <w:rFonts w:hint="eastAsia" w:ascii="宋体" w:hAnsi="宋体" w:cs="宋体"/>
                <w:color w:val="auto"/>
              </w:rPr>
              <w:t>②</w:t>
            </w:r>
            <w:r>
              <w:rPr>
                <w:color w:val="auto"/>
              </w:rPr>
              <w:t>待拆车辆存放区初期雨水：本项目初期雨水产生量为</w:t>
            </w:r>
            <w:r>
              <w:rPr>
                <w:rFonts w:hint="eastAsia"/>
                <w:color w:val="auto"/>
                <w:lang w:val="en-US" w:eastAsia="zh-CN"/>
              </w:rPr>
              <w:t>52</w:t>
            </w:r>
            <w:r>
              <w:rPr>
                <w:color w:val="auto"/>
              </w:rPr>
              <w:t>m</w:t>
            </w:r>
            <w:r>
              <w:rPr>
                <w:color w:val="auto"/>
                <w:vertAlign w:val="superscript"/>
              </w:rPr>
              <w:t>3</w:t>
            </w:r>
            <w:r>
              <w:rPr>
                <w:color w:val="auto"/>
              </w:rPr>
              <w:t>/次，间歇降雨频次按</w:t>
            </w:r>
            <w:r>
              <w:rPr>
                <w:rFonts w:hint="eastAsia"/>
                <w:color w:val="auto"/>
                <w:lang w:val="en-US" w:eastAsia="zh-CN"/>
              </w:rPr>
              <w:t>5</w:t>
            </w:r>
            <w:r>
              <w:rPr>
                <w:color w:val="auto"/>
              </w:rPr>
              <w:t>次/年计，排放量约为</w:t>
            </w:r>
            <w:r>
              <w:rPr>
                <w:rFonts w:hint="eastAsia"/>
                <w:color w:val="auto"/>
                <w:lang w:val="en-US" w:eastAsia="zh-CN"/>
              </w:rPr>
              <w:t>260</w:t>
            </w:r>
            <w:r>
              <w:rPr>
                <w:color w:val="auto"/>
              </w:rPr>
              <w:t>m</w:t>
            </w:r>
            <w:r>
              <w:rPr>
                <w:color w:val="auto"/>
                <w:vertAlign w:val="superscript"/>
              </w:rPr>
              <w:t>3</w:t>
            </w:r>
            <w:r>
              <w:rPr>
                <w:color w:val="auto"/>
              </w:rPr>
              <w:t>/a。污染因子主要为COD、石油类、SS，类比《依兰县虹顺物资再生利用有限公司报废汽车回收拆解项目竣工环境保护验收监测报告》，依兰县虹顺物资再生利用有限公司报废汽车回收拆解项目年拆解报废机动车1500辆，此项目初期雨水收集池进水中COD最大浓度为75mg/L、SS最大浓度为95mg/L、石油类最大浓度为1.24mg/L，验收监测报告见附件</w:t>
            </w:r>
            <w:r>
              <w:rPr>
                <w:rFonts w:hint="eastAsia"/>
                <w:color w:val="auto"/>
                <w:lang w:val="en-US" w:eastAsia="zh-CN"/>
              </w:rPr>
              <w:t>4</w:t>
            </w:r>
            <w:r>
              <w:rPr>
                <w:color w:val="auto"/>
              </w:rPr>
              <w:t>。</w:t>
            </w:r>
            <w:bookmarkStart w:id="12" w:name="_Hlk80710160"/>
          </w:p>
          <w:p>
            <w:pPr>
              <w:pStyle w:val="75"/>
              <w:rPr>
                <w:color w:val="auto"/>
                <w:highlight w:val="none"/>
              </w:rPr>
            </w:pPr>
            <w:r>
              <w:rPr>
                <w:color w:val="auto"/>
              </w:rPr>
              <w:t>待拆车辆存放区初期雨水经待拆车辆存放区四周排水沟汇入厂区1座</w:t>
            </w:r>
            <w:r>
              <w:rPr>
                <w:rFonts w:hint="eastAsia"/>
                <w:color w:val="auto"/>
                <w:lang w:val="en-US" w:eastAsia="zh-CN"/>
              </w:rPr>
              <w:t>6</w:t>
            </w:r>
            <w:r>
              <w:rPr>
                <w:color w:val="auto"/>
              </w:rPr>
              <w:t>0m</w:t>
            </w:r>
            <w:r>
              <w:rPr>
                <w:color w:val="auto"/>
                <w:vertAlign w:val="superscript"/>
              </w:rPr>
              <w:t>3</w:t>
            </w:r>
            <w:r>
              <w:rPr>
                <w:color w:val="auto"/>
              </w:rPr>
              <w:t>初期雨水收集池，经油水分离器隔油处理后（处理效率为90%），初期雨水污染物浓度为COD：75mg/L、SS：95mg/L、石油类：0.124mg/L，</w:t>
            </w:r>
            <w:r>
              <w:rPr>
                <w:rFonts w:hint="eastAsia"/>
                <w:color w:val="auto"/>
                <w:lang w:val="en-US" w:eastAsia="zh-CN"/>
              </w:rPr>
              <w:t>用于厂区洒扫降尘。</w:t>
            </w:r>
            <w:bookmarkEnd w:id="12"/>
          </w:p>
          <w:p>
            <w:pPr>
              <w:pStyle w:val="82"/>
              <w:rPr>
                <w:color w:val="auto"/>
              </w:rPr>
            </w:pPr>
            <w:r>
              <w:rPr>
                <w:color w:val="auto"/>
              </w:rPr>
              <w:t>三、噪声</w:t>
            </w:r>
          </w:p>
          <w:p>
            <w:pPr>
              <w:pStyle w:val="82"/>
              <w:rPr>
                <w:color w:val="auto"/>
              </w:rPr>
            </w:pPr>
            <w:r>
              <w:rPr>
                <w:color w:val="auto"/>
              </w:rPr>
              <w:t>（一）主要噪声源及源强</w:t>
            </w:r>
          </w:p>
          <w:p>
            <w:pPr>
              <w:pStyle w:val="75"/>
              <w:rPr>
                <w:color w:val="auto"/>
              </w:rPr>
            </w:pPr>
            <w:r>
              <w:rPr>
                <w:color w:val="auto"/>
              </w:rPr>
              <w:t>项目投入运营后，噪声主要来源于车间设备运行时产生的噪声。单台噪声值约为</w:t>
            </w:r>
            <w:r>
              <w:rPr>
                <w:rFonts w:hint="eastAsia"/>
                <w:color w:val="auto"/>
                <w:lang w:val="en-US" w:eastAsia="zh-CN"/>
              </w:rPr>
              <w:t>85</w:t>
            </w:r>
            <w:r>
              <w:rPr>
                <w:color w:val="auto"/>
              </w:rPr>
              <w:t>-</w:t>
            </w:r>
            <w:r>
              <w:rPr>
                <w:rFonts w:hint="eastAsia"/>
                <w:color w:val="auto"/>
                <w:lang w:val="en-US" w:eastAsia="zh-CN"/>
              </w:rPr>
              <w:t>9</w:t>
            </w:r>
            <w:r>
              <w:rPr>
                <w:color w:val="auto"/>
              </w:rPr>
              <w:t>5dB（A），</w:t>
            </w:r>
            <w:r>
              <w:rPr>
                <w:rFonts w:hint="eastAsia"/>
                <w:color w:val="auto"/>
              </w:rPr>
              <w:t>根据《环境影响评价技术导则 声环境》（H</w:t>
            </w:r>
            <w:r>
              <w:rPr>
                <w:color w:val="auto"/>
              </w:rPr>
              <w:t>J2.4</w:t>
            </w:r>
            <w:r>
              <w:rPr>
                <w:rFonts w:hint="eastAsia"/>
                <w:color w:val="auto"/>
              </w:rPr>
              <w:t>—2</w:t>
            </w:r>
            <w:r>
              <w:rPr>
                <w:color w:val="auto"/>
              </w:rPr>
              <w:t>021</w:t>
            </w:r>
            <w:r>
              <w:rPr>
                <w:rFonts w:hint="eastAsia"/>
                <w:color w:val="auto"/>
              </w:rPr>
              <w:t>），</w:t>
            </w:r>
            <w:r>
              <w:rPr>
                <w:color w:val="auto"/>
              </w:rPr>
              <w:t>噪声源强见下表。</w:t>
            </w:r>
          </w:p>
          <w:p>
            <w:pPr>
              <w:pStyle w:val="76"/>
              <w:rPr>
                <w:color w:val="auto"/>
              </w:rPr>
            </w:pPr>
            <w:r>
              <w:rPr>
                <w:color w:val="auto"/>
              </w:rPr>
              <w:t>表4-</w:t>
            </w:r>
            <w:r>
              <w:rPr>
                <w:rFonts w:hint="eastAsia"/>
                <w:color w:val="auto"/>
                <w:lang w:val="en-US" w:eastAsia="zh-CN"/>
              </w:rPr>
              <w:t>6</w:t>
            </w:r>
            <w:r>
              <w:rPr>
                <w:color w:val="auto"/>
              </w:rPr>
              <w:t xml:space="preserve"> 工业企业噪声源强调查清单（室内声源）</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0"/>
              <w:gridCol w:w="380"/>
              <w:gridCol w:w="381"/>
              <w:gridCol w:w="381"/>
              <w:gridCol w:w="557"/>
              <w:gridCol w:w="550"/>
              <w:gridCol w:w="582"/>
              <w:gridCol w:w="593"/>
              <w:gridCol w:w="350"/>
              <w:gridCol w:w="400"/>
              <w:gridCol w:w="543"/>
              <w:gridCol w:w="639"/>
              <w:gridCol w:w="697"/>
              <w:gridCol w:w="697"/>
              <w:gridCol w:w="3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52" w:type="pct"/>
                  <w:vMerge w:val="restart"/>
                  <w:vAlign w:val="center"/>
                </w:tcPr>
                <w:p>
                  <w:pPr>
                    <w:pStyle w:val="86"/>
                    <w:rPr>
                      <w:rFonts w:eastAsia="宋体"/>
                      <w:color w:val="auto"/>
                    </w:rPr>
                  </w:pPr>
                  <w:r>
                    <w:rPr>
                      <w:rFonts w:eastAsia="宋体"/>
                      <w:color w:val="auto"/>
                    </w:rPr>
                    <w:t>序号</w:t>
                  </w:r>
                </w:p>
              </w:tc>
              <w:tc>
                <w:tcPr>
                  <w:tcW w:w="252" w:type="pct"/>
                  <w:vMerge w:val="restart"/>
                  <w:vAlign w:val="center"/>
                </w:tcPr>
                <w:p>
                  <w:pPr>
                    <w:pStyle w:val="86"/>
                    <w:rPr>
                      <w:rFonts w:eastAsia="宋体"/>
                      <w:color w:val="auto"/>
                    </w:rPr>
                  </w:pPr>
                  <w:r>
                    <w:rPr>
                      <w:rFonts w:eastAsia="宋体"/>
                      <w:color w:val="auto"/>
                    </w:rPr>
                    <w:t>建筑物名称</w:t>
                  </w:r>
                </w:p>
              </w:tc>
              <w:tc>
                <w:tcPr>
                  <w:tcW w:w="253" w:type="pct"/>
                  <w:vMerge w:val="restart"/>
                  <w:vAlign w:val="center"/>
                </w:tcPr>
                <w:p>
                  <w:pPr>
                    <w:pStyle w:val="86"/>
                    <w:rPr>
                      <w:rFonts w:eastAsia="宋体"/>
                      <w:color w:val="auto"/>
                    </w:rPr>
                  </w:pPr>
                  <w:r>
                    <w:rPr>
                      <w:rFonts w:eastAsia="宋体"/>
                      <w:color w:val="auto"/>
                    </w:rPr>
                    <w:t>声源名称</w:t>
                  </w:r>
                </w:p>
              </w:tc>
              <w:tc>
                <w:tcPr>
                  <w:tcW w:w="253" w:type="pct"/>
                  <w:vMerge w:val="restart"/>
                  <w:vAlign w:val="center"/>
                </w:tcPr>
                <w:p>
                  <w:pPr>
                    <w:pStyle w:val="86"/>
                    <w:rPr>
                      <w:rFonts w:eastAsia="宋体"/>
                      <w:color w:val="auto"/>
                    </w:rPr>
                  </w:pPr>
                  <w:r>
                    <w:rPr>
                      <w:rFonts w:eastAsia="宋体"/>
                      <w:color w:val="auto"/>
                    </w:rPr>
                    <w:t>型号</w:t>
                  </w:r>
                </w:p>
              </w:tc>
              <w:tc>
                <w:tcPr>
                  <w:tcW w:w="370" w:type="pct"/>
                  <w:vAlign w:val="center"/>
                </w:tcPr>
                <w:p>
                  <w:pPr>
                    <w:pStyle w:val="86"/>
                    <w:rPr>
                      <w:rFonts w:eastAsia="宋体"/>
                      <w:color w:val="auto"/>
                    </w:rPr>
                  </w:pPr>
                  <w:r>
                    <w:rPr>
                      <w:rFonts w:eastAsia="宋体"/>
                      <w:color w:val="auto"/>
                    </w:rPr>
                    <w:t>声源源强</w:t>
                  </w:r>
                </w:p>
              </w:tc>
              <w:tc>
                <w:tcPr>
                  <w:tcW w:w="365" w:type="pct"/>
                  <w:vMerge w:val="restart"/>
                  <w:vAlign w:val="center"/>
                </w:tcPr>
                <w:p>
                  <w:pPr>
                    <w:pStyle w:val="86"/>
                    <w:rPr>
                      <w:rFonts w:eastAsia="宋体"/>
                      <w:color w:val="auto"/>
                    </w:rPr>
                  </w:pPr>
                  <w:r>
                    <w:rPr>
                      <w:rFonts w:eastAsia="宋体"/>
                      <w:color w:val="auto"/>
                    </w:rPr>
                    <w:t>声源控制措施</w:t>
                  </w:r>
                </w:p>
              </w:tc>
              <w:tc>
                <w:tcPr>
                  <w:tcW w:w="1014" w:type="pct"/>
                  <w:gridSpan w:val="3"/>
                  <w:vAlign w:val="center"/>
                </w:tcPr>
                <w:p>
                  <w:pPr>
                    <w:pStyle w:val="86"/>
                    <w:rPr>
                      <w:rFonts w:eastAsia="宋体"/>
                      <w:color w:val="auto"/>
                    </w:rPr>
                  </w:pPr>
                  <w:r>
                    <w:rPr>
                      <w:rFonts w:eastAsia="宋体"/>
                      <w:color w:val="auto"/>
                    </w:rPr>
                    <w:t>空间相对位置/m</w:t>
                  </w:r>
                </w:p>
              </w:tc>
              <w:tc>
                <w:tcPr>
                  <w:tcW w:w="266" w:type="pct"/>
                  <w:vMerge w:val="restart"/>
                  <w:vAlign w:val="center"/>
                </w:tcPr>
                <w:p>
                  <w:pPr>
                    <w:pStyle w:val="86"/>
                    <w:rPr>
                      <w:rFonts w:eastAsia="宋体"/>
                      <w:color w:val="auto"/>
                    </w:rPr>
                  </w:pPr>
                  <w:r>
                    <w:rPr>
                      <w:rFonts w:eastAsia="宋体"/>
                      <w:color w:val="auto"/>
                    </w:rPr>
                    <w:t>距室内边界距离/m</w:t>
                  </w:r>
                </w:p>
              </w:tc>
              <w:tc>
                <w:tcPr>
                  <w:tcW w:w="361" w:type="pct"/>
                  <w:vMerge w:val="restart"/>
                  <w:vAlign w:val="center"/>
                </w:tcPr>
                <w:p>
                  <w:pPr>
                    <w:pStyle w:val="86"/>
                    <w:rPr>
                      <w:rFonts w:eastAsia="宋体"/>
                      <w:color w:val="auto"/>
                    </w:rPr>
                  </w:pPr>
                  <w:r>
                    <w:rPr>
                      <w:rFonts w:eastAsia="宋体"/>
                      <w:color w:val="auto"/>
                    </w:rPr>
                    <w:t>室内边界声级/dB(A)</w:t>
                  </w:r>
                </w:p>
              </w:tc>
              <w:tc>
                <w:tcPr>
                  <w:tcW w:w="425" w:type="pct"/>
                  <w:vMerge w:val="restart"/>
                  <w:vAlign w:val="center"/>
                </w:tcPr>
                <w:p>
                  <w:pPr>
                    <w:pStyle w:val="86"/>
                    <w:rPr>
                      <w:rFonts w:eastAsia="宋体"/>
                      <w:color w:val="auto"/>
                    </w:rPr>
                  </w:pPr>
                  <w:r>
                    <w:rPr>
                      <w:rFonts w:eastAsia="宋体"/>
                      <w:color w:val="auto"/>
                    </w:rPr>
                    <w:t>运行时段</w:t>
                  </w:r>
                </w:p>
              </w:tc>
              <w:tc>
                <w:tcPr>
                  <w:tcW w:w="463" w:type="pct"/>
                  <w:vMerge w:val="restart"/>
                  <w:vAlign w:val="center"/>
                </w:tcPr>
                <w:p>
                  <w:pPr>
                    <w:pStyle w:val="86"/>
                    <w:rPr>
                      <w:rFonts w:eastAsia="宋体"/>
                      <w:color w:val="auto"/>
                    </w:rPr>
                  </w:pPr>
                  <w:r>
                    <w:rPr>
                      <w:rFonts w:eastAsia="宋体"/>
                      <w:color w:val="auto"/>
                    </w:rPr>
                    <w:t>建筑物插入损失/dB(A)</w:t>
                  </w:r>
                </w:p>
              </w:tc>
              <w:tc>
                <w:tcPr>
                  <w:tcW w:w="719" w:type="pct"/>
                  <w:gridSpan w:val="2"/>
                  <w:vAlign w:val="center"/>
                </w:tcPr>
                <w:p>
                  <w:pPr>
                    <w:pStyle w:val="86"/>
                    <w:rPr>
                      <w:rFonts w:eastAsia="宋体"/>
                      <w:color w:val="auto"/>
                    </w:rPr>
                  </w:pPr>
                  <w:r>
                    <w:rPr>
                      <w:rFonts w:eastAsia="宋体"/>
                      <w:color w:val="auto"/>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52" w:type="pct"/>
                  <w:vMerge w:val="continue"/>
                  <w:vAlign w:val="center"/>
                </w:tcPr>
                <w:p>
                  <w:pPr>
                    <w:pStyle w:val="86"/>
                    <w:rPr>
                      <w:rFonts w:eastAsia="宋体"/>
                      <w:color w:val="auto"/>
                    </w:rPr>
                  </w:pPr>
                </w:p>
              </w:tc>
              <w:tc>
                <w:tcPr>
                  <w:tcW w:w="252" w:type="pct"/>
                  <w:vMerge w:val="continue"/>
                  <w:vAlign w:val="center"/>
                </w:tcPr>
                <w:p>
                  <w:pPr>
                    <w:pStyle w:val="86"/>
                    <w:rPr>
                      <w:rFonts w:eastAsia="宋体"/>
                      <w:color w:val="auto"/>
                    </w:rPr>
                  </w:pPr>
                </w:p>
              </w:tc>
              <w:tc>
                <w:tcPr>
                  <w:tcW w:w="253" w:type="pct"/>
                  <w:vMerge w:val="continue"/>
                  <w:vAlign w:val="center"/>
                </w:tcPr>
                <w:p>
                  <w:pPr>
                    <w:pStyle w:val="86"/>
                    <w:rPr>
                      <w:rFonts w:eastAsia="宋体"/>
                      <w:color w:val="auto"/>
                    </w:rPr>
                  </w:pPr>
                </w:p>
              </w:tc>
              <w:tc>
                <w:tcPr>
                  <w:tcW w:w="253" w:type="pct"/>
                  <w:vMerge w:val="continue"/>
                  <w:vAlign w:val="center"/>
                </w:tcPr>
                <w:p>
                  <w:pPr>
                    <w:pStyle w:val="86"/>
                    <w:rPr>
                      <w:rFonts w:eastAsia="宋体"/>
                      <w:color w:val="auto"/>
                    </w:rPr>
                  </w:pPr>
                </w:p>
              </w:tc>
              <w:tc>
                <w:tcPr>
                  <w:tcW w:w="370" w:type="pct"/>
                  <w:vAlign w:val="center"/>
                </w:tcPr>
                <w:p>
                  <w:pPr>
                    <w:pStyle w:val="86"/>
                    <w:rPr>
                      <w:rFonts w:eastAsia="宋体"/>
                      <w:color w:val="auto"/>
                    </w:rPr>
                  </w:pPr>
                  <w:r>
                    <w:rPr>
                      <w:rFonts w:eastAsia="宋体"/>
                      <w:color w:val="auto"/>
                    </w:rPr>
                    <w:t>声功率级/dB(A)</w:t>
                  </w:r>
                </w:p>
              </w:tc>
              <w:tc>
                <w:tcPr>
                  <w:tcW w:w="365" w:type="pct"/>
                  <w:vMerge w:val="continue"/>
                  <w:vAlign w:val="center"/>
                </w:tcPr>
                <w:p>
                  <w:pPr>
                    <w:pStyle w:val="86"/>
                    <w:rPr>
                      <w:rFonts w:eastAsia="宋体"/>
                      <w:color w:val="auto"/>
                    </w:rPr>
                  </w:pPr>
                </w:p>
              </w:tc>
              <w:tc>
                <w:tcPr>
                  <w:tcW w:w="387" w:type="pct"/>
                  <w:vAlign w:val="center"/>
                </w:tcPr>
                <w:p>
                  <w:pPr>
                    <w:pStyle w:val="86"/>
                    <w:rPr>
                      <w:rFonts w:eastAsia="宋体"/>
                      <w:color w:val="auto"/>
                    </w:rPr>
                  </w:pPr>
                  <w:r>
                    <w:rPr>
                      <w:rFonts w:eastAsia="宋体"/>
                      <w:color w:val="auto"/>
                    </w:rPr>
                    <w:t>X</w:t>
                  </w:r>
                </w:p>
              </w:tc>
              <w:tc>
                <w:tcPr>
                  <w:tcW w:w="394" w:type="pct"/>
                  <w:vAlign w:val="center"/>
                </w:tcPr>
                <w:p>
                  <w:pPr>
                    <w:pStyle w:val="86"/>
                    <w:rPr>
                      <w:rFonts w:eastAsia="宋体"/>
                      <w:color w:val="auto"/>
                    </w:rPr>
                  </w:pPr>
                  <w:r>
                    <w:rPr>
                      <w:rFonts w:eastAsia="宋体"/>
                      <w:color w:val="auto"/>
                    </w:rPr>
                    <w:t>Y</w:t>
                  </w:r>
                </w:p>
              </w:tc>
              <w:tc>
                <w:tcPr>
                  <w:tcW w:w="232" w:type="pct"/>
                  <w:vAlign w:val="center"/>
                </w:tcPr>
                <w:p>
                  <w:pPr>
                    <w:pStyle w:val="86"/>
                    <w:rPr>
                      <w:rFonts w:eastAsia="宋体"/>
                      <w:color w:val="auto"/>
                    </w:rPr>
                  </w:pPr>
                  <w:r>
                    <w:rPr>
                      <w:rFonts w:eastAsia="宋体"/>
                      <w:color w:val="auto"/>
                    </w:rPr>
                    <w:t>Z</w:t>
                  </w:r>
                </w:p>
              </w:tc>
              <w:tc>
                <w:tcPr>
                  <w:tcW w:w="266" w:type="pct"/>
                  <w:vMerge w:val="continue"/>
                  <w:vAlign w:val="center"/>
                </w:tcPr>
                <w:p>
                  <w:pPr>
                    <w:pStyle w:val="86"/>
                    <w:rPr>
                      <w:rFonts w:eastAsia="宋体"/>
                      <w:color w:val="auto"/>
                    </w:rPr>
                  </w:pPr>
                </w:p>
              </w:tc>
              <w:tc>
                <w:tcPr>
                  <w:tcW w:w="361" w:type="pct"/>
                  <w:vMerge w:val="continue"/>
                  <w:vAlign w:val="center"/>
                </w:tcPr>
                <w:p>
                  <w:pPr>
                    <w:pStyle w:val="86"/>
                    <w:rPr>
                      <w:rFonts w:eastAsia="宋体"/>
                      <w:color w:val="auto"/>
                    </w:rPr>
                  </w:pPr>
                </w:p>
              </w:tc>
              <w:tc>
                <w:tcPr>
                  <w:tcW w:w="425" w:type="pct"/>
                  <w:vMerge w:val="continue"/>
                  <w:vAlign w:val="center"/>
                </w:tcPr>
                <w:p>
                  <w:pPr>
                    <w:pStyle w:val="86"/>
                    <w:rPr>
                      <w:rFonts w:eastAsia="宋体"/>
                      <w:color w:val="auto"/>
                    </w:rPr>
                  </w:pPr>
                </w:p>
              </w:tc>
              <w:tc>
                <w:tcPr>
                  <w:tcW w:w="463" w:type="pct"/>
                  <w:vMerge w:val="continue"/>
                  <w:vAlign w:val="center"/>
                </w:tcPr>
                <w:p>
                  <w:pPr>
                    <w:pStyle w:val="86"/>
                    <w:rPr>
                      <w:rFonts w:eastAsia="宋体"/>
                      <w:color w:val="auto"/>
                    </w:rPr>
                  </w:pPr>
                </w:p>
              </w:tc>
              <w:tc>
                <w:tcPr>
                  <w:tcW w:w="463" w:type="pct"/>
                  <w:vAlign w:val="center"/>
                </w:tcPr>
                <w:p>
                  <w:pPr>
                    <w:pStyle w:val="86"/>
                    <w:rPr>
                      <w:rFonts w:eastAsia="宋体"/>
                      <w:color w:val="auto"/>
                    </w:rPr>
                  </w:pPr>
                  <w:r>
                    <w:rPr>
                      <w:rFonts w:eastAsia="宋体"/>
                      <w:color w:val="auto"/>
                    </w:rPr>
                    <w:t>声压级/dB(A)</w:t>
                  </w:r>
                </w:p>
              </w:tc>
              <w:tc>
                <w:tcPr>
                  <w:tcW w:w="255" w:type="pct"/>
                  <w:vAlign w:val="center"/>
                </w:tcPr>
                <w:p>
                  <w:pPr>
                    <w:pStyle w:val="86"/>
                    <w:rPr>
                      <w:rFonts w:eastAsia="宋体"/>
                      <w:color w:val="auto"/>
                    </w:rPr>
                  </w:pPr>
                  <w:r>
                    <w:rPr>
                      <w:rFonts w:eastAsia="宋体"/>
                      <w:color w:val="auto"/>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52" w:type="pct"/>
                  <w:vMerge w:val="restart"/>
                  <w:vAlign w:val="center"/>
                </w:tcPr>
                <w:p>
                  <w:pPr>
                    <w:pStyle w:val="86"/>
                    <w:rPr>
                      <w:rFonts w:eastAsia="宋体"/>
                      <w:color w:val="auto"/>
                    </w:rPr>
                  </w:pPr>
                  <w:r>
                    <w:rPr>
                      <w:rFonts w:hint="eastAsia" w:eastAsia="宋体"/>
                      <w:color w:val="auto"/>
                    </w:rPr>
                    <w:t>1</w:t>
                  </w:r>
                </w:p>
              </w:tc>
              <w:tc>
                <w:tcPr>
                  <w:tcW w:w="252" w:type="pct"/>
                  <w:vMerge w:val="restart"/>
                  <w:vAlign w:val="center"/>
                </w:tcPr>
                <w:p>
                  <w:pPr>
                    <w:pStyle w:val="86"/>
                    <w:rPr>
                      <w:rFonts w:eastAsia="宋体"/>
                      <w:color w:val="auto"/>
                    </w:rPr>
                  </w:pPr>
                  <w:r>
                    <w:rPr>
                      <w:rFonts w:hint="eastAsia" w:eastAsia="宋体"/>
                      <w:color w:val="auto"/>
                    </w:rPr>
                    <w:t>主拆解车间</w:t>
                  </w:r>
                </w:p>
              </w:tc>
              <w:tc>
                <w:tcPr>
                  <w:tcW w:w="253" w:type="pct"/>
                  <w:vAlign w:val="center"/>
                </w:tcPr>
                <w:p>
                  <w:pPr>
                    <w:pStyle w:val="86"/>
                    <w:rPr>
                      <w:rFonts w:eastAsia="宋体"/>
                      <w:color w:val="auto"/>
                    </w:rPr>
                  </w:pPr>
                  <w:r>
                    <w:rPr>
                      <w:rFonts w:eastAsia="宋体"/>
                      <w:color w:val="auto"/>
                    </w:rPr>
                    <w:t>1#龙门吊</w:t>
                  </w:r>
                </w:p>
              </w:tc>
              <w:tc>
                <w:tcPr>
                  <w:tcW w:w="253" w:type="pct"/>
                  <w:vAlign w:val="center"/>
                </w:tcPr>
                <w:p>
                  <w:pPr>
                    <w:pStyle w:val="86"/>
                    <w:rPr>
                      <w:rFonts w:eastAsia="宋体"/>
                      <w:color w:val="auto"/>
                    </w:rPr>
                  </w:pPr>
                  <w:r>
                    <w:rPr>
                      <w:rFonts w:eastAsia="宋体"/>
                      <w:color w:val="auto"/>
                    </w:rPr>
                    <w:t>/</w:t>
                  </w:r>
                </w:p>
              </w:tc>
              <w:tc>
                <w:tcPr>
                  <w:tcW w:w="370" w:type="pct"/>
                  <w:vAlign w:val="center"/>
                </w:tcPr>
                <w:p>
                  <w:pPr>
                    <w:pStyle w:val="86"/>
                    <w:rPr>
                      <w:rFonts w:hint="default" w:eastAsia="宋体"/>
                      <w:color w:val="auto"/>
                      <w:lang w:val="en-US" w:eastAsia="zh-CN"/>
                    </w:rPr>
                  </w:pPr>
                  <w:r>
                    <w:rPr>
                      <w:rFonts w:hint="eastAsia" w:eastAsia="等线"/>
                      <w:color w:val="auto"/>
                      <w:szCs w:val="21"/>
                      <w:lang w:val="en-US" w:eastAsia="zh-CN"/>
                    </w:rPr>
                    <w:t>90</w:t>
                  </w:r>
                </w:p>
              </w:tc>
              <w:tc>
                <w:tcPr>
                  <w:tcW w:w="365" w:type="pct"/>
                  <w:vMerge w:val="restart"/>
                  <w:vAlign w:val="center"/>
                </w:tcPr>
                <w:p>
                  <w:pPr>
                    <w:pStyle w:val="86"/>
                    <w:rPr>
                      <w:rFonts w:eastAsia="宋体"/>
                      <w:color w:val="auto"/>
                    </w:rPr>
                  </w:pPr>
                  <w:r>
                    <w:rPr>
                      <w:rFonts w:hint="eastAsia" w:eastAsia="宋体"/>
                      <w:color w:val="auto"/>
                      <w:lang w:val="en-US" w:eastAsia="zh-CN"/>
                    </w:rPr>
                    <w:t>低噪声设备，</w:t>
                  </w:r>
                  <w:r>
                    <w:rPr>
                      <w:rFonts w:hint="eastAsia" w:eastAsia="宋体"/>
                      <w:color w:val="auto"/>
                    </w:rPr>
                    <w:t>建筑物隔声、基础减振等</w:t>
                  </w:r>
                </w:p>
              </w:tc>
              <w:tc>
                <w:tcPr>
                  <w:tcW w:w="387" w:type="pct"/>
                  <w:vAlign w:val="center"/>
                </w:tcPr>
                <w:p>
                  <w:pPr>
                    <w:pStyle w:val="86"/>
                    <w:rPr>
                      <w:rFonts w:eastAsia="宋体"/>
                      <w:color w:val="auto"/>
                    </w:rPr>
                  </w:pPr>
                  <w:r>
                    <w:rPr>
                      <w:rFonts w:eastAsia="等线"/>
                      <w:color w:val="auto"/>
                      <w:szCs w:val="21"/>
                    </w:rPr>
                    <w:t>0</w:t>
                  </w:r>
                </w:p>
              </w:tc>
              <w:tc>
                <w:tcPr>
                  <w:tcW w:w="394" w:type="pct"/>
                  <w:vAlign w:val="center"/>
                </w:tcPr>
                <w:p>
                  <w:pPr>
                    <w:pStyle w:val="86"/>
                    <w:rPr>
                      <w:rFonts w:eastAsia="宋体"/>
                      <w:color w:val="auto"/>
                    </w:rPr>
                  </w:pPr>
                  <w:r>
                    <w:rPr>
                      <w:rFonts w:eastAsia="等线"/>
                      <w:color w:val="auto"/>
                      <w:szCs w:val="21"/>
                    </w:rPr>
                    <w:t>0</w:t>
                  </w:r>
                </w:p>
              </w:tc>
              <w:tc>
                <w:tcPr>
                  <w:tcW w:w="232" w:type="pct"/>
                  <w:vAlign w:val="center"/>
                </w:tcPr>
                <w:p>
                  <w:pPr>
                    <w:pStyle w:val="86"/>
                    <w:rPr>
                      <w:rFonts w:eastAsia="宋体"/>
                      <w:color w:val="auto"/>
                    </w:rPr>
                  </w:pPr>
                  <w:r>
                    <w:rPr>
                      <w:rFonts w:eastAsia="等线"/>
                      <w:color w:val="auto"/>
                      <w:szCs w:val="21"/>
                    </w:rPr>
                    <w:t>3</w:t>
                  </w:r>
                </w:p>
              </w:tc>
              <w:tc>
                <w:tcPr>
                  <w:tcW w:w="266" w:type="pct"/>
                  <w:vAlign w:val="center"/>
                </w:tcPr>
                <w:p>
                  <w:pPr>
                    <w:pStyle w:val="86"/>
                    <w:rPr>
                      <w:rFonts w:eastAsia="宋体"/>
                      <w:color w:val="auto"/>
                    </w:rPr>
                  </w:pPr>
                  <w:r>
                    <w:rPr>
                      <w:rFonts w:eastAsia="宋体"/>
                      <w:color w:val="auto"/>
                    </w:rPr>
                    <w:t>1</w:t>
                  </w:r>
                </w:p>
              </w:tc>
              <w:tc>
                <w:tcPr>
                  <w:tcW w:w="361" w:type="pct"/>
                  <w:vAlign w:val="center"/>
                </w:tcPr>
                <w:p>
                  <w:pPr>
                    <w:pStyle w:val="86"/>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restart"/>
                  <w:vAlign w:val="center"/>
                </w:tcPr>
                <w:p>
                  <w:pPr>
                    <w:pStyle w:val="86"/>
                    <w:rPr>
                      <w:rFonts w:eastAsia="宋体"/>
                      <w:color w:val="auto"/>
                    </w:rPr>
                  </w:pPr>
                  <w:r>
                    <w:rPr>
                      <w:rFonts w:hint="eastAsia" w:eastAsia="宋体"/>
                      <w:color w:val="auto"/>
                      <w:lang w:val="en-US" w:eastAsia="zh-CN"/>
                    </w:rPr>
                    <w:t>2400</w:t>
                  </w:r>
                  <w:r>
                    <w:rPr>
                      <w:rFonts w:eastAsia="宋体"/>
                      <w:color w:val="auto"/>
                    </w:rPr>
                    <w:t>h</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55</w:t>
                  </w:r>
                </w:p>
              </w:tc>
              <w:tc>
                <w:tcPr>
                  <w:tcW w:w="255" w:type="pct"/>
                  <w:vAlign w:val="center"/>
                </w:tcPr>
                <w:p>
                  <w:pPr>
                    <w:pStyle w:val="86"/>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pPr>
                    <w:pStyle w:val="86"/>
                    <w:rPr>
                      <w:rFonts w:eastAsia="宋体"/>
                      <w:color w:val="auto"/>
                    </w:rPr>
                  </w:pPr>
                </w:p>
              </w:tc>
              <w:tc>
                <w:tcPr>
                  <w:tcW w:w="252" w:type="pct"/>
                  <w:vMerge w:val="continue"/>
                  <w:vAlign w:val="center"/>
                </w:tcPr>
                <w:p>
                  <w:pPr>
                    <w:pStyle w:val="86"/>
                    <w:rPr>
                      <w:rFonts w:eastAsia="宋体"/>
                      <w:color w:val="auto"/>
                    </w:rPr>
                  </w:pPr>
                </w:p>
              </w:tc>
              <w:tc>
                <w:tcPr>
                  <w:tcW w:w="253" w:type="pct"/>
                  <w:vAlign w:val="center"/>
                </w:tcPr>
                <w:p>
                  <w:pPr>
                    <w:pStyle w:val="86"/>
                    <w:rPr>
                      <w:rFonts w:eastAsia="宋体"/>
                      <w:color w:val="auto"/>
                    </w:rPr>
                  </w:pPr>
                  <w:r>
                    <w:rPr>
                      <w:rFonts w:eastAsia="宋体"/>
                      <w:color w:val="auto"/>
                    </w:rPr>
                    <w:t>2#等离子切割机</w:t>
                  </w:r>
                </w:p>
              </w:tc>
              <w:tc>
                <w:tcPr>
                  <w:tcW w:w="253" w:type="pct"/>
                  <w:vAlign w:val="center"/>
                </w:tcPr>
                <w:p>
                  <w:pPr>
                    <w:pStyle w:val="86"/>
                    <w:rPr>
                      <w:rFonts w:eastAsia="宋体"/>
                      <w:color w:val="auto"/>
                    </w:rPr>
                  </w:pPr>
                  <w:r>
                    <w:rPr>
                      <w:rFonts w:eastAsia="宋体"/>
                      <w:color w:val="auto"/>
                    </w:rPr>
                    <w:t>/</w:t>
                  </w:r>
                </w:p>
              </w:tc>
              <w:tc>
                <w:tcPr>
                  <w:tcW w:w="370" w:type="pct"/>
                  <w:vAlign w:val="center"/>
                </w:tcPr>
                <w:p>
                  <w:pPr>
                    <w:pStyle w:val="86"/>
                    <w:rPr>
                      <w:rFonts w:hint="default" w:eastAsia="等线"/>
                      <w:color w:val="auto"/>
                      <w:lang w:val="en-US" w:eastAsia="zh-CN"/>
                    </w:rPr>
                  </w:pPr>
                  <w:r>
                    <w:rPr>
                      <w:rFonts w:hint="eastAsia" w:eastAsia="等线"/>
                      <w:color w:val="auto"/>
                      <w:szCs w:val="21"/>
                      <w:lang w:val="en-US" w:eastAsia="zh-CN"/>
                    </w:rPr>
                    <w:t>95</w:t>
                  </w:r>
                </w:p>
              </w:tc>
              <w:tc>
                <w:tcPr>
                  <w:tcW w:w="365" w:type="pct"/>
                  <w:vMerge w:val="continue"/>
                  <w:vAlign w:val="center"/>
                </w:tcPr>
                <w:p>
                  <w:pPr>
                    <w:pStyle w:val="86"/>
                    <w:rPr>
                      <w:rFonts w:eastAsia="宋体"/>
                      <w:color w:val="auto"/>
                    </w:rPr>
                  </w:pPr>
                </w:p>
              </w:tc>
              <w:tc>
                <w:tcPr>
                  <w:tcW w:w="387" w:type="pct"/>
                  <w:vAlign w:val="center"/>
                </w:tcPr>
                <w:p>
                  <w:pPr>
                    <w:pStyle w:val="86"/>
                    <w:rPr>
                      <w:rFonts w:hint="eastAsia" w:eastAsia="等线"/>
                      <w:color w:val="auto"/>
                      <w:lang w:eastAsia="zh-CN"/>
                    </w:rPr>
                  </w:pPr>
                  <w:r>
                    <w:rPr>
                      <w:rFonts w:eastAsia="等线"/>
                      <w:color w:val="auto"/>
                      <w:szCs w:val="21"/>
                    </w:rPr>
                    <w:t>-</w:t>
                  </w:r>
                  <w:r>
                    <w:rPr>
                      <w:rFonts w:hint="eastAsia" w:eastAsia="等线"/>
                      <w:color w:val="auto"/>
                      <w:szCs w:val="21"/>
                      <w:lang w:val="en-US" w:eastAsia="zh-CN"/>
                    </w:rPr>
                    <w:t>2</w:t>
                  </w:r>
                </w:p>
              </w:tc>
              <w:tc>
                <w:tcPr>
                  <w:tcW w:w="394" w:type="pct"/>
                  <w:vAlign w:val="center"/>
                </w:tcPr>
                <w:p>
                  <w:pPr>
                    <w:pStyle w:val="86"/>
                    <w:rPr>
                      <w:rFonts w:eastAsia="宋体"/>
                      <w:color w:val="auto"/>
                    </w:rPr>
                  </w:pPr>
                  <w:r>
                    <w:rPr>
                      <w:rFonts w:eastAsia="等线"/>
                      <w:color w:val="auto"/>
                      <w:szCs w:val="21"/>
                    </w:rPr>
                    <w:t>4.5</w:t>
                  </w:r>
                </w:p>
              </w:tc>
              <w:tc>
                <w:tcPr>
                  <w:tcW w:w="232" w:type="pct"/>
                  <w:vAlign w:val="center"/>
                </w:tcPr>
                <w:p>
                  <w:pPr>
                    <w:pStyle w:val="86"/>
                    <w:rPr>
                      <w:rFonts w:eastAsia="宋体"/>
                      <w:color w:val="auto"/>
                    </w:rPr>
                  </w:pPr>
                  <w:r>
                    <w:rPr>
                      <w:rFonts w:eastAsia="等线"/>
                      <w:color w:val="auto"/>
                      <w:szCs w:val="21"/>
                    </w:rPr>
                    <w:t>1</w:t>
                  </w:r>
                </w:p>
              </w:tc>
              <w:tc>
                <w:tcPr>
                  <w:tcW w:w="266" w:type="pct"/>
                  <w:vAlign w:val="center"/>
                </w:tcPr>
                <w:p>
                  <w:pPr>
                    <w:pStyle w:val="86"/>
                    <w:rPr>
                      <w:rFonts w:eastAsia="宋体"/>
                      <w:color w:val="auto"/>
                    </w:rPr>
                  </w:pPr>
                  <w:r>
                    <w:rPr>
                      <w:rFonts w:eastAsia="宋体"/>
                      <w:color w:val="auto"/>
                    </w:rPr>
                    <w:t>1</w:t>
                  </w:r>
                </w:p>
              </w:tc>
              <w:tc>
                <w:tcPr>
                  <w:tcW w:w="361" w:type="pct"/>
                  <w:vAlign w:val="center"/>
                </w:tcPr>
                <w:p>
                  <w:pPr>
                    <w:pStyle w:val="86"/>
                    <w:rPr>
                      <w:rFonts w:hint="eastAsia" w:eastAsia="等线"/>
                      <w:color w:val="auto"/>
                      <w:lang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pPr>
                    <w:pStyle w:val="86"/>
                    <w:rPr>
                      <w:rFonts w:eastAsia="宋体"/>
                      <w:color w:val="auto"/>
                    </w:rPr>
                  </w:pP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60</w:t>
                  </w:r>
                </w:p>
              </w:tc>
              <w:tc>
                <w:tcPr>
                  <w:tcW w:w="255" w:type="pct"/>
                  <w:vAlign w:val="center"/>
                </w:tcPr>
                <w:p>
                  <w:pPr>
                    <w:pStyle w:val="86"/>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pPr>
                    <w:pStyle w:val="86"/>
                    <w:rPr>
                      <w:rFonts w:eastAsia="宋体"/>
                      <w:color w:val="auto"/>
                    </w:rPr>
                  </w:pPr>
                </w:p>
              </w:tc>
              <w:tc>
                <w:tcPr>
                  <w:tcW w:w="252" w:type="pct"/>
                  <w:vMerge w:val="continue"/>
                  <w:vAlign w:val="center"/>
                </w:tcPr>
                <w:p>
                  <w:pPr>
                    <w:pStyle w:val="86"/>
                    <w:rPr>
                      <w:rFonts w:eastAsia="宋体"/>
                      <w:color w:val="auto"/>
                    </w:rPr>
                  </w:pPr>
                </w:p>
              </w:tc>
              <w:tc>
                <w:tcPr>
                  <w:tcW w:w="253" w:type="pct"/>
                  <w:vAlign w:val="center"/>
                </w:tcPr>
                <w:p>
                  <w:pPr>
                    <w:pStyle w:val="86"/>
                    <w:rPr>
                      <w:rFonts w:eastAsia="宋体"/>
                      <w:color w:val="auto"/>
                    </w:rPr>
                  </w:pPr>
                  <w:r>
                    <w:rPr>
                      <w:rFonts w:eastAsia="宋体"/>
                      <w:color w:val="auto"/>
                    </w:rPr>
                    <w:t>3#无齿锯</w:t>
                  </w:r>
                </w:p>
              </w:tc>
              <w:tc>
                <w:tcPr>
                  <w:tcW w:w="253" w:type="pct"/>
                  <w:vAlign w:val="center"/>
                </w:tcPr>
                <w:p>
                  <w:pPr>
                    <w:pStyle w:val="86"/>
                    <w:rPr>
                      <w:rFonts w:eastAsia="宋体"/>
                      <w:color w:val="auto"/>
                    </w:rPr>
                  </w:pPr>
                  <w:r>
                    <w:rPr>
                      <w:rFonts w:eastAsia="宋体"/>
                      <w:color w:val="auto"/>
                    </w:rPr>
                    <w:t>/</w:t>
                  </w:r>
                </w:p>
              </w:tc>
              <w:tc>
                <w:tcPr>
                  <w:tcW w:w="370" w:type="pct"/>
                  <w:vAlign w:val="center"/>
                </w:tcPr>
                <w:p>
                  <w:pPr>
                    <w:pStyle w:val="86"/>
                    <w:rPr>
                      <w:rFonts w:eastAsia="宋体"/>
                      <w:color w:val="auto"/>
                    </w:rPr>
                  </w:pPr>
                  <w:r>
                    <w:rPr>
                      <w:rFonts w:eastAsia="等线"/>
                      <w:color w:val="auto"/>
                      <w:szCs w:val="21"/>
                    </w:rPr>
                    <w:t>95</w:t>
                  </w:r>
                </w:p>
              </w:tc>
              <w:tc>
                <w:tcPr>
                  <w:tcW w:w="365" w:type="pct"/>
                  <w:vMerge w:val="continue"/>
                  <w:vAlign w:val="center"/>
                </w:tcPr>
                <w:p>
                  <w:pPr>
                    <w:pStyle w:val="86"/>
                    <w:rPr>
                      <w:rFonts w:eastAsia="宋体"/>
                      <w:color w:val="auto"/>
                    </w:rPr>
                  </w:pPr>
                </w:p>
              </w:tc>
              <w:tc>
                <w:tcPr>
                  <w:tcW w:w="387" w:type="pct"/>
                  <w:vAlign w:val="center"/>
                </w:tcPr>
                <w:p>
                  <w:pPr>
                    <w:pStyle w:val="86"/>
                    <w:rPr>
                      <w:rFonts w:hint="eastAsia" w:eastAsia="等线"/>
                      <w:color w:val="auto"/>
                      <w:lang w:eastAsia="zh-CN"/>
                    </w:rPr>
                  </w:pPr>
                  <w:r>
                    <w:rPr>
                      <w:rFonts w:eastAsia="等线"/>
                      <w:color w:val="auto"/>
                      <w:szCs w:val="21"/>
                    </w:rPr>
                    <w:t>-</w:t>
                  </w:r>
                  <w:r>
                    <w:rPr>
                      <w:rFonts w:hint="eastAsia" w:eastAsia="等线"/>
                      <w:color w:val="auto"/>
                      <w:szCs w:val="21"/>
                      <w:lang w:val="en-US" w:eastAsia="zh-CN"/>
                    </w:rPr>
                    <w:t>5</w:t>
                  </w:r>
                </w:p>
              </w:tc>
              <w:tc>
                <w:tcPr>
                  <w:tcW w:w="394" w:type="pct"/>
                  <w:vAlign w:val="center"/>
                </w:tcPr>
                <w:p>
                  <w:pPr>
                    <w:pStyle w:val="86"/>
                    <w:rPr>
                      <w:rFonts w:eastAsia="宋体"/>
                      <w:color w:val="auto"/>
                    </w:rPr>
                  </w:pPr>
                  <w:r>
                    <w:rPr>
                      <w:rFonts w:eastAsia="等线"/>
                      <w:color w:val="auto"/>
                      <w:szCs w:val="21"/>
                    </w:rPr>
                    <w:t>2</w:t>
                  </w:r>
                </w:p>
              </w:tc>
              <w:tc>
                <w:tcPr>
                  <w:tcW w:w="232" w:type="pct"/>
                  <w:vAlign w:val="center"/>
                </w:tcPr>
                <w:p>
                  <w:pPr>
                    <w:pStyle w:val="86"/>
                    <w:rPr>
                      <w:rFonts w:eastAsia="宋体"/>
                      <w:color w:val="auto"/>
                    </w:rPr>
                  </w:pPr>
                  <w:r>
                    <w:rPr>
                      <w:rFonts w:eastAsia="等线"/>
                      <w:color w:val="auto"/>
                      <w:szCs w:val="21"/>
                    </w:rPr>
                    <w:t>1</w:t>
                  </w:r>
                </w:p>
              </w:tc>
              <w:tc>
                <w:tcPr>
                  <w:tcW w:w="266" w:type="pct"/>
                  <w:vAlign w:val="center"/>
                </w:tcPr>
                <w:p>
                  <w:pPr>
                    <w:pStyle w:val="86"/>
                    <w:rPr>
                      <w:rFonts w:eastAsia="宋体"/>
                      <w:color w:val="auto"/>
                    </w:rPr>
                  </w:pPr>
                  <w:r>
                    <w:rPr>
                      <w:rFonts w:eastAsia="宋体"/>
                      <w:color w:val="auto"/>
                    </w:rPr>
                    <w:t>1</w:t>
                  </w:r>
                </w:p>
              </w:tc>
              <w:tc>
                <w:tcPr>
                  <w:tcW w:w="361" w:type="pct"/>
                  <w:vAlign w:val="center"/>
                </w:tcPr>
                <w:p>
                  <w:pPr>
                    <w:pStyle w:val="86"/>
                    <w:rPr>
                      <w:rFonts w:hint="eastAsia" w:eastAsia="等线"/>
                      <w:color w:val="auto"/>
                      <w:lang w:val="en-US"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pPr>
                    <w:pStyle w:val="86"/>
                    <w:rPr>
                      <w:rFonts w:eastAsia="宋体"/>
                      <w:color w:val="auto"/>
                    </w:rPr>
                  </w:pP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60</w:t>
                  </w:r>
                </w:p>
              </w:tc>
              <w:tc>
                <w:tcPr>
                  <w:tcW w:w="255" w:type="pct"/>
                  <w:vAlign w:val="center"/>
                </w:tcPr>
                <w:p>
                  <w:pPr>
                    <w:pStyle w:val="86"/>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pPr>
                    <w:pStyle w:val="86"/>
                    <w:rPr>
                      <w:rFonts w:eastAsia="宋体"/>
                      <w:color w:val="auto"/>
                    </w:rPr>
                  </w:pPr>
                </w:p>
              </w:tc>
              <w:tc>
                <w:tcPr>
                  <w:tcW w:w="252" w:type="pct"/>
                  <w:vMerge w:val="continue"/>
                  <w:vAlign w:val="center"/>
                </w:tcPr>
                <w:p>
                  <w:pPr>
                    <w:pStyle w:val="86"/>
                    <w:rPr>
                      <w:rFonts w:eastAsia="宋体"/>
                      <w:color w:val="auto"/>
                    </w:rPr>
                  </w:pPr>
                </w:p>
              </w:tc>
              <w:tc>
                <w:tcPr>
                  <w:tcW w:w="253" w:type="pct"/>
                  <w:vAlign w:val="center"/>
                </w:tcPr>
                <w:p>
                  <w:pPr>
                    <w:pStyle w:val="86"/>
                    <w:rPr>
                      <w:rFonts w:eastAsia="宋体"/>
                      <w:color w:val="auto"/>
                    </w:rPr>
                  </w:pPr>
                  <w:r>
                    <w:rPr>
                      <w:rFonts w:eastAsia="宋体"/>
                      <w:color w:val="auto"/>
                    </w:rPr>
                    <w:t>4#油液油排设备</w:t>
                  </w:r>
                </w:p>
              </w:tc>
              <w:tc>
                <w:tcPr>
                  <w:tcW w:w="253" w:type="pct"/>
                  <w:vAlign w:val="center"/>
                </w:tcPr>
                <w:p>
                  <w:pPr>
                    <w:pStyle w:val="86"/>
                    <w:rPr>
                      <w:rFonts w:eastAsia="宋体"/>
                      <w:color w:val="auto"/>
                    </w:rPr>
                  </w:pPr>
                  <w:r>
                    <w:rPr>
                      <w:rFonts w:eastAsia="宋体"/>
                      <w:color w:val="auto"/>
                    </w:rPr>
                    <w:t>/</w:t>
                  </w:r>
                </w:p>
              </w:tc>
              <w:tc>
                <w:tcPr>
                  <w:tcW w:w="370" w:type="pct"/>
                  <w:vAlign w:val="center"/>
                </w:tcPr>
                <w:p>
                  <w:pPr>
                    <w:pStyle w:val="86"/>
                    <w:rPr>
                      <w:rFonts w:hint="default" w:eastAsia="宋体"/>
                      <w:color w:val="auto"/>
                      <w:lang w:val="en-US" w:eastAsia="zh-CN"/>
                    </w:rPr>
                  </w:pPr>
                  <w:r>
                    <w:rPr>
                      <w:rFonts w:hint="eastAsia" w:eastAsia="等线"/>
                      <w:color w:val="auto"/>
                      <w:szCs w:val="21"/>
                      <w:lang w:val="en-US" w:eastAsia="zh-CN"/>
                    </w:rPr>
                    <w:t>90</w:t>
                  </w:r>
                </w:p>
              </w:tc>
              <w:tc>
                <w:tcPr>
                  <w:tcW w:w="365" w:type="pct"/>
                  <w:vMerge w:val="continue"/>
                  <w:vAlign w:val="center"/>
                </w:tcPr>
                <w:p>
                  <w:pPr>
                    <w:pStyle w:val="86"/>
                    <w:rPr>
                      <w:rFonts w:eastAsia="宋体"/>
                      <w:color w:val="auto"/>
                    </w:rPr>
                  </w:pPr>
                </w:p>
              </w:tc>
              <w:tc>
                <w:tcPr>
                  <w:tcW w:w="387" w:type="pct"/>
                  <w:vAlign w:val="center"/>
                </w:tcPr>
                <w:p>
                  <w:pPr>
                    <w:pStyle w:val="86"/>
                    <w:rPr>
                      <w:rFonts w:eastAsia="宋体"/>
                      <w:color w:val="auto"/>
                    </w:rPr>
                  </w:pPr>
                  <w:r>
                    <w:rPr>
                      <w:rFonts w:eastAsia="等线"/>
                      <w:color w:val="auto"/>
                      <w:szCs w:val="21"/>
                    </w:rPr>
                    <w:t>-12</w:t>
                  </w:r>
                </w:p>
              </w:tc>
              <w:tc>
                <w:tcPr>
                  <w:tcW w:w="394" w:type="pct"/>
                  <w:vAlign w:val="center"/>
                </w:tcPr>
                <w:p>
                  <w:pPr>
                    <w:pStyle w:val="86"/>
                    <w:rPr>
                      <w:rFonts w:hint="default" w:eastAsia="等线"/>
                      <w:color w:val="auto"/>
                      <w:lang w:val="en-US" w:eastAsia="zh-CN"/>
                    </w:rPr>
                  </w:pPr>
                  <w:r>
                    <w:rPr>
                      <w:rFonts w:eastAsia="等线"/>
                      <w:color w:val="auto"/>
                      <w:szCs w:val="21"/>
                    </w:rPr>
                    <w:t>-1</w:t>
                  </w:r>
                  <w:r>
                    <w:rPr>
                      <w:rFonts w:hint="eastAsia" w:eastAsia="等线"/>
                      <w:color w:val="auto"/>
                      <w:szCs w:val="21"/>
                      <w:lang w:val="en-US" w:eastAsia="zh-CN"/>
                    </w:rPr>
                    <w:t>.5</w:t>
                  </w:r>
                </w:p>
              </w:tc>
              <w:tc>
                <w:tcPr>
                  <w:tcW w:w="232" w:type="pct"/>
                  <w:vAlign w:val="center"/>
                </w:tcPr>
                <w:p>
                  <w:pPr>
                    <w:pStyle w:val="86"/>
                    <w:rPr>
                      <w:rFonts w:eastAsia="宋体"/>
                      <w:color w:val="auto"/>
                    </w:rPr>
                  </w:pPr>
                  <w:r>
                    <w:rPr>
                      <w:rFonts w:eastAsia="等线"/>
                      <w:color w:val="auto"/>
                      <w:szCs w:val="21"/>
                    </w:rPr>
                    <w:t>1</w:t>
                  </w:r>
                </w:p>
              </w:tc>
              <w:tc>
                <w:tcPr>
                  <w:tcW w:w="266" w:type="pct"/>
                  <w:vAlign w:val="center"/>
                </w:tcPr>
                <w:p>
                  <w:pPr>
                    <w:pStyle w:val="86"/>
                    <w:rPr>
                      <w:rFonts w:eastAsia="宋体"/>
                      <w:color w:val="auto"/>
                    </w:rPr>
                  </w:pPr>
                  <w:r>
                    <w:rPr>
                      <w:rFonts w:eastAsia="宋体"/>
                      <w:color w:val="auto"/>
                    </w:rPr>
                    <w:t>1</w:t>
                  </w:r>
                </w:p>
              </w:tc>
              <w:tc>
                <w:tcPr>
                  <w:tcW w:w="361" w:type="pct"/>
                  <w:vAlign w:val="center"/>
                </w:tcPr>
                <w:p>
                  <w:pPr>
                    <w:pStyle w:val="86"/>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continue"/>
                  <w:vAlign w:val="center"/>
                </w:tcPr>
                <w:p>
                  <w:pPr>
                    <w:pStyle w:val="86"/>
                    <w:rPr>
                      <w:rFonts w:eastAsia="宋体"/>
                      <w:color w:val="auto"/>
                    </w:rPr>
                  </w:pP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55</w:t>
                  </w:r>
                </w:p>
              </w:tc>
              <w:tc>
                <w:tcPr>
                  <w:tcW w:w="255" w:type="pct"/>
                  <w:vAlign w:val="center"/>
                </w:tcPr>
                <w:p>
                  <w:pPr>
                    <w:pStyle w:val="86"/>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0" w:hRule="atLeast"/>
                <w:jc w:val="center"/>
              </w:trPr>
              <w:tc>
                <w:tcPr>
                  <w:tcW w:w="252" w:type="pct"/>
                  <w:vMerge w:val="continue"/>
                  <w:vAlign w:val="center"/>
                </w:tcPr>
                <w:p>
                  <w:pPr>
                    <w:pStyle w:val="86"/>
                    <w:rPr>
                      <w:rFonts w:eastAsia="宋体"/>
                      <w:color w:val="auto"/>
                    </w:rPr>
                  </w:pPr>
                </w:p>
              </w:tc>
              <w:tc>
                <w:tcPr>
                  <w:tcW w:w="252" w:type="pct"/>
                  <w:vMerge w:val="continue"/>
                  <w:vAlign w:val="center"/>
                </w:tcPr>
                <w:p>
                  <w:pPr>
                    <w:pStyle w:val="86"/>
                    <w:rPr>
                      <w:rFonts w:eastAsia="宋体"/>
                      <w:color w:val="auto"/>
                    </w:rPr>
                  </w:pPr>
                </w:p>
              </w:tc>
              <w:tc>
                <w:tcPr>
                  <w:tcW w:w="253" w:type="pct"/>
                  <w:vAlign w:val="center"/>
                </w:tcPr>
                <w:p>
                  <w:pPr>
                    <w:pStyle w:val="86"/>
                    <w:rPr>
                      <w:rFonts w:eastAsia="宋体"/>
                      <w:color w:val="auto"/>
                    </w:rPr>
                  </w:pPr>
                  <w:r>
                    <w:rPr>
                      <w:rFonts w:eastAsia="宋体"/>
                      <w:color w:val="auto"/>
                    </w:rPr>
                    <w:t>5#风机</w:t>
                  </w:r>
                </w:p>
              </w:tc>
              <w:tc>
                <w:tcPr>
                  <w:tcW w:w="253" w:type="pct"/>
                  <w:vAlign w:val="center"/>
                </w:tcPr>
                <w:p>
                  <w:pPr>
                    <w:pStyle w:val="86"/>
                    <w:rPr>
                      <w:rFonts w:eastAsia="宋体"/>
                      <w:color w:val="auto"/>
                    </w:rPr>
                  </w:pPr>
                  <w:r>
                    <w:rPr>
                      <w:rFonts w:eastAsia="宋体"/>
                      <w:color w:val="auto"/>
                    </w:rPr>
                    <w:t>/</w:t>
                  </w:r>
                </w:p>
              </w:tc>
              <w:tc>
                <w:tcPr>
                  <w:tcW w:w="370" w:type="pct"/>
                  <w:vAlign w:val="center"/>
                </w:tcPr>
                <w:p>
                  <w:pPr>
                    <w:pStyle w:val="86"/>
                    <w:rPr>
                      <w:rFonts w:eastAsia="宋体"/>
                      <w:color w:val="auto"/>
                    </w:rPr>
                  </w:pPr>
                  <w:r>
                    <w:rPr>
                      <w:rFonts w:eastAsia="等线"/>
                      <w:color w:val="auto"/>
                      <w:szCs w:val="21"/>
                    </w:rPr>
                    <w:t>85</w:t>
                  </w:r>
                </w:p>
              </w:tc>
              <w:tc>
                <w:tcPr>
                  <w:tcW w:w="365" w:type="pct"/>
                  <w:vAlign w:val="center"/>
                </w:tcPr>
                <w:p>
                  <w:pPr>
                    <w:pStyle w:val="86"/>
                    <w:rPr>
                      <w:rFonts w:eastAsia="宋体"/>
                      <w:color w:val="auto"/>
                    </w:rPr>
                  </w:pPr>
                  <w:r>
                    <w:rPr>
                      <w:rFonts w:hint="eastAsia" w:eastAsia="宋体"/>
                      <w:color w:val="auto"/>
                      <w:lang w:val="en-US" w:eastAsia="zh-CN"/>
                    </w:rPr>
                    <w:t>低噪声设备，</w:t>
                  </w:r>
                  <w:r>
                    <w:rPr>
                      <w:rFonts w:hint="eastAsia" w:eastAsia="宋体"/>
                      <w:color w:val="auto"/>
                    </w:rPr>
                    <w:t>加装隔声罩、吸声、隔声处理</w:t>
                  </w:r>
                </w:p>
              </w:tc>
              <w:tc>
                <w:tcPr>
                  <w:tcW w:w="387" w:type="pct"/>
                  <w:vAlign w:val="center"/>
                </w:tcPr>
                <w:p>
                  <w:pPr>
                    <w:pStyle w:val="86"/>
                    <w:rPr>
                      <w:rFonts w:eastAsia="宋体"/>
                      <w:color w:val="auto"/>
                    </w:rPr>
                  </w:pPr>
                  <w:r>
                    <w:rPr>
                      <w:rFonts w:eastAsia="等线"/>
                      <w:color w:val="auto"/>
                      <w:szCs w:val="21"/>
                    </w:rPr>
                    <w:t>-6</w:t>
                  </w:r>
                </w:p>
              </w:tc>
              <w:tc>
                <w:tcPr>
                  <w:tcW w:w="394" w:type="pct"/>
                  <w:vAlign w:val="center"/>
                </w:tcPr>
                <w:p>
                  <w:pPr>
                    <w:pStyle w:val="86"/>
                    <w:rPr>
                      <w:rFonts w:eastAsia="宋体"/>
                      <w:color w:val="auto"/>
                    </w:rPr>
                  </w:pPr>
                  <w:r>
                    <w:rPr>
                      <w:rFonts w:eastAsia="等线"/>
                      <w:color w:val="auto"/>
                      <w:szCs w:val="21"/>
                    </w:rPr>
                    <w:t>-2</w:t>
                  </w:r>
                </w:p>
              </w:tc>
              <w:tc>
                <w:tcPr>
                  <w:tcW w:w="232" w:type="pct"/>
                  <w:vAlign w:val="center"/>
                </w:tcPr>
                <w:p>
                  <w:pPr>
                    <w:pStyle w:val="86"/>
                    <w:rPr>
                      <w:rFonts w:eastAsia="宋体"/>
                      <w:color w:val="auto"/>
                    </w:rPr>
                  </w:pPr>
                  <w:r>
                    <w:rPr>
                      <w:rFonts w:eastAsia="等线"/>
                      <w:color w:val="auto"/>
                      <w:szCs w:val="21"/>
                    </w:rPr>
                    <w:t>1</w:t>
                  </w:r>
                </w:p>
              </w:tc>
              <w:tc>
                <w:tcPr>
                  <w:tcW w:w="266" w:type="pct"/>
                  <w:vAlign w:val="center"/>
                </w:tcPr>
                <w:p>
                  <w:pPr>
                    <w:pStyle w:val="86"/>
                    <w:rPr>
                      <w:rFonts w:eastAsia="宋体"/>
                      <w:color w:val="auto"/>
                    </w:rPr>
                  </w:pPr>
                  <w:r>
                    <w:rPr>
                      <w:rFonts w:eastAsia="宋体"/>
                      <w:color w:val="auto"/>
                    </w:rPr>
                    <w:t>3</w:t>
                  </w:r>
                </w:p>
              </w:tc>
              <w:tc>
                <w:tcPr>
                  <w:tcW w:w="361" w:type="pct"/>
                  <w:vAlign w:val="center"/>
                </w:tcPr>
                <w:p>
                  <w:pPr>
                    <w:pStyle w:val="86"/>
                    <w:rPr>
                      <w:rFonts w:hint="eastAsia" w:eastAsia="等线"/>
                      <w:color w:val="auto"/>
                      <w:lang w:eastAsia="zh-CN"/>
                    </w:rPr>
                  </w:pPr>
                  <w:r>
                    <w:rPr>
                      <w:rFonts w:eastAsia="等线"/>
                      <w:color w:val="auto"/>
                      <w:szCs w:val="21"/>
                    </w:rPr>
                    <w:t>7</w:t>
                  </w:r>
                  <w:r>
                    <w:rPr>
                      <w:rFonts w:hint="eastAsia" w:eastAsia="等线"/>
                      <w:color w:val="auto"/>
                      <w:szCs w:val="21"/>
                      <w:lang w:val="en-US" w:eastAsia="zh-CN"/>
                    </w:rPr>
                    <w:t>0</w:t>
                  </w:r>
                </w:p>
              </w:tc>
              <w:tc>
                <w:tcPr>
                  <w:tcW w:w="425" w:type="pct"/>
                  <w:vMerge w:val="continue"/>
                  <w:vAlign w:val="center"/>
                </w:tcPr>
                <w:p>
                  <w:pPr>
                    <w:pStyle w:val="86"/>
                    <w:rPr>
                      <w:rFonts w:eastAsia="宋体"/>
                      <w:color w:val="auto"/>
                    </w:rPr>
                  </w:pPr>
                </w:p>
              </w:tc>
              <w:tc>
                <w:tcPr>
                  <w:tcW w:w="463" w:type="pct"/>
                  <w:vAlign w:val="center"/>
                </w:tcPr>
                <w:p>
                  <w:pPr>
                    <w:pStyle w:val="86"/>
                    <w:rPr>
                      <w:rFonts w:hint="default" w:ascii="Times New Roman" w:hAnsi="Times New Roman" w:eastAsia="宋体" w:cs="Times New Roman"/>
                      <w:color w:val="auto"/>
                      <w:kern w:val="0"/>
                      <w:sz w:val="21"/>
                      <w:szCs w:val="24"/>
                      <w:lang w:val="en-US" w:eastAsia="zh-CN" w:bidi="ar-SA"/>
                    </w:rPr>
                  </w:pPr>
                  <w:r>
                    <w:rPr>
                      <w:rFonts w:hint="eastAsia" w:eastAsia="等线"/>
                      <w:color w:val="auto"/>
                      <w:szCs w:val="21"/>
                      <w:lang w:val="en-US" w:eastAsia="zh-CN"/>
                    </w:rPr>
                    <w:t>20</w:t>
                  </w:r>
                </w:p>
              </w:tc>
              <w:tc>
                <w:tcPr>
                  <w:tcW w:w="463" w:type="pct"/>
                  <w:vAlign w:val="center"/>
                </w:tcPr>
                <w:p>
                  <w:pPr>
                    <w:pStyle w:val="86"/>
                    <w:rPr>
                      <w:rFonts w:hint="default" w:eastAsia="宋体"/>
                      <w:color w:val="auto"/>
                      <w:lang w:val="en-US" w:eastAsia="zh-CN"/>
                    </w:rPr>
                  </w:pPr>
                  <w:r>
                    <w:rPr>
                      <w:rFonts w:hint="eastAsia" w:eastAsia="等线"/>
                      <w:color w:val="auto"/>
                      <w:szCs w:val="21"/>
                      <w:lang w:val="en-US" w:eastAsia="zh-CN"/>
                    </w:rPr>
                    <w:t>50</w:t>
                  </w:r>
                </w:p>
              </w:tc>
              <w:tc>
                <w:tcPr>
                  <w:tcW w:w="255" w:type="pct"/>
                  <w:vAlign w:val="center"/>
                </w:tcPr>
                <w:p>
                  <w:pPr>
                    <w:pStyle w:val="86"/>
                    <w:rPr>
                      <w:rFonts w:eastAsia="宋体"/>
                      <w:color w:val="auto"/>
                    </w:rPr>
                  </w:pPr>
                  <w:r>
                    <w:rPr>
                      <w:rFonts w:eastAsia="宋体"/>
                      <w:color w:val="auto"/>
                    </w:rPr>
                    <w:t>1</w:t>
                  </w:r>
                </w:p>
              </w:tc>
            </w:tr>
          </w:tbl>
          <w:p>
            <w:pPr>
              <w:pStyle w:val="82"/>
              <w:rPr>
                <w:color w:val="auto"/>
              </w:rPr>
            </w:pPr>
            <w:r>
              <w:rPr>
                <w:color w:val="auto"/>
              </w:rPr>
              <w:t>（二）项目采取降噪措施</w:t>
            </w:r>
          </w:p>
          <w:p>
            <w:pPr>
              <w:pStyle w:val="75"/>
              <w:rPr>
                <w:snapToGrid w:val="0"/>
                <w:color w:val="auto"/>
              </w:rPr>
            </w:pPr>
            <w:r>
              <w:rPr>
                <w:snapToGrid w:val="0"/>
                <w:color w:val="auto"/>
              </w:rPr>
              <w:t>本项目噪声源多为间断性噪声源，产生噪声的时段仅在白天。项目在设备上考虑选择低噪设备，主要噪声防治措施如下：</w:t>
            </w:r>
          </w:p>
          <w:p>
            <w:pPr>
              <w:pStyle w:val="75"/>
              <w:rPr>
                <w:snapToGrid w:val="0"/>
                <w:color w:val="auto"/>
              </w:rPr>
            </w:pPr>
            <w:r>
              <w:rPr>
                <w:rFonts w:hint="eastAsia" w:ascii="宋体" w:hAnsi="宋体" w:cs="宋体"/>
                <w:snapToGrid w:val="0"/>
                <w:color w:val="auto"/>
              </w:rPr>
              <w:t>①</w:t>
            </w:r>
            <w:r>
              <w:rPr>
                <w:snapToGrid w:val="0"/>
                <w:color w:val="auto"/>
              </w:rPr>
              <w:t>选择低噪声设备：选用满足国际标准的低噪声、低振动设备；除选择比较好的设备外一般还需要采取消声器、基础减振等措施进行综合降噪。</w:t>
            </w:r>
          </w:p>
          <w:p>
            <w:pPr>
              <w:pStyle w:val="75"/>
              <w:rPr>
                <w:snapToGrid w:val="0"/>
                <w:color w:val="auto"/>
              </w:rPr>
            </w:pPr>
            <w:r>
              <w:rPr>
                <w:rFonts w:hint="eastAsia" w:ascii="宋体" w:hAnsi="宋体" w:cs="宋体"/>
                <w:snapToGrid w:val="0"/>
                <w:color w:val="auto"/>
              </w:rPr>
              <w:t>②</w:t>
            </w:r>
            <w:r>
              <w:rPr>
                <w:snapToGrid w:val="0"/>
                <w:color w:val="auto"/>
              </w:rPr>
              <w:t>建筑物隔声：通过建筑物封闭隔声和房屋内壁铺设吸声材料吸声降噪，可降低噪声厂界值，减轻影响。</w:t>
            </w:r>
          </w:p>
          <w:p>
            <w:pPr>
              <w:pStyle w:val="75"/>
              <w:rPr>
                <w:snapToGrid w:val="0"/>
                <w:color w:val="auto"/>
              </w:rPr>
            </w:pPr>
            <w:r>
              <w:rPr>
                <w:rFonts w:hint="eastAsia" w:ascii="宋体" w:hAnsi="宋体" w:cs="宋体"/>
                <w:snapToGrid w:val="0"/>
                <w:color w:val="auto"/>
              </w:rPr>
              <w:t>③</w:t>
            </w:r>
            <w:r>
              <w:rPr>
                <w:snapToGrid w:val="0"/>
                <w:color w:val="auto"/>
              </w:rPr>
              <w:t>对设备进行日常维护，保障设备的正常运行，并且要求操作人员严格规范操作，防止因设备故障或者操作不当带来的额外噪声。</w:t>
            </w:r>
          </w:p>
          <w:p>
            <w:pPr>
              <w:pStyle w:val="75"/>
              <w:rPr>
                <w:snapToGrid w:val="0"/>
                <w:color w:val="auto"/>
              </w:rPr>
            </w:pPr>
            <w:r>
              <w:rPr>
                <w:snapToGrid w:val="0"/>
                <w:color w:val="auto"/>
              </w:rPr>
              <w:t>根据厂区整体布置对噪声设备进行合理布局，集中控制。本项目厂界噪声可满足《工业企业厂界环境噪声排放标准》（GB12348-2008）表1中2类标准的要求。</w:t>
            </w:r>
          </w:p>
          <w:p>
            <w:pPr>
              <w:pStyle w:val="82"/>
              <w:rPr>
                <w:snapToGrid w:val="0"/>
                <w:color w:val="auto"/>
              </w:rPr>
            </w:pPr>
            <w:r>
              <w:rPr>
                <w:snapToGrid w:val="0"/>
                <w:color w:val="auto"/>
              </w:rPr>
              <w:t>（三）噪声环境影响分析</w:t>
            </w:r>
          </w:p>
          <w:p>
            <w:pPr>
              <w:pStyle w:val="75"/>
              <w:rPr>
                <w:rFonts w:hint="default" w:eastAsia="宋体"/>
                <w:color w:val="auto"/>
                <w:lang w:val="en-US" w:eastAsia="zh-CN"/>
              </w:rPr>
            </w:pPr>
            <w:r>
              <w:rPr>
                <w:rFonts w:hint="eastAsia"/>
                <w:color w:val="auto"/>
              </w:rPr>
              <w:t>本</w:t>
            </w:r>
            <w:r>
              <w:rPr>
                <w:color w:val="auto"/>
              </w:rPr>
              <w:t>项目运行期产生的噪声主要来源于车间设备运行时产生的噪声。通过优化平面布置，</w:t>
            </w:r>
            <w:r>
              <w:rPr>
                <w:color w:val="auto"/>
                <w:szCs w:val="21"/>
              </w:rPr>
              <w:t>选用低噪声设备，车间采用隔声门窗，建筑上采取隔声、吸声措施，振动较大的设备采取独立基础</w:t>
            </w:r>
            <w:r>
              <w:rPr>
                <w:rFonts w:hint="eastAsia"/>
                <w:color w:val="auto"/>
                <w:szCs w:val="21"/>
                <w:lang w:val="en-US" w:eastAsia="zh-CN"/>
              </w:rPr>
              <w:t>并</w:t>
            </w:r>
            <w:r>
              <w:rPr>
                <w:color w:val="auto"/>
              </w:rPr>
              <w:t>远离居民区</w:t>
            </w:r>
            <w:r>
              <w:rPr>
                <w:color w:val="auto"/>
                <w:szCs w:val="21"/>
              </w:rPr>
              <w:t>，设置减振器等措施，通过厂区距离衰减后对外环境影响较小</w:t>
            </w:r>
            <w:r>
              <w:rPr>
                <w:color w:val="auto"/>
              </w:rPr>
              <w:t>，项目产生的噪声可以被周围环境接受，厂界噪声可满足《工业企业厂界环境噪声排放标准》（GB12348-2008）表1中2类</w:t>
            </w:r>
            <w:r>
              <w:rPr>
                <w:rFonts w:hint="eastAsia"/>
                <w:color w:val="auto"/>
                <w:lang w:val="en-US" w:eastAsia="zh-CN"/>
              </w:rPr>
              <w:t>和4类</w:t>
            </w:r>
            <w:r>
              <w:rPr>
                <w:color w:val="auto"/>
              </w:rPr>
              <w:t>标准的要求。</w:t>
            </w:r>
            <w:r>
              <w:rPr>
                <w:rFonts w:hint="eastAsia"/>
                <w:color w:val="auto"/>
                <w:lang w:val="en-US" w:eastAsia="zh-CN"/>
              </w:rPr>
              <w:t>通过采取选用低噪声设备、合理布局、基础减震、建筑物歌声、距离衰减后，敏感目标噪声可以满足《声环境质量标准》（GB3096-2008）2类区标准。</w:t>
            </w:r>
          </w:p>
          <w:p>
            <w:pPr>
              <w:pStyle w:val="82"/>
              <w:rPr>
                <w:color w:val="auto"/>
              </w:rPr>
            </w:pPr>
            <w:r>
              <w:rPr>
                <w:color w:val="auto"/>
              </w:rPr>
              <w:t>（四）监测要求</w:t>
            </w:r>
          </w:p>
          <w:p>
            <w:pPr>
              <w:pStyle w:val="75"/>
              <w:rPr>
                <w:color w:val="auto"/>
              </w:rPr>
            </w:pPr>
            <w:r>
              <w:rPr>
                <w:color w:val="auto"/>
              </w:rPr>
              <w:t>根据《排污许可证申请与核发技术规范 废弃资源加工工业》（HJ1034-2019）、《排污单位自行监测技术指南 总则》（HJ 819-2017）及项目排污特点制定，针对本项目噪声排放情况，企业需定期委托有资质的单位进行监测，确保达标排放，减轻对周围环境的污染。具体监测计划见下表。</w:t>
            </w:r>
          </w:p>
          <w:p>
            <w:pPr>
              <w:pStyle w:val="76"/>
              <w:rPr>
                <w:color w:val="auto"/>
              </w:rPr>
            </w:pPr>
            <w:r>
              <w:rPr>
                <w:color w:val="auto"/>
              </w:rPr>
              <w:t>表4-</w:t>
            </w:r>
            <w:r>
              <w:rPr>
                <w:rFonts w:hint="eastAsia"/>
                <w:color w:val="auto"/>
                <w:lang w:val="en-US" w:eastAsia="zh-CN"/>
              </w:rPr>
              <w:t>7</w:t>
            </w:r>
            <w:r>
              <w:rPr>
                <w:color w:val="auto"/>
              </w:rPr>
              <w:t xml:space="preserve"> 噪声监测计划一览表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33"/>
              <w:gridCol w:w="1162"/>
              <w:gridCol w:w="2692"/>
              <w:gridCol w:w="25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pPr>
                    <w:pStyle w:val="49"/>
                    <w:keepNext/>
                    <w:rPr>
                      <w:color w:val="auto"/>
                      <w:szCs w:val="21"/>
                      <w:lang w:val="zh-CN"/>
                    </w:rPr>
                  </w:pPr>
                  <w:r>
                    <w:rPr>
                      <w:color w:val="auto"/>
                      <w:szCs w:val="21"/>
                      <w:lang w:val="zh-CN"/>
                    </w:rPr>
                    <w:t>类别</w:t>
                  </w:r>
                </w:p>
              </w:tc>
              <w:tc>
                <w:tcPr>
                  <w:tcW w:w="773" w:type="pct"/>
                  <w:vAlign w:val="center"/>
                </w:tcPr>
                <w:p>
                  <w:pPr>
                    <w:pStyle w:val="49"/>
                    <w:keepNext/>
                    <w:rPr>
                      <w:color w:val="auto"/>
                      <w:szCs w:val="21"/>
                      <w:lang w:val="zh-CN"/>
                    </w:rPr>
                  </w:pPr>
                  <w:r>
                    <w:rPr>
                      <w:color w:val="auto"/>
                      <w:szCs w:val="21"/>
                      <w:lang w:val="zh-CN"/>
                    </w:rPr>
                    <w:t>监测项目</w:t>
                  </w:r>
                </w:p>
              </w:tc>
              <w:tc>
                <w:tcPr>
                  <w:tcW w:w="1791" w:type="pct"/>
                  <w:vAlign w:val="center"/>
                </w:tcPr>
                <w:p>
                  <w:pPr>
                    <w:pStyle w:val="49"/>
                    <w:keepNext/>
                    <w:rPr>
                      <w:color w:val="auto"/>
                      <w:szCs w:val="21"/>
                      <w:lang w:val="zh-CN"/>
                    </w:rPr>
                  </w:pPr>
                  <w:r>
                    <w:rPr>
                      <w:color w:val="auto"/>
                      <w:szCs w:val="21"/>
                      <w:lang w:val="zh-CN"/>
                    </w:rPr>
                    <w:t>监测点</w:t>
                  </w:r>
                </w:p>
              </w:tc>
              <w:tc>
                <w:tcPr>
                  <w:tcW w:w="1681" w:type="pct"/>
                  <w:vAlign w:val="center"/>
                </w:tcPr>
                <w:p>
                  <w:pPr>
                    <w:pStyle w:val="49"/>
                    <w:keepNext/>
                    <w:rPr>
                      <w:color w:val="auto"/>
                      <w:szCs w:val="21"/>
                      <w:lang w:val="zh-CN"/>
                    </w:rPr>
                  </w:pPr>
                  <w:r>
                    <w:rPr>
                      <w:color w:val="auto"/>
                      <w:szCs w:val="21"/>
                      <w:lang w:val="zh-CN"/>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pPr>
                    <w:pStyle w:val="49"/>
                    <w:keepNext/>
                    <w:rPr>
                      <w:color w:val="auto"/>
                      <w:szCs w:val="21"/>
                      <w:lang w:val="zh-CN"/>
                    </w:rPr>
                  </w:pPr>
                  <w:r>
                    <w:rPr>
                      <w:color w:val="auto"/>
                      <w:szCs w:val="21"/>
                      <w:lang w:val="zh-CN"/>
                    </w:rPr>
                    <w:t>噪声</w:t>
                  </w:r>
                </w:p>
              </w:tc>
              <w:tc>
                <w:tcPr>
                  <w:tcW w:w="773" w:type="pct"/>
                  <w:vAlign w:val="center"/>
                </w:tcPr>
                <w:p>
                  <w:pPr>
                    <w:pStyle w:val="49"/>
                    <w:keepNext/>
                    <w:rPr>
                      <w:color w:val="auto"/>
                      <w:szCs w:val="21"/>
                      <w:lang w:val="zh-CN"/>
                    </w:rPr>
                  </w:pPr>
                  <w:r>
                    <w:rPr>
                      <w:color w:val="auto"/>
                      <w:szCs w:val="21"/>
                      <w:lang w:val="zh-CN"/>
                    </w:rPr>
                    <w:t>Leq</w:t>
                  </w:r>
                </w:p>
              </w:tc>
              <w:tc>
                <w:tcPr>
                  <w:tcW w:w="1791" w:type="pct"/>
                  <w:vAlign w:val="center"/>
                </w:tcPr>
                <w:p>
                  <w:pPr>
                    <w:pStyle w:val="49"/>
                    <w:keepNext/>
                    <w:rPr>
                      <w:color w:val="auto"/>
                      <w:szCs w:val="21"/>
                      <w:lang w:val="zh-CN"/>
                    </w:rPr>
                  </w:pPr>
                  <w:r>
                    <w:rPr>
                      <w:color w:val="auto"/>
                      <w:szCs w:val="21"/>
                      <w:lang w:val="zh-CN"/>
                    </w:rPr>
                    <w:t>厂界外</w:t>
                  </w:r>
                  <w:r>
                    <w:rPr>
                      <w:rFonts w:hint="eastAsia"/>
                      <w:color w:val="auto"/>
                      <w:szCs w:val="21"/>
                      <w:lang w:val="en-US" w:eastAsia="zh-CN"/>
                    </w:rPr>
                    <w:t>四周</w:t>
                  </w:r>
                  <w:r>
                    <w:rPr>
                      <w:color w:val="auto"/>
                      <w:szCs w:val="21"/>
                      <w:lang w:val="zh-CN"/>
                    </w:rPr>
                    <w:t>1m处</w:t>
                  </w:r>
                </w:p>
              </w:tc>
              <w:tc>
                <w:tcPr>
                  <w:tcW w:w="1681" w:type="pct"/>
                  <w:vAlign w:val="center"/>
                </w:tcPr>
                <w:p>
                  <w:pPr>
                    <w:pStyle w:val="49"/>
                    <w:keepNext/>
                    <w:rPr>
                      <w:rFonts w:hint="eastAsia" w:eastAsia="宋体"/>
                      <w:color w:val="auto"/>
                      <w:szCs w:val="21"/>
                      <w:lang w:val="zh-CN" w:eastAsia="zh-CN"/>
                    </w:rPr>
                  </w:pPr>
                  <w:r>
                    <w:rPr>
                      <w:color w:val="auto"/>
                      <w:szCs w:val="21"/>
                    </w:rPr>
                    <w:t>1次/季度</w:t>
                  </w:r>
                  <w:r>
                    <w:rPr>
                      <w:rFonts w:hint="eastAsia"/>
                      <w:color w:val="auto"/>
                      <w:szCs w:val="21"/>
                      <w:lang w:eastAsia="zh-CN"/>
                    </w:rPr>
                    <w:t>，每次连续1天，昼间监测一次</w:t>
                  </w:r>
                </w:p>
              </w:tc>
            </w:tr>
          </w:tbl>
          <w:p>
            <w:pPr>
              <w:pStyle w:val="82"/>
              <w:rPr>
                <w:color w:val="auto"/>
              </w:rPr>
            </w:pPr>
            <w:r>
              <w:rPr>
                <w:color w:val="auto"/>
              </w:rPr>
              <w:t>四、固体废物</w:t>
            </w:r>
          </w:p>
          <w:p>
            <w:pPr>
              <w:pStyle w:val="75"/>
              <w:rPr>
                <w:color w:val="auto"/>
              </w:rPr>
            </w:pPr>
            <w:r>
              <w:rPr>
                <w:color w:val="auto"/>
              </w:rPr>
              <w:t>固体废物主要为职工生活垃圾、一般固体废物（</w:t>
            </w:r>
            <w:r>
              <w:rPr>
                <w:rFonts w:hint="eastAsia"/>
                <w:color w:val="auto"/>
                <w:lang w:eastAsia="zh-CN"/>
              </w:rPr>
              <w:t>移动式布袋除尘器</w:t>
            </w:r>
            <w:r>
              <w:rPr>
                <w:color w:val="auto"/>
              </w:rPr>
              <w:t>收尘</w:t>
            </w:r>
            <w:r>
              <w:rPr>
                <w:rFonts w:hint="eastAsia"/>
                <w:color w:val="auto"/>
              </w:rPr>
              <w:t>，</w:t>
            </w:r>
            <w:r>
              <w:rPr>
                <w:color w:val="auto"/>
              </w:rPr>
              <w:t>废电子电器部件</w:t>
            </w:r>
            <w:r>
              <w:rPr>
                <w:rFonts w:hint="eastAsia"/>
                <w:color w:val="auto"/>
              </w:rPr>
              <w:t>，</w:t>
            </w:r>
            <w:r>
              <w:rPr>
                <w:rFonts w:hint="eastAsia"/>
                <w:color w:val="auto"/>
                <w:lang w:eastAsia="zh-CN"/>
              </w:rPr>
              <w:t>其他固体废物</w:t>
            </w:r>
            <w:r>
              <w:rPr>
                <w:rFonts w:hint="eastAsia"/>
                <w:color w:val="auto"/>
              </w:rPr>
              <w:t>，</w:t>
            </w:r>
            <w:r>
              <w:rPr>
                <w:rFonts w:hint="eastAsia"/>
                <w:color w:val="auto"/>
                <w:lang w:val="en-US" w:eastAsia="zh-CN"/>
              </w:rPr>
              <w:t>泥土</w:t>
            </w:r>
            <w:r>
              <w:rPr>
                <w:color w:val="auto"/>
              </w:rPr>
              <w:t>）和危险废物（</w:t>
            </w:r>
            <w:r>
              <w:rPr>
                <w:bCs/>
                <w:color w:val="auto"/>
              </w:rPr>
              <w:t>废蓄电池，废油液，废防冻液，废电容器</w:t>
            </w:r>
            <w:r>
              <w:rPr>
                <w:rFonts w:hint="eastAsia"/>
                <w:bCs/>
                <w:color w:val="auto"/>
                <w:lang w:eastAsia="zh-CN"/>
              </w:rPr>
              <w:t>，</w:t>
            </w:r>
            <w:r>
              <w:rPr>
                <w:rFonts w:hint="eastAsia"/>
                <w:bCs/>
                <w:color w:val="auto"/>
                <w:lang w:val="en-US" w:eastAsia="zh-CN"/>
              </w:rPr>
              <w:t>废活性炭，</w:t>
            </w:r>
            <w:r>
              <w:rPr>
                <w:bCs/>
                <w:color w:val="auto"/>
              </w:rPr>
              <w:t>沾有油污的手套、抹布、废墩布</w:t>
            </w:r>
            <w:r>
              <w:rPr>
                <w:rFonts w:hint="eastAsia"/>
                <w:bCs/>
                <w:color w:val="auto"/>
                <w:lang w:eastAsia="zh-CN"/>
              </w:rPr>
              <w:t>，</w:t>
            </w:r>
            <w:r>
              <w:rPr>
                <w:rFonts w:hint="eastAsia"/>
                <w:bCs/>
                <w:color w:val="auto"/>
                <w:lang w:val="en-US" w:eastAsia="zh-CN"/>
              </w:rPr>
              <w:t>石棉废物</w:t>
            </w:r>
            <w:r>
              <w:rPr>
                <w:color w:val="auto"/>
              </w:rPr>
              <w:t>）等。</w:t>
            </w:r>
          </w:p>
          <w:p>
            <w:pPr>
              <w:pStyle w:val="82"/>
              <w:rPr>
                <w:color w:val="auto"/>
              </w:rPr>
            </w:pPr>
            <w:r>
              <w:rPr>
                <w:color w:val="auto"/>
              </w:rPr>
              <w:t>（一）生活垃圾</w:t>
            </w:r>
          </w:p>
          <w:p>
            <w:pPr>
              <w:pStyle w:val="75"/>
              <w:rPr>
                <w:color w:val="auto"/>
              </w:rPr>
            </w:pPr>
            <w:r>
              <w:rPr>
                <w:color w:val="auto"/>
              </w:rPr>
              <w:t>本项目职工有</w:t>
            </w:r>
            <w:r>
              <w:rPr>
                <w:rFonts w:hint="eastAsia"/>
                <w:color w:val="auto"/>
                <w:lang w:val="en-US" w:eastAsia="zh-CN"/>
              </w:rPr>
              <w:t>5人</w:t>
            </w:r>
            <w:r>
              <w:rPr>
                <w:color w:val="auto"/>
              </w:rPr>
              <w:t>，生活垃圾按0.5kg/人 天计算，产生量为0.00</w:t>
            </w:r>
            <w:r>
              <w:rPr>
                <w:rFonts w:hint="eastAsia"/>
                <w:color w:val="auto"/>
                <w:lang w:val="en-US" w:eastAsia="zh-CN"/>
              </w:rPr>
              <w:t>5</w:t>
            </w:r>
            <w:r>
              <w:rPr>
                <w:color w:val="auto"/>
              </w:rPr>
              <w:t>t/d，</w:t>
            </w:r>
            <w:r>
              <w:rPr>
                <w:rFonts w:hint="eastAsia"/>
                <w:color w:val="auto"/>
                <w:lang w:val="en-US" w:eastAsia="zh-CN"/>
              </w:rPr>
              <w:t>1.5</w:t>
            </w:r>
            <w:r>
              <w:rPr>
                <w:color w:val="auto"/>
              </w:rPr>
              <w:t>t/a。集中收集，由市政环卫部门统一清运处理。</w:t>
            </w:r>
          </w:p>
          <w:p>
            <w:pPr>
              <w:pStyle w:val="82"/>
              <w:rPr>
                <w:color w:val="auto"/>
              </w:rPr>
            </w:pPr>
            <w:r>
              <w:rPr>
                <w:color w:val="auto"/>
              </w:rPr>
              <w:t>（二）一般固体废物</w:t>
            </w:r>
          </w:p>
          <w:p>
            <w:pPr>
              <w:pStyle w:val="75"/>
              <w:rPr>
                <w:color w:val="auto"/>
              </w:rPr>
            </w:pPr>
            <w:r>
              <w:rPr>
                <w:rFonts w:hint="eastAsia" w:ascii="宋体" w:hAnsi="宋体" w:cs="宋体"/>
                <w:color w:val="auto"/>
              </w:rPr>
              <w:t>①</w:t>
            </w:r>
            <w:r>
              <w:rPr>
                <w:rFonts w:hint="eastAsia"/>
                <w:color w:val="auto"/>
                <w:lang w:eastAsia="zh-CN"/>
              </w:rPr>
              <w:t>移动式布袋除尘器</w:t>
            </w:r>
            <w:r>
              <w:rPr>
                <w:color w:val="auto"/>
              </w:rPr>
              <w:t>收尘</w:t>
            </w:r>
          </w:p>
          <w:p>
            <w:pPr>
              <w:pStyle w:val="75"/>
              <w:rPr>
                <w:color w:val="auto"/>
              </w:rPr>
            </w:pPr>
            <w:r>
              <w:rPr>
                <w:color w:val="auto"/>
              </w:rPr>
              <w:t>本项目在切割工位净化处理过程中，</w:t>
            </w:r>
            <w:r>
              <w:rPr>
                <w:color w:val="auto"/>
                <w:szCs w:val="21"/>
              </w:rPr>
              <w:t>移动式</w:t>
            </w:r>
            <w:r>
              <w:rPr>
                <w:rFonts w:hint="eastAsia"/>
                <w:color w:val="auto"/>
                <w:szCs w:val="21"/>
              </w:rPr>
              <w:t>布袋除尘器</w:t>
            </w:r>
            <w:r>
              <w:rPr>
                <w:color w:val="auto"/>
              </w:rPr>
              <w:t>会收集一定量的粉尘，主要成分为金属尘，收尘量约为0.</w:t>
            </w:r>
            <w:r>
              <w:rPr>
                <w:rFonts w:hint="eastAsia"/>
                <w:color w:val="auto"/>
                <w:lang w:val="en-US" w:eastAsia="zh-CN"/>
              </w:rPr>
              <w:t>0099</w:t>
            </w:r>
            <w:r>
              <w:rPr>
                <w:color w:val="auto"/>
              </w:rPr>
              <w:t>t/a，集中收集，外售综合利用。</w:t>
            </w:r>
          </w:p>
          <w:p>
            <w:pPr>
              <w:pStyle w:val="75"/>
              <w:rPr>
                <w:color w:val="auto"/>
              </w:rPr>
            </w:pPr>
            <w:r>
              <w:rPr>
                <w:rFonts w:hint="eastAsia" w:ascii="宋体" w:hAnsi="宋体" w:cs="宋体"/>
                <w:color w:val="auto"/>
              </w:rPr>
              <w:t>②</w:t>
            </w:r>
            <w:r>
              <w:rPr>
                <w:color w:val="auto"/>
              </w:rPr>
              <w:t>废电子电器部件</w:t>
            </w:r>
          </w:p>
          <w:p>
            <w:pPr>
              <w:pStyle w:val="75"/>
              <w:rPr>
                <w:color w:val="auto"/>
              </w:rPr>
            </w:pPr>
            <w:r>
              <w:rPr>
                <w:color w:val="auto"/>
              </w:rPr>
              <w:t>本项目报废农业机械拆解过程中产生的各种电子电器部件产生量为</w:t>
            </w:r>
            <w:r>
              <w:rPr>
                <w:rFonts w:hint="eastAsia"/>
                <w:color w:val="auto"/>
                <w:lang w:val="en-US" w:eastAsia="zh-CN"/>
              </w:rPr>
              <w:t>15</w:t>
            </w:r>
            <w:r>
              <w:rPr>
                <w:color w:val="auto"/>
              </w:rPr>
              <w:t>t/a，包括仪表盘、电动机和发电机、电线电缆以及其他电子电器，不再进一步拆解，不属于危险废物，根据《电子废物污染环境防治管理办法》（2008年2月1日），应交由有废弃电子产品处理资格的企业进行处置。</w:t>
            </w:r>
          </w:p>
          <w:p>
            <w:pPr>
              <w:pStyle w:val="75"/>
              <w:rPr>
                <w:rFonts w:hint="eastAsia" w:eastAsia="宋体"/>
                <w:color w:val="auto"/>
                <w:lang w:eastAsia="zh-CN"/>
              </w:rPr>
            </w:pPr>
            <w:r>
              <w:rPr>
                <w:rFonts w:hint="eastAsia" w:ascii="宋体" w:hAnsi="宋体" w:cs="宋体"/>
                <w:color w:val="auto"/>
              </w:rPr>
              <w:t>③</w:t>
            </w:r>
            <w:r>
              <w:rPr>
                <w:rFonts w:hint="eastAsia"/>
                <w:color w:val="auto"/>
                <w:lang w:eastAsia="zh-CN"/>
              </w:rPr>
              <w:t>其他固体废物</w:t>
            </w:r>
          </w:p>
          <w:p>
            <w:pPr>
              <w:pStyle w:val="75"/>
              <w:rPr>
                <w:color w:val="auto"/>
              </w:rPr>
            </w:pPr>
            <w:r>
              <w:rPr>
                <w:color w:val="auto"/>
              </w:rPr>
              <w:t>主要为废棉、麻织物、废海绵、废皮革等，产生量为</w:t>
            </w:r>
            <w:r>
              <w:rPr>
                <w:rFonts w:hint="eastAsia"/>
                <w:color w:val="auto"/>
                <w:lang w:val="en-US" w:eastAsia="zh-CN"/>
              </w:rPr>
              <w:t>96</w:t>
            </w:r>
            <w:r>
              <w:rPr>
                <w:color w:val="auto"/>
              </w:rPr>
              <w:t>t/a，集中收集，</w:t>
            </w:r>
            <w:r>
              <w:rPr>
                <w:rFonts w:hint="eastAsia"/>
                <w:color w:val="auto"/>
              </w:rPr>
              <w:t>外售综合利用</w:t>
            </w:r>
            <w:r>
              <w:rPr>
                <w:color w:val="auto"/>
              </w:rPr>
              <w:t>。</w:t>
            </w:r>
          </w:p>
          <w:p>
            <w:pPr>
              <w:pStyle w:val="75"/>
              <w:rPr>
                <w:rFonts w:hint="eastAsia"/>
                <w:color w:val="auto"/>
              </w:rPr>
            </w:pPr>
            <w:r>
              <w:rPr>
                <w:rFonts w:hint="eastAsia"/>
                <w:color w:val="auto"/>
              </w:rPr>
              <w:t>④泥土</w:t>
            </w:r>
          </w:p>
          <w:p>
            <w:pPr>
              <w:pStyle w:val="75"/>
              <w:rPr>
                <w:color w:val="auto"/>
              </w:rPr>
            </w:pPr>
            <w:r>
              <w:rPr>
                <w:rFonts w:hint="eastAsia"/>
                <w:color w:val="auto"/>
              </w:rPr>
              <w:t>本项目拆解前需要对报废农业机动车进行清洁处理，去除机械外部的非原机所属的覆盖物，覆盖物主要为泥土，产生的量约为</w:t>
            </w:r>
            <w:r>
              <w:rPr>
                <w:rFonts w:hint="eastAsia"/>
                <w:color w:val="auto"/>
                <w:lang w:val="en-US" w:eastAsia="zh-CN"/>
              </w:rPr>
              <w:t>1</w:t>
            </w:r>
            <w:r>
              <w:rPr>
                <w:rFonts w:hint="eastAsia"/>
                <w:color w:val="auto"/>
              </w:rPr>
              <w:t>t/a，集中收集，外售</w:t>
            </w:r>
            <w:r>
              <w:rPr>
                <w:rFonts w:hint="eastAsia"/>
                <w:color w:val="auto"/>
                <w:lang w:val="en-US" w:eastAsia="zh-CN"/>
              </w:rPr>
              <w:t>给苗圃</w:t>
            </w:r>
            <w:r>
              <w:rPr>
                <w:rFonts w:hint="eastAsia"/>
                <w:color w:val="auto"/>
              </w:rPr>
              <w:t>综合利用。</w:t>
            </w:r>
          </w:p>
          <w:p>
            <w:pPr>
              <w:pStyle w:val="76"/>
              <w:rPr>
                <w:color w:val="auto"/>
              </w:rPr>
            </w:pPr>
            <w:r>
              <w:rPr>
                <w:color w:val="auto"/>
              </w:rPr>
              <w:t>表4-</w:t>
            </w:r>
            <w:r>
              <w:rPr>
                <w:rFonts w:hint="eastAsia"/>
                <w:color w:val="auto"/>
                <w:lang w:val="en-US" w:eastAsia="zh-CN"/>
              </w:rPr>
              <w:t>8</w:t>
            </w:r>
            <w:r>
              <w:rPr>
                <w:color w:val="auto"/>
              </w:rPr>
              <w:t xml:space="preserve"> 本项目一般固体废物一览表</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6"/>
              <w:gridCol w:w="2436"/>
              <w:gridCol w:w="1276"/>
              <w:gridCol w:w="1135"/>
              <w:gridCol w:w="19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pPr>
                    <w:pStyle w:val="49"/>
                    <w:rPr>
                      <w:color w:val="auto"/>
                      <w:szCs w:val="21"/>
                    </w:rPr>
                  </w:pPr>
                  <w:r>
                    <w:rPr>
                      <w:color w:val="auto"/>
                      <w:szCs w:val="21"/>
                    </w:rPr>
                    <w:t>序号</w:t>
                  </w:r>
                </w:p>
              </w:tc>
              <w:tc>
                <w:tcPr>
                  <w:tcW w:w="2517" w:type="dxa"/>
                  <w:vAlign w:val="center"/>
                </w:tcPr>
                <w:p>
                  <w:pPr>
                    <w:pStyle w:val="49"/>
                    <w:rPr>
                      <w:color w:val="auto"/>
                      <w:szCs w:val="21"/>
                    </w:rPr>
                  </w:pPr>
                  <w:r>
                    <w:rPr>
                      <w:color w:val="auto"/>
                    </w:rPr>
                    <w:t>一般固体废物</w:t>
                  </w:r>
                  <w:r>
                    <w:rPr>
                      <w:color w:val="auto"/>
                      <w:szCs w:val="21"/>
                    </w:rPr>
                    <w:t>名称</w:t>
                  </w:r>
                </w:p>
              </w:tc>
              <w:tc>
                <w:tcPr>
                  <w:tcW w:w="1315" w:type="dxa"/>
                  <w:vAlign w:val="center"/>
                </w:tcPr>
                <w:p>
                  <w:pPr>
                    <w:pStyle w:val="49"/>
                    <w:rPr>
                      <w:color w:val="auto"/>
                      <w:szCs w:val="21"/>
                    </w:rPr>
                  </w:pPr>
                  <w:r>
                    <w:rPr>
                      <w:color w:val="auto"/>
                      <w:szCs w:val="21"/>
                    </w:rPr>
                    <w:t>代码</w:t>
                  </w:r>
                </w:p>
              </w:tc>
              <w:tc>
                <w:tcPr>
                  <w:tcW w:w="1169" w:type="dxa"/>
                  <w:vAlign w:val="center"/>
                </w:tcPr>
                <w:p>
                  <w:pPr>
                    <w:pStyle w:val="49"/>
                    <w:rPr>
                      <w:color w:val="auto"/>
                      <w:szCs w:val="21"/>
                    </w:rPr>
                  </w:pPr>
                  <w:r>
                    <w:rPr>
                      <w:color w:val="auto"/>
                      <w:szCs w:val="21"/>
                    </w:rPr>
                    <w:t>产生量t/a</w:t>
                  </w:r>
                </w:p>
              </w:tc>
              <w:tc>
                <w:tcPr>
                  <w:tcW w:w="2014" w:type="dxa"/>
                  <w:vAlign w:val="center"/>
                </w:tcPr>
                <w:p>
                  <w:pPr>
                    <w:pStyle w:val="49"/>
                    <w:rPr>
                      <w:color w:val="auto"/>
                      <w:szCs w:val="21"/>
                    </w:rPr>
                  </w:pPr>
                  <w:r>
                    <w:rPr>
                      <w:color w:val="auto"/>
                      <w:szCs w:val="21"/>
                    </w:rPr>
                    <w:t>处置方式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pPr>
                    <w:pStyle w:val="49"/>
                    <w:rPr>
                      <w:color w:val="auto"/>
                      <w:szCs w:val="21"/>
                    </w:rPr>
                  </w:pPr>
                  <w:r>
                    <w:rPr>
                      <w:color w:val="auto"/>
                      <w:szCs w:val="21"/>
                    </w:rPr>
                    <w:t>1</w:t>
                  </w:r>
                </w:p>
              </w:tc>
              <w:tc>
                <w:tcPr>
                  <w:tcW w:w="2517" w:type="dxa"/>
                  <w:vAlign w:val="center"/>
                </w:tcPr>
                <w:p>
                  <w:pPr>
                    <w:pStyle w:val="49"/>
                    <w:rPr>
                      <w:color w:val="auto"/>
                      <w:szCs w:val="21"/>
                    </w:rPr>
                  </w:pPr>
                  <w:r>
                    <w:rPr>
                      <w:rFonts w:hint="eastAsia"/>
                      <w:bCs/>
                      <w:color w:val="auto"/>
                      <w:szCs w:val="21"/>
                      <w:lang w:eastAsia="zh-CN"/>
                    </w:rPr>
                    <w:t>移动式布袋除尘器</w:t>
                  </w:r>
                  <w:r>
                    <w:rPr>
                      <w:bCs/>
                      <w:color w:val="auto"/>
                      <w:szCs w:val="21"/>
                    </w:rPr>
                    <w:t>收尘</w:t>
                  </w:r>
                </w:p>
              </w:tc>
              <w:tc>
                <w:tcPr>
                  <w:tcW w:w="1315" w:type="dxa"/>
                  <w:vAlign w:val="center"/>
                </w:tcPr>
                <w:p>
                  <w:pPr>
                    <w:pStyle w:val="49"/>
                    <w:rPr>
                      <w:color w:val="auto"/>
                    </w:rPr>
                  </w:pPr>
                  <w:r>
                    <w:rPr>
                      <w:color w:val="auto"/>
                    </w:rPr>
                    <w:t>421-001-66</w:t>
                  </w:r>
                </w:p>
              </w:tc>
              <w:tc>
                <w:tcPr>
                  <w:tcW w:w="1169" w:type="dxa"/>
                  <w:vAlign w:val="center"/>
                </w:tcPr>
                <w:p>
                  <w:pPr>
                    <w:pStyle w:val="49"/>
                    <w:rPr>
                      <w:rFonts w:hint="default" w:eastAsia="宋体"/>
                      <w:color w:val="auto"/>
                      <w:lang w:val="en-US" w:eastAsia="zh-CN"/>
                    </w:rPr>
                  </w:pPr>
                  <w:r>
                    <w:rPr>
                      <w:color w:val="auto"/>
                    </w:rPr>
                    <w:t>0.</w:t>
                  </w:r>
                  <w:r>
                    <w:rPr>
                      <w:rFonts w:hint="eastAsia"/>
                      <w:color w:val="auto"/>
                      <w:lang w:val="en-US" w:eastAsia="zh-CN"/>
                    </w:rPr>
                    <w:t>0099</w:t>
                  </w:r>
                </w:p>
              </w:tc>
              <w:tc>
                <w:tcPr>
                  <w:tcW w:w="2014" w:type="dxa"/>
                  <w:vAlign w:val="center"/>
                </w:tcPr>
                <w:p>
                  <w:pPr>
                    <w:pStyle w:val="49"/>
                    <w:jc w:val="both"/>
                    <w:rPr>
                      <w:rFonts w:hint="eastAsia" w:eastAsia="宋体"/>
                      <w:color w:val="auto"/>
                      <w:lang w:eastAsia="zh-CN"/>
                    </w:rPr>
                  </w:pPr>
                  <w:r>
                    <w:rPr>
                      <w:color w:val="auto"/>
                    </w:rPr>
                    <w:t>集中收集，外售综合利用</w:t>
                  </w:r>
                  <w:r>
                    <w:rPr>
                      <w:rFonts w:hint="eastAsia"/>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734" w:type="dxa"/>
                  <w:vAlign w:val="center"/>
                </w:tcPr>
                <w:p>
                  <w:pPr>
                    <w:pStyle w:val="49"/>
                    <w:rPr>
                      <w:color w:val="auto"/>
                      <w:szCs w:val="21"/>
                    </w:rPr>
                  </w:pPr>
                  <w:r>
                    <w:rPr>
                      <w:color w:val="auto"/>
                      <w:szCs w:val="21"/>
                    </w:rPr>
                    <w:t>2</w:t>
                  </w:r>
                </w:p>
              </w:tc>
              <w:tc>
                <w:tcPr>
                  <w:tcW w:w="2517" w:type="dxa"/>
                  <w:vAlign w:val="center"/>
                </w:tcPr>
                <w:p>
                  <w:pPr>
                    <w:pStyle w:val="49"/>
                    <w:rPr>
                      <w:bCs/>
                      <w:color w:val="auto"/>
                      <w:szCs w:val="21"/>
                    </w:rPr>
                  </w:pPr>
                  <w:r>
                    <w:rPr>
                      <w:color w:val="auto"/>
                      <w:szCs w:val="21"/>
                    </w:rPr>
                    <w:t>废电子电器部件</w:t>
                  </w:r>
                </w:p>
              </w:tc>
              <w:tc>
                <w:tcPr>
                  <w:tcW w:w="1315" w:type="dxa"/>
                  <w:vAlign w:val="center"/>
                </w:tcPr>
                <w:p>
                  <w:pPr>
                    <w:pStyle w:val="49"/>
                    <w:rPr>
                      <w:color w:val="auto"/>
                    </w:rPr>
                  </w:pPr>
                  <w:r>
                    <w:rPr>
                      <w:color w:val="auto"/>
                    </w:rPr>
                    <w:t>421-001-99</w:t>
                  </w:r>
                </w:p>
              </w:tc>
              <w:tc>
                <w:tcPr>
                  <w:tcW w:w="1169" w:type="dxa"/>
                  <w:vAlign w:val="center"/>
                </w:tcPr>
                <w:p>
                  <w:pPr>
                    <w:pStyle w:val="49"/>
                    <w:rPr>
                      <w:rFonts w:hint="default" w:eastAsia="宋体"/>
                      <w:color w:val="auto"/>
                      <w:lang w:val="en-US" w:eastAsia="zh-CN"/>
                    </w:rPr>
                  </w:pPr>
                  <w:r>
                    <w:rPr>
                      <w:rFonts w:hint="eastAsia"/>
                      <w:color w:val="auto"/>
                      <w:szCs w:val="21"/>
                      <w:lang w:val="en-US" w:eastAsia="zh-CN"/>
                    </w:rPr>
                    <w:t>15</w:t>
                  </w:r>
                </w:p>
              </w:tc>
              <w:tc>
                <w:tcPr>
                  <w:tcW w:w="2014" w:type="dxa"/>
                  <w:vAlign w:val="center"/>
                </w:tcPr>
                <w:p>
                  <w:pPr>
                    <w:pStyle w:val="49"/>
                    <w:jc w:val="both"/>
                    <w:rPr>
                      <w:rFonts w:hint="eastAsia" w:eastAsia="宋体"/>
                      <w:color w:val="auto"/>
                      <w:lang w:eastAsia="zh-CN"/>
                    </w:rPr>
                  </w:pPr>
                  <w:r>
                    <w:rPr>
                      <w:color w:val="auto"/>
                    </w:rPr>
                    <w:t>交由有废弃电子产品处理资格的企业进行处置</w:t>
                  </w:r>
                  <w:r>
                    <w:rPr>
                      <w:rFonts w:hint="eastAsia"/>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pPr>
                    <w:pStyle w:val="49"/>
                    <w:rPr>
                      <w:color w:val="auto"/>
                      <w:szCs w:val="21"/>
                    </w:rPr>
                  </w:pPr>
                  <w:r>
                    <w:rPr>
                      <w:color w:val="auto"/>
                      <w:szCs w:val="21"/>
                    </w:rPr>
                    <w:t>3</w:t>
                  </w:r>
                </w:p>
              </w:tc>
              <w:tc>
                <w:tcPr>
                  <w:tcW w:w="2517" w:type="dxa"/>
                  <w:vAlign w:val="center"/>
                </w:tcPr>
                <w:p>
                  <w:pPr>
                    <w:pStyle w:val="49"/>
                    <w:rPr>
                      <w:rFonts w:hint="eastAsia" w:eastAsia="宋体"/>
                      <w:color w:val="auto"/>
                      <w:szCs w:val="21"/>
                      <w:lang w:eastAsia="zh-CN"/>
                    </w:rPr>
                  </w:pPr>
                  <w:r>
                    <w:rPr>
                      <w:rFonts w:hint="eastAsia"/>
                      <w:color w:val="auto"/>
                      <w:szCs w:val="21"/>
                      <w:lang w:eastAsia="zh-CN"/>
                    </w:rPr>
                    <w:t>其他固体废物</w:t>
                  </w:r>
                </w:p>
              </w:tc>
              <w:tc>
                <w:tcPr>
                  <w:tcW w:w="1315" w:type="dxa"/>
                  <w:vAlign w:val="center"/>
                </w:tcPr>
                <w:p>
                  <w:pPr>
                    <w:pStyle w:val="49"/>
                    <w:rPr>
                      <w:color w:val="auto"/>
                    </w:rPr>
                  </w:pPr>
                  <w:r>
                    <w:rPr>
                      <w:color w:val="auto"/>
                    </w:rPr>
                    <w:t>421-001-99</w:t>
                  </w:r>
                </w:p>
              </w:tc>
              <w:tc>
                <w:tcPr>
                  <w:tcW w:w="1169" w:type="dxa"/>
                  <w:vAlign w:val="center"/>
                </w:tcPr>
                <w:p>
                  <w:pPr>
                    <w:pStyle w:val="49"/>
                    <w:rPr>
                      <w:rFonts w:hint="default" w:eastAsia="宋体"/>
                      <w:color w:val="auto"/>
                      <w:szCs w:val="21"/>
                      <w:lang w:val="en-US" w:eastAsia="zh-CN"/>
                    </w:rPr>
                  </w:pPr>
                  <w:r>
                    <w:rPr>
                      <w:rFonts w:hint="eastAsia"/>
                      <w:color w:val="auto"/>
                      <w:lang w:val="en-US" w:eastAsia="zh-CN"/>
                    </w:rPr>
                    <w:t>96</w:t>
                  </w:r>
                </w:p>
              </w:tc>
              <w:tc>
                <w:tcPr>
                  <w:tcW w:w="2014" w:type="dxa"/>
                  <w:vAlign w:val="center"/>
                </w:tcPr>
                <w:p>
                  <w:pPr>
                    <w:pStyle w:val="49"/>
                    <w:jc w:val="both"/>
                    <w:rPr>
                      <w:rFonts w:hint="eastAsia" w:eastAsia="宋体"/>
                      <w:color w:val="auto"/>
                      <w:lang w:eastAsia="zh-CN"/>
                    </w:rPr>
                  </w:pPr>
                  <w:r>
                    <w:rPr>
                      <w:color w:val="auto"/>
                    </w:rPr>
                    <w:t>集中收集，</w:t>
                  </w:r>
                  <w:r>
                    <w:rPr>
                      <w:rFonts w:hint="eastAsia"/>
                      <w:color w:val="auto"/>
                      <w:lang w:val="en-US" w:eastAsia="zh-CN"/>
                    </w:rPr>
                    <w:t>外售</w:t>
                  </w:r>
                  <w:bookmarkStart w:id="35" w:name="_GoBack"/>
                  <w:bookmarkEnd w:id="35"/>
                  <w:r>
                    <w:rPr>
                      <w:rFonts w:hint="eastAsia"/>
                      <w:color w:val="auto"/>
                      <w:lang w:val="en-US" w:eastAsia="zh-CN"/>
                    </w:rPr>
                    <w:t>综合利用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pPr>
                    <w:pStyle w:val="49"/>
                    <w:rPr>
                      <w:rFonts w:hint="eastAsia" w:eastAsia="宋体"/>
                      <w:color w:val="auto"/>
                      <w:szCs w:val="21"/>
                      <w:lang w:val="en-US" w:eastAsia="zh-CN"/>
                    </w:rPr>
                  </w:pPr>
                  <w:r>
                    <w:rPr>
                      <w:rFonts w:hint="eastAsia"/>
                      <w:color w:val="auto"/>
                      <w:szCs w:val="21"/>
                      <w:lang w:val="en-US" w:eastAsia="zh-CN"/>
                    </w:rPr>
                    <w:t>4</w:t>
                  </w:r>
                </w:p>
              </w:tc>
              <w:tc>
                <w:tcPr>
                  <w:tcW w:w="2517" w:type="dxa"/>
                  <w:vAlign w:val="center"/>
                </w:tcPr>
                <w:p>
                  <w:pPr>
                    <w:pStyle w:val="49"/>
                    <w:rPr>
                      <w:rFonts w:hint="eastAsia" w:eastAsia="宋体"/>
                      <w:color w:val="auto"/>
                      <w:szCs w:val="21"/>
                      <w:lang w:val="en-US" w:eastAsia="zh-CN"/>
                    </w:rPr>
                  </w:pPr>
                  <w:r>
                    <w:rPr>
                      <w:rFonts w:hint="eastAsia"/>
                      <w:color w:val="auto"/>
                      <w:szCs w:val="21"/>
                      <w:lang w:val="en-US" w:eastAsia="zh-CN"/>
                    </w:rPr>
                    <w:t>泥土</w:t>
                  </w:r>
                </w:p>
              </w:tc>
              <w:tc>
                <w:tcPr>
                  <w:tcW w:w="1315" w:type="dxa"/>
                  <w:vAlign w:val="center"/>
                </w:tcPr>
                <w:p>
                  <w:pPr>
                    <w:pStyle w:val="49"/>
                    <w:rPr>
                      <w:color w:val="auto"/>
                    </w:rPr>
                  </w:pPr>
                  <w:r>
                    <w:rPr>
                      <w:color w:val="auto"/>
                      <w:szCs w:val="21"/>
                    </w:rPr>
                    <w:t>421-001-99</w:t>
                  </w:r>
                </w:p>
              </w:tc>
              <w:tc>
                <w:tcPr>
                  <w:tcW w:w="1169" w:type="dxa"/>
                  <w:vAlign w:val="center"/>
                </w:tcPr>
                <w:p>
                  <w:pPr>
                    <w:pStyle w:val="49"/>
                    <w:rPr>
                      <w:rFonts w:hint="default"/>
                      <w:color w:val="auto"/>
                      <w:lang w:val="en-US" w:eastAsia="zh-CN"/>
                    </w:rPr>
                  </w:pPr>
                  <w:r>
                    <w:rPr>
                      <w:rFonts w:hint="eastAsia"/>
                      <w:color w:val="auto"/>
                      <w:szCs w:val="21"/>
                      <w:lang w:val="en-US" w:eastAsia="zh-CN"/>
                    </w:rPr>
                    <w:t>1</w:t>
                  </w:r>
                </w:p>
              </w:tc>
              <w:tc>
                <w:tcPr>
                  <w:tcW w:w="2014" w:type="dxa"/>
                  <w:vAlign w:val="center"/>
                </w:tcPr>
                <w:p>
                  <w:pPr>
                    <w:pStyle w:val="49"/>
                    <w:jc w:val="both"/>
                    <w:rPr>
                      <w:color w:val="auto"/>
                    </w:rPr>
                  </w:pPr>
                  <w:r>
                    <w:rPr>
                      <w:color w:val="auto"/>
                      <w:szCs w:val="21"/>
                    </w:rPr>
                    <w:t>集中收集，</w:t>
                  </w:r>
                  <w:r>
                    <w:rPr>
                      <w:rFonts w:hint="eastAsia"/>
                      <w:color w:val="auto"/>
                      <w:lang w:val="en-US" w:eastAsia="zh-CN"/>
                    </w:rPr>
                    <w:t>外售给苗圃综合利用。</w:t>
                  </w:r>
                </w:p>
              </w:tc>
            </w:tr>
          </w:tbl>
          <w:p>
            <w:pPr>
              <w:pStyle w:val="75"/>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一般工业固体废物环境管理要求：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②禁止向生活垃圾收集设施中投放工业固体废物。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pPr>
              <w:pStyle w:val="82"/>
              <w:rPr>
                <w:color w:val="auto"/>
              </w:rPr>
            </w:pPr>
            <w:r>
              <w:rPr>
                <w:color w:val="auto"/>
              </w:rPr>
              <w:t>（三）危险废物</w:t>
            </w:r>
          </w:p>
          <w:p>
            <w:pPr>
              <w:pStyle w:val="75"/>
              <w:rPr>
                <w:color w:val="auto"/>
              </w:rPr>
            </w:pPr>
            <w:r>
              <w:rPr>
                <w:color w:val="auto"/>
              </w:rPr>
              <w:t>1、产生量</w:t>
            </w:r>
          </w:p>
          <w:p>
            <w:pPr>
              <w:pStyle w:val="75"/>
              <w:rPr>
                <w:color w:val="auto"/>
              </w:rPr>
            </w:pPr>
            <w:r>
              <w:rPr>
                <w:rFonts w:hint="eastAsia" w:ascii="宋体" w:hAnsi="宋体" w:cs="宋体"/>
                <w:color w:val="auto"/>
              </w:rPr>
              <w:t>①</w:t>
            </w:r>
            <w:r>
              <w:rPr>
                <w:color w:val="auto"/>
              </w:rPr>
              <w:t>废蓄电池：HW31其他废物（900-044-49），产生量为</w:t>
            </w:r>
            <w:r>
              <w:rPr>
                <w:rFonts w:hint="eastAsia"/>
                <w:color w:val="auto"/>
                <w:lang w:val="en-US" w:eastAsia="zh-CN"/>
              </w:rPr>
              <w:t>22.5</w:t>
            </w:r>
            <w:r>
              <w:rPr>
                <w:color w:val="auto"/>
              </w:rPr>
              <w:t>t/a，暂存于</w:t>
            </w:r>
            <w:r>
              <w:rPr>
                <w:rFonts w:hint="eastAsia"/>
                <w:color w:val="auto"/>
                <w:lang w:eastAsia="zh-CN"/>
              </w:rPr>
              <w:t>危险废物贮存库</w:t>
            </w:r>
            <w:r>
              <w:rPr>
                <w:color w:val="auto"/>
              </w:rPr>
              <w:t>专用存储区耐酸容器内，</w:t>
            </w:r>
            <w:r>
              <w:rPr>
                <w:rFonts w:hint="eastAsia"/>
                <w:color w:val="auto"/>
              </w:rPr>
              <w:t>定期交由持有相应类别危险废物经营许可证的单位处理</w:t>
            </w:r>
            <w:r>
              <w:rPr>
                <w:color w:val="auto"/>
              </w:rPr>
              <w:t>。</w:t>
            </w:r>
          </w:p>
          <w:p>
            <w:pPr>
              <w:pStyle w:val="75"/>
              <w:rPr>
                <w:color w:val="auto"/>
              </w:rPr>
            </w:pPr>
            <w:r>
              <w:rPr>
                <w:rFonts w:hint="eastAsia" w:ascii="宋体" w:hAnsi="宋体" w:cs="宋体"/>
                <w:color w:val="auto"/>
              </w:rPr>
              <w:t>②</w:t>
            </w:r>
            <w:r>
              <w:rPr>
                <w:color w:val="auto"/>
              </w:rPr>
              <w:t>废油液：HW08废矿物油与含矿物油废物（900-199-08），包括柴油、机油、油水分离器浮油等，产生量为</w:t>
            </w:r>
            <w:r>
              <w:rPr>
                <w:rFonts w:hint="eastAsia"/>
                <w:color w:val="auto"/>
                <w:lang w:val="en-US" w:eastAsia="zh-CN"/>
              </w:rPr>
              <w:t>33</w:t>
            </w:r>
            <w:r>
              <w:rPr>
                <w:color w:val="auto"/>
              </w:rPr>
              <w:t>t/a，暂存于</w:t>
            </w:r>
            <w:r>
              <w:rPr>
                <w:rFonts w:hint="eastAsia"/>
                <w:color w:val="auto"/>
                <w:lang w:eastAsia="zh-CN"/>
              </w:rPr>
              <w:t>危险废物贮存库</w:t>
            </w:r>
            <w:r>
              <w:rPr>
                <w:color w:val="auto"/>
              </w:rPr>
              <w:t>专用储罐中，</w:t>
            </w:r>
            <w:r>
              <w:rPr>
                <w:rFonts w:hint="eastAsia"/>
                <w:color w:val="auto"/>
              </w:rPr>
              <w:t>定期交由持有相应类别危险废物经营许可证的单位处理</w:t>
            </w:r>
            <w:r>
              <w:rPr>
                <w:color w:val="auto"/>
              </w:rPr>
              <w:t>。</w:t>
            </w:r>
          </w:p>
          <w:p>
            <w:pPr>
              <w:pStyle w:val="75"/>
              <w:rPr>
                <w:color w:val="auto"/>
              </w:rPr>
            </w:pPr>
            <w:r>
              <w:rPr>
                <w:rFonts w:hint="eastAsia" w:ascii="宋体" w:hAnsi="宋体" w:cs="宋体"/>
                <w:color w:val="auto"/>
              </w:rPr>
              <w:t>③</w:t>
            </w:r>
            <w:r>
              <w:rPr>
                <w:color w:val="auto"/>
              </w:rPr>
              <w:t>废电容器：HW10多氯联苯类废物（900-008-10），产生量为</w:t>
            </w:r>
            <w:r>
              <w:rPr>
                <w:rFonts w:hint="eastAsia"/>
                <w:color w:val="auto"/>
                <w:lang w:val="en-US" w:eastAsia="zh-CN"/>
              </w:rPr>
              <w:t>0.6</w:t>
            </w:r>
            <w:r>
              <w:rPr>
                <w:color w:val="auto"/>
              </w:rPr>
              <w:t>t/a，暂存于</w:t>
            </w:r>
            <w:r>
              <w:rPr>
                <w:rFonts w:hint="eastAsia"/>
                <w:color w:val="auto"/>
                <w:lang w:eastAsia="zh-CN"/>
              </w:rPr>
              <w:t>危险废物贮存库</w:t>
            </w:r>
            <w:r>
              <w:rPr>
                <w:color w:val="auto"/>
              </w:rPr>
              <w:t>专用存储区专用密闭容器中，</w:t>
            </w:r>
            <w:r>
              <w:rPr>
                <w:rFonts w:hint="eastAsia"/>
                <w:color w:val="auto"/>
              </w:rPr>
              <w:t>定期交由持有相应类别危险废物经营许可证的单位处理</w:t>
            </w:r>
            <w:r>
              <w:rPr>
                <w:color w:val="auto"/>
              </w:rPr>
              <w:t>。</w:t>
            </w:r>
          </w:p>
          <w:p>
            <w:pPr>
              <w:pStyle w:val="75"/>
              <w:rPr>
                <w:bCs/>
                <w:color w:val="auto"/>
                <w:szCs w:val="21"/>
              </w:rPr>
            </w:pPr>
            <w:r>
              <w:rPr>
                <w:rFonts w:hint="eastAsia" w:ascii="宋体" w:hAnsi="宋体" w:cs="宋体"/>
                <w:color w:val="auto"/>
              </w:rPr>
              <w:t>④</w:t>
            </w:r>
            <w:r>
              <w:rPr>
                <w:color w:val="auto"/>
              </w:rPr>
              <w:t>废防冻液：主要成分为乙二醇，产生量为</w:t>
            </w:r>
            <w:r>
              <w:rPr>
                <w:rFonts w:hint="eastAsia"/>
                <w:color w:val="auto"/>
                <w:lang w:val="en-US" w:eastAsia="zh-CN"/>
              </w:rPr>
              <w:t>1.5</w:t>
            </w:r>
            <w:r>
              <w:rPr>
                <w:color w:val="auto"/>
              </w:rPr>
              <w:t>t/a。</w:t>
            </w:r>
            <w:r>
              <w:rPr>
                <w:rFonts w:hint="eastAsia"/>
                <w:color w:val="auto"/>
              </w:rPr>
              <w:t>属于《国家危险废物名录》（2021 版）中“HW06 废有机溶剂与含有机溶剂废物”，中的“900-404-06 工业生产中作为清洗剂、萃取剂、溶剂或反应介质使用后废弃的其他列入《危险化学品目录》的有机溶剂，以及在使用前混合的含有一种或多种上述溶剂的混合/调和溶剂”，经分类收集后暂存于废油液暂存间，定期交有资质单位处理。</w:t>
            </w:r>
          </w:p>
          <w:p>
            <w:pPr>
              <w:pStyle w:val="75"/>
              <w:rPr>
                <w:rFonts w:hint="eastAsia"/>
                <w:bCs/>
                <w:color w:val="auto"/>
                <w:szCs w:val="21"/>
              </w:rPr>
            </w:pPr>
            <w:r>
              <w:rPr>
                <w:rFonts w:hint="eastAsia"/>
                <w:bCs/>
                <w:color w:val="auto"/>
                <w:szCs w:val="21"/>
              </w:rPr>
              <w:t>⑤沾有油污的手套、抹布、废墩布：HW49其他废物（900-041-49），产生量为0.</w:t>
            </w:r>
            <w:r>
              <w:rPr>
                <w:rFonts w:hint="eastAsia"/>
                <w:bCs/>
                <w:color w:val="auto"/>
                <w:szCs w:val="21"/>
                <w:lang w:val="en-US" w:eastAsia="zh-CN"/>
              </w:rPr>
              <w:t>01</w:t>
            </w:r>
            <w:r>
              <w:rPr>
                <w:rFonts w:hint="eastAsia"/>
                <w:bCs/>
                <w:color w:val="auto"/>
                <w:szCs w:val="21"/>
              </w:rPr>
              <w:t>t/a，</w:t>
            </w:r>
            <w:r>
              <w:rPr>
                <w:rFonts w:hint="eastAsia"/>
                <w:bCs/>
                <w:color w:val="auto"/>
                <w:szCs w:val="21"/>
                <w:lang w:val="en-US" w:eastAsia="zh-CN"/>
              </w:rPr>
              <w:t>未混入生活垃圾，暂存于危险废物贮存库内，定期交由持有相应类别危险废物经营许可证的单位处理</w:t>
            </w:r>
            <w:r>
              <w:rPr>
                <w:rFonts w:hint="eastAsia"/>
                <w:bCs/>
                <w:color w:val="auto"/>
                <w:szCs w:val="21"/>
              </w:rPr>
              <w:t>。</w:t>
            </w:r>
          </w:p>
          <w:p>
            <w:pPr>
              <w:pStyle w:val="75"/>
              <w:rPr>
                <w:rFonts w:hint="eastAsia"/>
                <w:bCs/>
                <w:color w:val="auto"/>
                <w:szCs w:val="21"/>
                <w:lang w:val="en-US" w:eastAsia="zh-CN"/>
              </w:rPr>
            </w:pPr>
            <w:r>
              <w:rPr>
                <w:rFonts w:hint="eastAsia"/>
                <w:bCs/>
                <w:color w:val="auto"/>
                <w:szCs w:val="21"/>
              </w:rPr>
              <w:t>⑥</w:t>
            </w:r>
            <w:r>
              <w:rPr>
                <w:rFonts w:hint="eastAsia"/>
                <w:bCs/>
                <w:color w:val="auto"/>
                <w:szCs w:val="21"/>
                <w:lang w:val="en-US" w:eastAsia="zh-CN"/>
              </w:rPr>
              <w:t>石棉废物：HW36石棉废物（900-032-36），产生量为0.6t/a，暂存于危险废物贮存库专用存储区专用密闭容器中，定期交由持有相应类别危险废物经营许可证的单位处理。</w:t>
            </w:r>
          </w:p>
          <w:p>
            <w:pPr>
              <w:pStyle w:val="75"/>
              <w:rPr>
                <w:rFonts w:hint="default"/>
                <w:bCs/>
                <w:color w:val="auto"/>
                <w:szCs w:val="21"/>
                <w:lang w:val="en-US" w:eastAsia="zh-CN"/>
              </w:rPr>
            </w:pPr>
            <w:r>
              <w:rPr>
                <w:rFonts w:hint="eastAsia"/>
                <w:bCs/>
                <w:color w:val="auto"/>
                <w:szCs w:val="21"/>
                <w:lang w:val="en-US" w:eastAsia="zh-CN"/>
              </w:rPr>
              <w:t>⑦废活性炭：HW49其他废物（900-039-49），</w:t>
            </w:r>
            <w:r>
              <w:rPr>
                <w:rFonts w:hint="eastAsia"/>
                <w:bCs/>
                <w:color w:val="auto"/>
                <w:szCs w:val="21"/>
              </w:rPr>
              <w:t>产生量为</w:t>
            </w:r>
            <w:r>
              <w:rPr>
                <w:rFonts w:hint="eastAsia"/>
                <w:bCs/>
                <w:color w:val="auto"/>
                <w:szCs w:val="21"/>
                <w:lang w:val="en-US" w:eastAsia="zh-CN"/>
              </w:rPr>
              <w:t>1</w:t>
            </w:r>
            <w:r>
              <w:rPr>
                <w:rFonts w:hint="eastAsia"/>
                <w:bCs/>
                <w:color w:val="auto"/>
                <w:szCs w:val="21"/>
              </w:rPr>
              <w:t>t/a，</w:t>
            </w:r>
            <w:r>
              <w:rPr>
                <w:rFonts w:hint="eastAsia"/>
                <w:bCs/>
                <w:color w:val="auto"/>
                <w:szCs w:val="21"/>
                <w:lang w:val="en-US" w:eastAsia="zh-CN"/>
              </w:rPr>
              <w:t>暂存于危险废物贮存库内，定期交由持有相应类别危险废物经营许可证的单位处理</w:t>
            </w:r>
            <w:r>
              <w:rPr>
                <w:rFonts w:hint="eastAsia"/>
                <w:bCs/>
                <w:color w:val="auto"/>
                <w:szCs w:val="21"/>
              </w:rPr>
              <w:t>。</w:t>
            </w:r>
          </w:p>
          <w:p>
            <w:pPr>
              <w:pStyle w:val="76"/>
              <w:rPr>
                <w:color w:val="auto"/>
              </w:rPr>
            </w:pPr>
            <w:r>
              <w:rPr>
                <w:color w:val="auto"/>
              </w:rPr>
              <w:t>表4-</w:t>
            </w:r>
            <w:r>
              <w:rPr>
                <w:rFonts w:hint="eastAsia"/>
                <w:color w:val="auto"/>
                <w:lang w:val="en-US" w:eastAsia="zh-CN"/>
              </w:rPr>
              <w:t>9</w:t>
            </w:r>
            <w:r>
              <w:rPr>
                <w:color w:val="auto"/>
              </w:rPr>
              <w:t xml:space="preserve"> 危险废物产生源强汇总表</w:t>
            </w:r>
          </w:p>
          <w:tbl>
            <w:tblPr>
              <w:tblStyle w:val="2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5" w:type="dxa"/>
                <w:bottom w:w="0" w:type="dxa"/>
                <w:right w:w="15" w:type="dxa"/>
              </w:tblCellMar>
            </w:tblPr>
            <w:tblGrid>
              <w:gridCol w:w="384"/>
              <w:gridCol w:w="591"/>
              <w:gridCol w:w="1262"/>
              <w:gridCol w:w="1917"/>
              <w:gridCol w:w="518"/>
              <w:gridCol w:w="421"/>
              <w:gridCol w:w="298"/>
              <w:gridCol w:w="474"/>
              <w:gridCol w:w="475"/>
              <w:gridCol w:w="279"/>
              <w:gridCol w:w="381"/>
              <w:gridCol w:w="51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384"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工艺</w:t>
                  </w:r>
                </w:p>
              </w:tc>
              <w:tc>
                <w:tcPr>
                  <w:tcW w:w="591"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危险废物名称</w:t>
                  </w:r>
                </w:p>
              </w:tc>
              <w:tc>
                <w:tcPr>
                  <w:tcW w:w="1262"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危险废物类别</w:t>
                  </w:r>
                </w:p>
              </w:tc>
              <w:tc>
                <w:tcPr>
                  <w:tcW w:w="1917"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危险废物代码</w:t>
                  </w:r>
                </w:p>
              </w:tc>
              <w:tc>
                <w:tcPr>
                  <w:tcW w:w="518"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lang w:bidi="ar"/>
                    </w:rPr>
                  </w:pPr>
                  <w:r>
                    <w:rPr>
                      <w:bCs/>
                      <w:color w:val="auto"/>
                      <w:szCs w:val="21"/>
                      <w:lang w:bidi="ar"/>
                    </w:rPr>
                    <w:t>产生量</w:t>
                  </w:r>
                </w:p>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（吨/年）</w:t>
                  </w:r>
                </w:p>
              </w:tc>
              <w:tc>
                <w:tcPr>
                  <w:tcW w:w="421"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产生工序及装置</w:t>
                  </w:r>
                </w:p>
              </w:tc>
              <w:tc>
                <w:tcPr>
                  <w:tcW w:w="298"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形态</w:t>
                  </w:r>
                </w:p>
              </w:tc>
              <w:tc>
                <w:tcPr>
                  <w:tcW w:w="474"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主要成分</w:t>
                  </w:r>
                </w:p>
              </w:tc>
              <w:tc>
                <w:tcPr>
                  <w:tcW w:w="475"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有害成分</w:t>
                  </w:r>
                </w:p>
              </w:tc>
              <w:tc>
                <w:tcPr>
                  <w:tcW w:w="279"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产废周期</w:t>
                  </w:r>
                </w:p>
              </w:tc>
              <w:tc>
                <w:tcPr>
                  <w:tcW w:w="381"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危险特性</w:t>
                  </w:r>
                </w:p>
              </w:tc>
              <w:tc>
                <w:tcPr>
                  <w:tcW w:w="514"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污染防治措施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1262"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1917"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18"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21"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298"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7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75"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279"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381"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1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restart"/>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snapToGrid w:val="0"/>
                      <w:color w:val="auto"/>
                      <w:kern w:val="0"/>
                      <w:szCs w:val="21"/>
                    </w:rPr>
                    <w:t>废农用机械</w:t>
                  </w:r>
                  <w:r>
                    <w:rPr>
                      <w:bCs/>
                      <w:color w:val="auto"/>
                      <w:szCs w:val="21"/>
                    </w:rPr>
                    <w:t>拆解</w:t>
                  </w:r>
                </w:p>
              </w:tc>
              <w:tc>
                <w:tcPr>
                  <w:tcW w:w="591"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废蓄电池</w:t>
                  </w:r>
                </w:p>
              </w:tc>
              <w:tc>
                <w:tcPr>
                  <w:tcW w:w="1262"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color w:val="auto"/>
                      <w:kern w:val="0"/>
                      <w:szCs w:val="21"/>
                    </w:rPr>
                    <w:t>HW31</w:t>
                  </w:r>
                </w:p>
              </w:tc>
              <w:tc>
                <w:tcPr>
                  <w:tcW w:w="1917"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900-044-49</w:t>
                  </w:r>
                </w:p>
              </w:tc>
              <w:tc>
                <w:tcPr>
                  <w:tcW w:w="518"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color w:val="auto"/>
                      <w:kern w:val="0"/>
                      <w:szCs w:val="21"/>
                      <w:lang w:val="en-US" w:eastAsia="zh-CN"/>
                    </w:rPr>
                    <w:t>22.5</w:t>
                  </w:r>
                </w:p>
              </w:tc>
              <w:tc>
                <w:tcPr>
                  <w:tcW w:w="421"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预处理工序</w:t>
                  </w:r>
                </w:p>
              </w:tc>
              <w:tc>
                <w:tcPr>
                  <w:tcW w:w="298"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固体</w:t>
                  </w:r>
                </w:p>
              </w:tc>
              <w:tc>
                <w:tcPr>
                  <w:tcW w:w="474"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lang w:val="en-GB"/>
                    </w:rPr>
                    <w:t>铅及其化合物、硫酸</w:t>
                  </w:r>
                </w:p>
              </w:tc>
              <w:tc>
                <w:tcPr>
                  <w:tcW w:w="475"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lang w:val="en-GB"/>
                    </w:rPr>
                    <w:t>铅及其化合物、硫酸</w:t>
                  </w:r>
                </w:p>
              </w:tc>
              <w:tc>
                <w:tcPr>
                  <w:tcW w:w="279"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bidi="ar"/>
                    </w:rPr>
                    <w:t>T</w:t>
                  </w:r>
                </w:p>
              </w:tc>
              <w:tc>
                <w:tcPr>
                  <w:tcW w:w="514"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废电容器</w:t>
                  </w:r>
                </w:p>
              </w:tc>
              <w:tc>
                <w:tcPr>
                  <w:tcW w:w="1262" w:type="dxa"/>
                  <w:vAlign w:val="center"/>
                </w:tcPr>
                <w:p>
                  <w:pPr>
                    <w:keepNext/>
                    <w:keepLines/>
                    <w:pageBreakBefore w:val="0"/>
                    <w:widowControl/>
                    <w:kinsoku/>
                    <w:wordWrap/>
                    <w:overflowPunct w:val="0"/>
                    <w:topLinePunct w:val="0"/>
                    <w:autoSpaceDE/>
                    <w:autoSpaceDN/>
                    <w:bidi w:val="0"/>
                    <w:jc w:val="center"/>
                    <w:textAlignment w:val="auto"/>
                    <w:rPr>
                      <w:color w:val="auto"/>
                      <w:kern w:val="0"/>
                      <w:szCs w:val="21"/>
                    </w:rPr>
                  </w:pPr>
                  <w:r>
                    <w:rPr>
                      <w:color w:val="auto"/>
                      <w:szCs w:val="21"/>
                      <w:lang w:val="en-GB"/>
                    </w:rPr>
                    <w:t>HW49</w:t>
                  </w:r>
                </w:p>
              </w:tc>
              <w:tc>
                <w:tcPr>
                  <w:tcW w:w="1917"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color w:val="auto"/>
                      <w:szCs w:val="21"/>
                      <w:lang w:val="en-GB"/>
                    </w:rPr>
                    <w:t>900-008-10</w:t>
                  </w:r>
                </w:p>
              </w:tc>
              <w:tc>
                <w:tcPr>
                  <w:tcW w:w="518"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color w:val="auto"/>
                      <w:kern w:val="0"/>
                      <w:szCs w:val="21"/>
                      <w:lang w:val="en-US" w:eastAsia="zh-CN"/>
                    </w:rPr>
                  </w:pPr>
                  <w:r>
                    <w:rPr>
                      <w:rFonts w:hint="eastAsia"/>
                      <w:color w:val="auto"/>
                      <w:lang w:val="en-US" w:eastAsia="zh-CN"/>
                    </w:rPr>
                    <w:t>0.6</w:t>
                  </w:r>
                </w:p>
              </w:tc>
              <w:tc>
                <w:tcPr>
                  <w:tcW w:w="421"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color w:val="auto"/>
                      <w:szCs w:val="21"/>
                    </w:rPr>
                    <w:t>内部拆解工序</w:t>
                  </w:r>
                </w:p>
              </w:tc>
              <w:tc>
                <w:tcPr>
                  <w:tcW w:w="298"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固体</w:t>
                  </w:r>
                </w:p>
              </w:tc>
              <w:tc>
                <w:tcPr>
                  <w:tcW w:w="474"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lang w:val="en-GB"/>
                    </w:rPr>
                  </w:pPr>
                  <w:r>
                    <w:rPr>
                      <w:bCs/>
                      <w:color w:val="auto"/>
                      <w:szCs w:val="21"/>
                    </w:rPr>
                    <w:t>废电路板</w:t>
                  </w:r>
                </w:p>
              </w:tc>
              <w:tc>
                <w:tcPr>
                  <w:tcW w:w="475"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lang w:val="en-GB"/>
                    </w:rPr>
                  </w:pPr>
                  <w:r>
                    <w:rPr>
                      <w:color w:val="auto"/>
                      <w:kern w:val="0"/>
                      <w:szCs w:val="21"/>
                      <w:lang w:bidi="ar"/>
                    </w:rPr>
                    <w:t>铅、镉、溴化阻燃物等</w:t>
                  </w:r>
                </w:p>
              </w:tc>
              <w:tc>
                <w:tcPr>
                  <w:tcW w:w="279"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T</w:t>
                  </w:r>
                </w:p>
              </w:tc>
              <w:tc>
                <w:tcPr>
                  <w:tcW w:w="514"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废油液（柴油、机油及油水分离装置浮油和油泥）</w:t>
                  </w:r>
                </w:p>
              </w:tc>
              <w:tc>
                <w:tcPr>
                  <w:tcW w:w="1262" w:type="dxa"/>
                  <w:vAlign w:val="center"/>
                </w:tcPr>
                <w:p>
                  <w:pPr>
                    <w:keepNext/>
                    <w:keepLines/>
                    <w:pageBreakBefore w:val="0"/>
                    <w:widowControl/>
                    <w:kinsoku/>
                    <w:wordWrap/>
                    <w:overflowPunct w:val="0"/>
                    <w:topLinePunct w:val="0"/>
                    <w:autoSpaceDE/>
                    <w:autoSpaceDN/>
                    <w:bidi w:val="0"/>
                    <w:jc w:val="center"/>
                    <w:textAlignment w:val="auto"/>
                    <w:rPr>
                      <w:color w:val="auto"/>
                      <w:kern w:val="0"/>
                      <w:szCs w:val="21"/>
                    </w:rPr>
                  </w:pPr>
                  <w:r>
                    <w:rPr>
                      <w:color w:val="auto"/>
                      <w:kern w:val="0"/>
                      <w:szCs w:val="21"/>
                    </w:rPr>
                    <w:t>HW08</w:t>
                  </w:r>
                </w:p>
              </w:tc>
              <w:tc>
                <w:tcPr>
                  <w:tcW w:w="1917"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900-199-08</w:t>
                  </w:r>
                </w:p>
              </w:tc>
              <w:tc>
                <w:tcPr>
                  <w:tcW w:w="518"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color w:val="auto"/>
                      <w:kern w:val="0"/>
                      <w:szCs w:val="21"/>
                      <w:lang w:val="en-US" w:eastAsia="zh-CN" w:bidi="ar"/>
                    </w:rPr>
                    <w:t>33</w:t>
                  </w:r>
                </w:p>
              </w:tc>
              <w:tc>
                <w:tcPr>
                  <w:tcW w:w="421" w:type="dxa"/>
                  <w:vAlign w:val="center"/>
                </w:tcPr>
                <w:p>
                  <w:pPr>
                    <w:keepNext/>
                    <w:keepLines/>
                    <w:pageBreakBefore w:val="0"/>
                    <w:widowControl/>
                    <w:kinsoku/>
                    <w:wordWrap/>
                    <w:overflowPunct w:val="0"/>
                    <w:topLinePunct w:val="0"/>
                    <w:autoSpaceDE/>
                    <w:autoSpaceDN/>
                    <w:bidi w:val="0"/>
                    <w:jc w:val="center"/>
                    <w:textAlignment w:val="auto"/>
                    <w:rPr>
                      <w:color w:val="auto"/>
                      <w:szCs w:val="21"/>
                    </w:rPr>
                  </w:pPr>
                  <w:r>
                    <w:rPr>
                      <w:bCs/>
                      <w:color w:val="auto"/>
                      <w:szCs w:val="21"/>
                    </w:rPr>
                    <w:t>预处理工序</w:t>
                  </w:r>
                </w:p>
              </w:tc>
              <w:tc>
                <w:tcPr>
                  <w:tcW w:w="298"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液体</w:t>
                  </w:r>
                </w:p>
              </w:tc>
              <w:tc>
                <w:tcPr>
                  <w:tcW w:w="474"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val="en-GB"/>
                    </w:rPr>
                    <w:t>柴油、机油及油水分离装置浮油和油泥</w:t>
                  </w:r>
                </w:p>
              </w:tc>
              <w:tc>
                <w:tcPr>
                  <w:tcW w:w="475" w:type="dxa"/>
                  <w:vAlign w:val="center"/>
                </w:tcPr>
                <w:p>
                  <w:pPr>
                    <w:keepNext/>
                    <w:keepLines/>
                    <w:pageBreakBefore w:val="0"/>
                    <w:widowControl/>
                    <w:kinsoku/>
                    <w:wordWrap/>
                    <w:overflowPunct w:val="0"/>
                    <w:topLinePunct w:val="0"/>
                    <w:autoSpaceDE/>
                    <w:autoSpaceDN/>
                    <w:bidi w:val="0"/>
                    <w:jc w:val="center"/>
                    <w:textAlignment w:val="auto"/>
                    <w:rPr>
                      <w:color w:val="auto"/>
                      <w:kern w:val="0"/>
                      <w:szCs w:val="21"/>
                      <w:lang w:bidi="ar"/>
                    </w:rPr>
                  </w:pPr>
                  <w:r>
                    <w:rPr>
                      <w:bCs/>
                      <w:color w:val="auto"/>
                      <w:szCs w:val="21"/>
                      <w:lang w:val="en-GB"/>
                    </w:rPr>
                    <w:t>柴油、机油及油水分离装置浮油和油泥</w:t>
                  </w:r>
                </w:p>
              </w:tc>
              <w:tc>
                <w:tcPr>
                  <w:tcW w:w="279"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T/I</w:t>
                  </w:r>
                </w:p>
              </w:tc>
              <w:tc>
                <w:tcPr>
                  <w:tcW w:w="514"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pPr>
                    <w:keepNext/>
                    <w:keepLines/>
                    <w:pageBreakBefore w:val="0"/>
                    <w:widowControl/>
                    <w:kinsoku/>
                    <w:wordWrap/>
                    <w:overflowPunct w:val="0"/>
                    <w:topLinePunct w:val="0"/>
                    <w:autoSpaceDE/>
                    <w:autoSpaceDN/>
                    <w:bidi w:val="0"/>
                    <w:jc w:val="center"/>
                    <w:textAlignment w:val="auto"/>
                    <w:rPr>
                      <w:bCs/>
                      <w:color w:val="auto"/>
                      <w:kern w:val="0"/>
                      <w:szCs w:val="21"/>
                    </w:rPr>
                  </w:pPr>
                  <w:r>
                    <w:rPr>
                      <w:rFonts w:hint="eastAsia"/>
                      <w:bCs/>
                      <w:color w:val="auto"/>
                      <w:kern w:val="0"/>
                      <w:szCs w:val="21"/>
                    </w:rPr>
                    <w:t>沾有油污的手套、抹布、废墩布</w:t>
                  </w:r>
                </w:p>
              </w:tc>
              <w:tc>
                <w:tcPr>
                  <w:tcW w:w="1262" w:type="dxa"/>
                  <w:vAlign w:val="center"/>
                </w:tcPr>
                <w:p>
                  <w:pPr>
                    <w:keepNext/>
                    <w:keepLines/>
                    <w:pageBreakBefore w:val="0"/>
                    <w:widowControl/>
                    <w:kinsoku/>
                    <w:wordWrap/>
                    <w:overflowPunct w:val="0"/>
                    <w:topLinePunct w:val="0"/>
                    <w:autoSpaceDE/>
                    <w:autoSpaceDN/>
                    <w:bidi w:val="0"/>
                    <w:jc w:val="center"/>
                    <w:textAlignment w:val="auto"/>
                    <w:rPr>
                      <w:color w:val="auto"/>
                      <w:kern w:val="0"/>
                      <w:szCs w:val="21"/>
                    </w:rPr>
                  </w:pPr>
                  <w:r>
                    <w:rPr>
                      <w:rFonts w:hint="eastAsia"/>
                      <w:color w:val="auto"/>
                      <w:kern w:val="0"/>
                      <w:szCs w:val="21"/>
                    </w:rPr>
                    <w:t>HW49</w:t>
                  </w:r>
                </w:p>
              </w:tc>
              <w:tc>
                <w:tcPr>
                  <w:tcW w:w="1917" w:type="dxa"/>
                  <w:vAlign w:val="center"/>
                </w:tcPr>
                <w:p>
                  <w:pPr>
                    <w:keepNext/>
                    <w:keepLines/>
                    <w:pageBreakBefore w:val="0"/>
                    <w:widowControl/>
                    <w:kinsoku/>
                    <w:wordWrap/>
                    <w:overflowPunct w:val="0"/>
                    <w:topLinePunct w:val="0"/>
                    <w:autoSpaceDE/>
                    <w:autoSpaceDN/>
                    <w:bidi w:val="0"/>
                    <w:jc w:val="center"/>
                    <w:textAlignment w:val="auto"/>
                    <w:rPr>
                      <w:bCs/>
                      <w:color w:val="auto"/>
                      <w:szCs w:val="21"/>
                    </w:rPr>
                  </w:pPr>
                  <w:r>
                    <w:rPr>
                      <w:rFonts w:hint="eastAsia"/>
                      <w:bCs/>
                      <w:color w:val="auto"/>
                      <w:szCs w:val="21"/>
                    </w:rPr>
                    <w:t>900-041-49</w:t>
                  </w:r>
                </w:p>
              </w:tc>
              <w:tc>
                <w:tcPr>
                  <w:tcW w:w="518" w:type="dxa"/>
                  <w:vAlign w:val="center"/>
                </w:tcPr>
                <w:p>
                  <w:pPr>
                    <w:keepNext/>
                    <w:keepLines/>
                    <w:pageBreakBefore w:val="0"/>
                    <w:widowControl/>
                    <w:kinsoku/>
                    <w:wordWrap/>
                    <w:overflowPunct w:val="0"/>
                    <w:topLinePunct w:val="0"/>
                    <w:autoSpaceDE/>
                    <w:autoSpaceDN/>
                    <w:bidi w:val="0"/>
                    <w:jc w:val="center"/>
                    <w:textAlignment w:val="auto"/>
                    <w:rPr>
                      <w:rFonts w:hint="default"/>
                      <w:color w:val="auto"/>
                      <w:kern w:val="0"/>
                      <w:szCs w:val="21"/>
                      <w:lang w:val="en-US" w:eastAsia="zh-CN" w:bidi="ar"/>
                    </w:rPr>
                  </w:pPr>
                  <w:r>
                    <w:rPr>
                      <w:rFonts w:hint="eastAsia"/>
                      <w:color w:val="auto"/>
                      <w:kern w:val="0"/>
                      <w:szCs w:val="21"/>
                      <w:lang w:val="en-US" w:eastAsia="zh-CN" w:bidi="ar"/>
                    </w:rPr>
                    <w:t>0.01</w:t>
                  </w:r>
                </w:p>
              </w:tc>
              <w:tc>
                <w:tcPr>
                  <w:tcW w:w="421"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拆解工序</w:t>
                  </w:r>
                </w:p>
              </w:tc>
              <w:tc>
                <w:tcPr>
                  <w:tcW w:w="298"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固体</w:t>
                  </w:r>
                </w:p>
              </w:tc>
              <w:tc>
                <w:tcPr>
                  <w:tcW w:w="474"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val="en-GB"/>
                    </w:rPr>
                  </w:pPr>
                  <w:r>
                    <w:rPr>
                      <w:rFonts w:hint="eastAsia"/>
                      <w:bCs/>
                      <w:color w:val="auto"/>
                      <w:szCs w:val="21"/>
                      <w:lang w:val="en-GB"/>
                    </w:rPr>
                    <w:t>沾有油污的手套、抹布、废墩布</w:t>
                  </w:r>
                </w:p>
              </w:tc>
              <w:tc>
                <w:tcPr>
                  <w:tcW w:w="475" w:type="dxa"/>
                  <w:vAlign w:val="center"/>
                </w:tcPr>
                <w:p>
                  <w:pPr>
                    <w:keepNext/>
                    <w:keepLines/>
                    <w:pageBreakBefore w:val="0"/>
                    <w:widowControl/>
                    <w:kinsoku/>
                    <w:wordWrap/>
                    <w:overflowPunct w:val="0"/>
                    <w:topLinePunct w:val="0"/>
                    <w:autoSpaceDE/>
                    <w:autoSpaceDN/>
                    <w:bidi w:val="0"/>
                    <w:jc w:val="center"/>
                    <w:textAlignment w:val="auto"/>
                    <w:rPr>
                      <w:bCs/>
                      <w:color w:val="auto"/>
                      <w:szCs w:val="21"/>
                      <w:lang w:val="en-GB"/>
                    </w:rPr>
                  </w:pPr>
                  <w:r>
                    <w:rPr>
                      <w:rFonts w:hint="eastAsia"/>
                      <w:bCs/>
                      <w:color w:val="auto"/>
                      <w:szCs w:val="21"/>
                      <w:lang w:val="en-GB"/>
                    </w:rPr>
                    <w:t>沾有油污的手套、抹布、废墩布</w:t>
                  </w:r>
                </w:p>
              </w:tc>
              <w:tc>
                <w:tcPr>
                  <w:tcW w:w="279" w:type="dxa"/>
                  <w:vAlign w:val="center"/>
                </w:tcPr>
                <w:p>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SA"/>
                    </w:rPr>
                  </w:pPr>
                  <w:r>
                    <w:rPr>
                      <w:bCs/>
                      <w:color w:val="auto"/>
                      <w:szCs w:val="21"/>
                    </w:rPr>
                    <w:t>连续</w:t>
                  </w:r>
                </w:p>
              </w:tc>
              <w:tc>
                <w:tcPr>
                  <w:tcW w:w="381" w:type="dxa"/>
                  <w:vAlign w:val="center"/>
                </w:tcPr>
                <w:p>
                  <w:pPr>
                    <w:keepNext/>
                    <w:keepLines/>
                    <w:pageBreakBefore w:val="0"/>
                    <w:widowControl/>
                    <w:kinsoku/>
                    <w:wordWrap/>
                    <w:overflowPunct w:val="0"/>
                    <w:topLinePunct w:val="0"/>
                    <w:autoSpaceDE/>
                    <w:autoSpaceDN/>
                    <w:bidi w:val="0"/>
                    <w:jc w:val="center"/>
                    <w:textAlignment w:val="auto"/>
                    <w:rPr>
                      <w:rFonts w:hint="eastAsia" w:ascii="Times New Roman" w:hAnsi="Times New Roman" w:eastAsia="宋体" w:cs="Times New Roman"/>
                      <w:bCs/>
                      <w:color w:val="auto"/>
                      <w:kern w:val="2"/>
                      <w:sz w:val="21"/>
                      <w:szCs w:val="21"/>
                      <w:lang w:val="en-US" w:eastAsia="zh-CN" w:bidi="ar"/>
                    </w:rPr>
                  </w:pPr>
                  <w:r>
                    <w:rPr>
                      <w:bCs/>
                      <w:color w:val="auto"/>
                      <w:szCs w:val="21"/>
                      <w:lang w:bidi="ar"/>
                    </w:rPr>
                    <w:t>T/I</w:t>
                  </w:r>
                  <w:r>
                    <w:rPr>
                      <w:rFonts w:hint="eastAsia"/>
                      <w:bCs/>
                      <w:color w:val="auto"/>
                      <w:szCs w:val="21"/>
                      <w:lang w:val="en-US" w:eastAsia="zh-CN" w:bidi="ar"/>
                    </w:rPr>
                    <w:t>n</w:t>
                  </w:r>
                </w:p>
              </w:tc>
              <w:tc>
                <w:tcPr>
                  <w:tcW w:w="514" w:type="dxa"/>
                  <w:vAlign w:val="center"/>
                </w:tcPr>
                <w:p>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kern w:val="0"/>
                      <w:szCs w:val="21"/>
                      <w:lang w:val="en-US" w:eastAsia="zh-CN"/>
                    </w:rPr>
                  </w:pPr>
                  <w:r>
                    <w:rPr>
                      <w:rFonts w:hint="eastAsia"/>
                      <w:bCs/>
                      <w:color w:val="auto"/>
                      <w:kern w:val="0"/>
                      <w:szCs w:val="21"/>
                      <w:lang w:val="en-US" w:eastAsia="zh-CN"/>
                    </w:rPr>
                    <w:t>石棉废物</w:t>
                  </w:r>
                </w:p>
              </w:tc>
              <w:tc>
                <w:tcPr>
                  <w:tcW w:w="1262" w:type="dxa"/>
                  <w:vAlign w:val="center"/>
                </w:tcPr>
                <w:p>
                  <w:pPr>
                    <w:keepNext/>
                    <w:jc w:val="center"/>
                    <w:rPr>
                      <w:rFonts w:hint="eastAsia"/>
                      <w:color w:val="auto"/>
                      <w:kern w:val="0"/>
                      <w:szCs w:val="21"/>
                    </w:rPr>
                  </w:pPr>
                  <w:r>
                    <w:rPr>
                      <w:color w:val="auto"/>
                      <w:szCs w:val="21"/>
                    </w:rPr>
                    <w:t>HW36</w:t>
                  </w:r>
                </w:p>
              </w:tc>
              <w:tc>
                <w:tcPr>
                  <w:tcW w:w="1917" w:type="dxa"/>
                  <w:vAlign w:val="center"/>
                </w:tcPr>
                <w:p>
                  <w:pPr>
                    <w:keepNext/>
                    <w:jc w:val="center"/>
                    <w:rPr>
                      <w:rFonts w:hint="eastAsia"/>
                      <w:bCs/>
                      <w:color w:val="auto"/>
                      <w:szCs w:val="21"/>
                    </w:rPr>
                  </w:pPr>
                  <w:r>
                    <w:rPr>
                      <w:color w:val="auto"/>
                      <w:szCs w:val="21"/>
                    </w:rPr>
                    <w:t>900-032-36</w:t>
                  </w:r>
                </w:p>
              </w:tc>
              <w:tc>
                <w:tcPr>
                  <w:tcW w:w="518" w:type="dxa"/>
                  <w:vAlign w:val="center"/>
                </w:tcPr>
                <w:p>
                  <w:pPr>
                    <w:keepNext/>
                    <w:widowControl/>
                    <w:jc w:val="center"/>
                    <w:rPr>
                      <w:rFonts w:hint="default" w:eastAsia="宋体"/>
                      <w:color w:val="auto"/>
                      <w:kern w:val="0"/>
                      <w:szCs w:val="21"/>
                      <w:lang w:val="en-US" w:eastAsia="zh-CN" w:bidi="ar"/>
                    </w:rPr>
                  </w:pPr>
                  <w:r>
                    <w:rPr>
                      <w:rFonts w:hint="eastAsia"/>
                      <w:color w:val="auto"/>
                      <w:szCs w:val="21"/>
                      <w:lang w:val="en-US" w:eastAsia="zh-CN"/>
                    </w:rPr>
                    <w:t>0.6</w:t>
                  </w:r>
                </w:p>
              </w:tc>
              <w:tc>
                <w:tcPr>
                  <w:tcW w:w="421" w:type="dxa"/>
                  <w:vAlign w:val="center"/>
                </w:tcPr>
                <w:p>
                  <w:pPr>
                    <w:keepNext/>
                    <w:jc w:val="center"/>
                    <w:rPr>
                      <w:rFonts w:hint="eastAsia"/>
                      <w:bCs/>
                      <w:color w:val="auto"/>
                      <w:szCs w:val="21"/>
                      <w:lang w:val="en-US" w:eastAsia="zh-CN"/>
                    </w:rPr>
                  </w:pPr>
                  <w:r>
                    <w:rPr>
                      <w:color w:val="auto"/>
                      <w:szCs w:val="21"/>
                    </w:rPr>
                    <w:t>拆解工序</w:t>
                  </w:r>
                </w:p>
              </w:tc>
              <w:tc>
                <w:tcPr>
                  <w:tcW w:w="298" w:type="dxa"/>
                  <w:vAlign w:val="center"/>
                </w:tcPr>
                <w:p>
                  <w:pPr>
                    <w:keepNext/>
                    <w:jc w:val="center"/>
                    <w:rPr>
                      <w:rFonts w:hint="eastAsia"/>
                      <w:bCs/>
                      <w:color w:val="auto"/>
                      <w:szCs w:val="21"/>
                      <w:lang w:val="en-US" w:eastAsia="zh-CN"/>
                    </w:rPr>
                  </w:pPr>
                  <w:r>
                    <w:rPr>
                      <w:color w:val="auto"/>
                      <w:szCs w:val="21"/>
                    </w:rPr>
                    <w:t>固体</w:t>
                  </w:r>
                </w:p>
              </w:tc>
              <w:tc>
                <w:tcPr>
                  <w:tcW w:w="474" w:type="dxa"/>
                  <w:vAlign w:val="center"/>
                </w:tcPr>
                <w:p>
                  <w:pPr>
                    <w:keepNext/>
                    <w:jc w:val="center"/>
                    <w:rPr>
                      <w:rFonts w:hint="eastAsia"/>
                      <w:bCs/>
                      <w:color w:val="auto"/>
                      <w:szCs w:val="21"/>
                      <w:lang w:val="en-GB"/>
                    </w:rPr>
                  </w:pPr>
                  <w:r>
                    <w:rPr>
                      <w:color w:val="auto"/>
                      <w:szCs w:val="21"/>
                    </w:rPr>
                    <w:t>石棉废物</w:t>
                  </w:r>
                </w:p>
              </w:tc>
              <w:tc>
                <w:tcPr>
                  <w:tcW w:w="475" w:type="dxa"/>
                  <w:vAlign w:val="center"/>
                </w:tcPr>
                <w:p>
                  <w:pPr>
                    <w:keepNext/>
                    <w:jc w:val="center"/>
                    <w:rPr>
                      <w:rFonts w:hint="eastAsia"/>
                      <w:bCs/>
                      <w:color w:val="auto"/>
                      <w:szCs w:val="21"/>
                      <w:lang w:val="en-GB"/>
                    </w:rPr>
                  </w:pPr>
                  <w:r>
                    <w:rPr>
                      <w:color w:val="auto"/>
                      <w:szCs w:val="21"/>
                    </w:rPr>
                    <w:t>石棉废物纤维</w:t>
                  </w:r>
                </w:p>
              </w:tc>
              <w:tc>
                <w:tcPr>
                  <w:tcW w:w="279" w:type="dxa"/>
                  <w:vAlign w:val="center"/>
                </w:tcPr>
                <w:p>
                  <w:pPr>
                    <w:keepNext/>
                    <w:jc w:val="center"/>
                    <w:rPr>
                      <w:bCs/>
                      <w:color w:val="auto"/>
                      <w:szCs w:val="21"/>
                    </w:rPr>
                  </w:pPr>
                  <w:r>
                    <w:rPr>
                      <w:color w:val="auto"/>
                      <w:szCs w:val="21"/>
                    </w:rPr>
                    <w:t>连续</w:t>
                  </w:r>
                </w:p>
              </w:tc>
              <w:tc>
                <w:tcPr>
                  <w:tcW w:w="381" w:type="dxa"/>
                  <w:vAlign w:val="center"/>
                </w:tcPr>
                <w:p>
                  <w:pPr>
                    <w:keepNext/>
                    <w:jc w:val="center"/>
                    <w:rPr>
                      <w:bCs/>
                      <w:color w:val="auto"/>
                      <w:szCs w:val="21"/>
                      <w:lang w:bidi="ar"/>
                    </w:rPr>
                  </w:pPr>
                  <w:r>
                    <w:rPr>
                      <w:color w:val="auto"/>
                      <w:szCs w:val="21"/>
                    </w:rPr>
                    <w:t>T</w:t>
                  </w:r>
                </w:p>
              </w:tc>
              <w:tc>
                <w:tcPr>
                  <w:tcW w:w="514" w:type="dxa"/>
                  <w:vAlign w:val="center"/>
                </w:tcPr>
                <w:p>
                  <w:pPr>
                    <w:keepNext/>
                    <w:jc w:val="center"/>
                    <w:rPr>
                      <w:bCs/>
                      <w:color w:val="auto"/>
                      <w:szCs w:val="21"/>
                      <w:lang w:bidi="ar"/>
                    </w:rPr>
                  </w:pPr>
                  <w:r>
                    <w:rPr>
                      <w:color w:val="auto"/>
                      <w:szCs w:val="21"/>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pPr>
                    <w:keepNext/>
                    <w:keepLines/>
                    <w:pageBreakBefore w:val="0"/>
                    <w:widowControl/>
                    <w:kinsoku/>
                    <w:wordWrap/>
                    <w:overflowPunct w:val="0"/>
                    <w:topLinePunct w:val="0"/>
                    <w:autoSpaceDE/>
                    <w:autoSpaceDN/>
                    <w:bidi w:val="0"/>
                    <w:jc w:val="center"/>
                    <w:textAlignment w:val="auto"/>
                    <w:rPr>
                      <w:rFonts w:hint="eastAsia"/>
                      <w:bCs/>
                      <w:color w:val="auto"/>
                      <w:kern w:val="0"/>
                      <w:szCs w:val="21"/>
                    </w:rPr>
                  </w:pPr>
                  <w:r>
                    <w:rPr>
                      <w:rFonts w:hint="eastAsia"/>
                      <w:bCs/>
                      <w:color w:val="auto"/>
                      <w:kern w:val="0"/>
                      <w:szCs w:val="21"/>
                    </w:rPr>
                    <w:t>废防冻液</w:t>
                  </w:r>
                </w:p>
              </w:tc>
              <w:tc>
                <w:tcPr>
                  <w:tcW w:w="1262"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HW06</w:t>
                  </w:r>
                </w:p>
              </w:tc>
              <w:tc>
                <w:tcPr>
                  <w:tcW w:w="1917" w:type="dxa"/>
                  <w:vAlign w:val="center"/>
                </w:tcPr>
                <w:p>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900-404-06</w:t>
                  </w:r>
                </w:p>
              </w:tc>
              <w:tc>
                <w:tcPr>
                  <w:tcW w:w="518" w:type="dxa"/>
                  <w:vAlign w:val="center"/>
                </w:tcPr>
                <w:p>
                  <w:pPr>
                    <w:keepNext/>
                    <w:keepLines/>
                    <w:pageBreakBefore w:val="0"/>
                    <w:widowControl/>
                    <w:kinsoku/>
                    <w:wordWrap/>
                    <w:overflowPunct w:val="0"/>
                    <w:topLinePunct w:val="0"/>
                    <w:autoSpaceDE/>
                    <w:autoSpaceDN/>
                    <w:bidi w:val="0"/>
                    <w:spacing w:line="260" w:lineRule="exact"/>
                    <w:jc w:val="center"/>
                    <w:textAlignment w:val="auto"/>
                    <w:rPr>
                      <w:rFonts w:hint="default"/>
                      <w:color w:val="auto"/>
                      <w:kern w:val="0"/>
                      <w:szCs w:val="21"/>
                      <w:highlight w:val="none"/>
                      <w:lang w:val="en-US" w:eastAsia="zh-CN" w:bidi="ar"/>
                    </w:rPr>
                  </w:pPr>
                  <w:r>
                    <w:rPr>
                      <w:rFonts w:hint="eastAsia"/>
                      <w:bCs/>
                      <w:color w:val="auto"/>
                      <w:szCs w:val="21"/>
                      <w:highlight w:val="none"/>
                      <w:lang w:val="en-US" w:eastAsia="zh-CN"/>
                    </w:rPr>
                    <w:t>1.5</w:t>
                  </w:r>
                </w:p>
              </w:tc>
              <w:tc>
                <w:tcPr>
                  <w:tcW w:w="421" w:type="dxa"/>
                  <w:vAlign w:val="center"/>
                </w:tcPr>
                <w:p>
                  <w:pPr>
                    <w:keepNext/>
                    <w:keepLines/>
                    <w:pageBreakBefore w:val="0"/>
                    <w:widowControl/>
                    <w:kinsoku/>
                    <w:wordWrap/>
                    <w:overflowPunct w:val="0"/>
                    <w:topLinePunct w:val="0"/>
                    <w:autoSpaceDE/>
                    <w:autoSpaceDN/>
                    <w:bidi w:val="0"/>
                    <w:spacing w:line="260" w:lineRule="exact"/>
                    <w:jc w:val="center"/>
                    <w:textAlignment w:val="auto"/>
                    <w:rPr>
                      <w:rFonts w:hint="eastAsia"/>
                      <w:bCs/>
                      <w:color w:val="auto"/>
                      <w:szCs w:val="21"/>
                      <w:highlight w:val="none"/>
                      <w:lang w:val="en-US" w:eastAsia="zh-CN"/>
                    </w:rPr>
                  </w:pPr>
                  <w:r>
                    <w:rPr>
                      <w:bCs/>
                      <w:color w:val="auto"/>
                      <w:szCs w:val="21"/>
                      <w:highlight w:val="none"/>
                    </w:rPr>
                    <w:t>预处理工序</w:t>
                  </w:r>
                </w:p>
              </w:tc>
              <w:tc>
                <w:tcPr>
                  <w:tcW w:w="298" w:type="dxa"/>
                  <w:vAlign w:val="center"/>
                </w:tcPr>
                <w:p>
                  <w:pPr>
                    <w:keepNext/>
                    <w:keepLines/>
                    <w:pageBreakBefore w:val="0"/>
                    <w:widowControl/>
                    <w:kinsoku/>
                    <w:wordWrap/>
                    <w:overflowPunct w:val="0"/>
                    <w:topLinePunct w:val="0"/>
                    <w:autoSpaceDE/>
                    <w:autoSpaceDN/>
                    <w:bidi w:val="0"/>
                    <w:spacing w:line="260" w:lineRule="exact"/>
                    <w:jc w:val="center"/>
                    <w:textAlignment w:val="auto"/>
                    <w:rPr>
                      <w:rFonts w:hint="eastAsia"/>
                      <w:bCs/>
                      <w:color w:val="auto"/>
                      <w:szCs w:val="21"/>
                      <w:highlight w:val="none"/>
                      <w:lang w:val="en-US" w:eastAsia="zh-CN"/>
                    </w:rPr>
                  </w:pPr>
                  <w:r>
                    <w:rPr>
                      <w:bCs/>
                      <w:color w:val="auto"/>
                      <w:szCs w:val="21"/>
                      <w:highlight w:val="none"/>
                    </w:rPr>
                    <w:t>液体</w:t>
                  </w:r>
                </w:p>
              </w:tc>
              <w:tc>
                <w:tcPr>
                  <w:tcW w:w="474" w:type="dxa"/>
                  <w:vAlign w:val="center"/>
                </w:tcPr>
                <w:p>
                  <w:pPr>
                    <w:keepNext/>
                    <w:keepLines/>
                    <w:pageBreakBefore w:val="0"/>
                    <w:widowControl/>
                    <w:kinsoku/>
                    <w:wordWrap/>
                    <w:overflowPunct w:val="0"/>
                    <w:topLinePunct w:val="0"/>
                    <w:autoSpaceDE/>
                    <w:autoSpaceDN/>
                    <w:bidi w:val="0"/>
                    <w:jc w:val="center"/>
                    <w:textAlignment w:val="auto"/>
                    <w:rPr>
                      <w:rFonts w:hint="eastAsia"/>
                      <w:bCs/>
                      <w:color w:val="auto"/>
                      <w:szCs w:val="21"/>
                      <w:highlight w:val="none"/>
                      <w:lang w:val="en-GB"/>
                    </w:rPr>
                  </w:pPr>
                  <w:r>
                    <w:rPr>
                      <w:color w:val="auto"/>
                      <w:kern w:val="0"/>
                      <w:szCs w:val="21"/>
                      <w:highlight w:val="none"/>
                      <w:lang w:val="en-GB" w:bidi="ar"/>
                    </w:rPr>
                    <w:t>乙二醇</w:t>
                  </w:r>
                </w:p>
              </w:tc>
              <w:tc>
                <w:tcPr>
                  <w:tcW w:w="475" w:type="dxa"/>
                  <w:vAlign w:val="center"/>
                </w:tcPr>
                <w:p>
                  <w:pPr>
                    <w:keepNext/>
                    <w:keepLines/>
                    <w:pageBreakBefore w:val="0"/>
                    <w:widowControl/>
                    <w:kinsoku/>
                    <w:wordWrap/>
                    <w:overflowPunct w:val="0"/>
                    <w:topLinePunct w:val="0"/>
                    <w:autoSpaceDE/>
                    <w:autoSpaceDN/>
                    <w:bidi w:val="0"/>
                    <w:jc w:val="center"/>
                    <w:textAlignment w:val="auto"/>
                    <w:rPr>
                      <w:rFonts w:hint="eastAsia"/>
                      <w:bCs/>
                      <w:color w:val="auto"/>
                      <w:szCs w:val="21"/>
                      <w:highlight w:val="none"/>
                      <w:lang w:val="en-GB"/>
                    </w:rPr>
                  </w:pPr>
                  <w:r>
                    <w:rPr>
                      <w:color w:val="auto"/>
                      <w:kern w:val="0"/>
                      <w:szCs w:val="21"/>
                      <w:highlight w:val="none"/>
                      <w:lang w:val="en-GB" w:bidi="ar"/>
                    </w:rPr>
                    <w:t>乙二醇</w:t>
                  </w:r>
                </w:p>
              </w:tc>
              <w:tc>
                <w:tcPr>
                  <w:tcW w:w="279" w:type="dxa"/>
                  <w:vAlign w:val="center"/>
                </w:tcPr>
                <w:p>
                  <w:pPr>
                    <w:keepNext/>
                    <w:keepLines/>
                    <w:pageBreakBefore w:val="0"/>
                    <w:widowControl/>
                    <w:kinsoku/>
                    <w:wordWrap/>
                    <w:overflowPunct w:val="0"/>
                    <w:topLinePunct w:val="0"/>
                    <w:autoSpaceDE/>
                    <w:autoSpaceDN/>
                    <w:bidi w:val="0"/>
                    <w:jc w:val="center"/>
                    <w:textAlignment w:val="auto"/>
                    <w:rPr>
                      <w:bCs/>
                      <w:color w:val="auto"/>
                      <w:szCs w:val="21"/>
                      <w:highlight w:val="none"/>
                    </w:rPr>
                  </w:pPr>
                  <w:r>
                    <w:rPr>
                      <w:bCs/>
                      <w:color w:val="auto"/>
                      <w:szCs w:val="21"/>
                      <w:highlight w:val="none"/>
                    </w:rPr>
                    <w:t>连续</w:t>
                  </w:r>
                </w:p>
              </w:tc>
              <w:tc>
                <w:tcPr>
                  <w:tcW w:w="381" w:type="dxa"/>
                  <w:vAlign w:val="center"/>
                </w:tcPr>
                <w:p>
                  <w:pPr>
                    <w:keepNext/>
                    <w:keepLines/>
                    <w:pageBreakBefore w:val="0"/>
                    <w:widowControl/>
                    <w:kinsoku/>
                    <w:wordWrap/>
                    <w:overflowPunct w:val="0"/>
                    <w:topLinePunct w:val="0"/>
                    <w:autoSpaceDE/>
                    <w:autoSpaceDN/>
                    <w:bidi w:val="0"/>
                    <w:jc w:val="center"/>
                    <w:textAlignment w:val="auto"/>
                    <w:rPr>
                      <w:bCs/>
                      <w:color w:val="auto"/>
                      <w:szCs w:val="21"/>
                      <w:highlight w:val="none"/>
                      <w:lang w:bidi="ar"/>
                    </w:rPr>
                  </w:pPr>
                  <w:r>
                    <w:rPr>
                      <w:bCs/>
                      <w:color w:val="auto"/>
                      <w:szCs w:val="21"/>
                      <w:highlight w:val="none"/>
                      <w:lang w:bidi="ar"/>
                    </w:rPr>
                    <w:t>T</w:t>
                  </w:r>
                </w:p>
              </w:tc>
              <w:tc>
                <w:tcPr>
                  <w:tcW w:w="514" w:type="dxa"/>
                  <w:vAlign w:val="center"/>
                </w:tcPr>
                <w:p>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rFonts w:hint="eastAsia"/>
                      <w:bCs/>
                      <w:color w:val="auto"/>
                      <w:szCs w:val="21"/>
                    </w:rPr>
                    <w:t>活性炭吸附</w:t>
                  </w:r>
                </w:p>
              </w:tc>
              <w:tc>
                <w:tcPr>
                  <w:tcW w:w="591" w:type="dxa"/>
                  <w:vAlign w:val="center"/>
                </w:tcPr>
                <w:p>
                  <w:pPr>
                    <w:keepNext/>
                    <w:keepLines/>
                    <w:pageBreakBefore w:val="0"/>
                    <w:widowControl/>
                    <w:kinsoku/>
                    <w:wordWrap/>
                    <w:overflowPunct w:val="0"/>
                    <w:topLinePunct w:val="0"/>
                    <w:autoSpaceDE/>
                    <w:autoSpaceDN/>
                    <w:bidi w:val="0"/>
                    <w:jc w:val="center"/>
                    <w:textAlignment w:val="auto"/>
                    <w:rPr>
                      <w:rFonts w:hint="eastAsia" w:eastAsia="宋体"/>
                      <w:bCs/>
                      <w:color w:val="auto"/>
                      <w:kern w:val="0"/>
                      <w:szCs w:val="21"/>
                      <w:lang w:val="en-US" w:eastAsia="zh-CN"/>
                    </w:rPr>
                  </w:pPr>
                  <w:r>
                    <w:rPr>
                      <w:rFonts w:hint="eastAsia"/>
                      <w:bCs/>
                      <w:color w:val="auto"/>
                      <w:kern w:val="0"/>
                      <w:szCs w:val="21"/>
                      <w:lang w:val="en-US" w:eastAsia="zh-CN"/>
                    </w:rPr>
                    <w:t>废活性炭</w:t>
                  </w:r>
                </w:p>
              </w:tc>
              <w:tc>
                <w:tcPr>
                  <w:tcW w:w="1262" w:type="dxa"/>
                  <w:tcBorders>
                    <w:right w:val="single" w:color="auto" w:sz="4" w:space="0"/>
                  </w:tcBorders>
                  <w:vAlign w:val="center"/>
                </w:tcPr>
                <w:p>
                  <w:pPr>
                    <w:keepNext/>
                    <w:jc w:val="center"/>
                    <w:rPr>
                      <w:bCs/>
                      <w:color w:val="auto"/>
                      <w:szCs w:val="21"/>
                    </w:rPr>
                  </w:pPr>
                  <w:r>
                    <w:rPr>
                      <w:rFonts w:hint="eastAsia"/>
                      <w:bCs/>
                      <w:color w:val="auto"/>
                      <w:szCs w:val="21"/>
                    </w:rPr>
                    <w:t>HW49</w:t>
                  </w:r>
                </w:p>
              </w:tc>
              <w:tc>
                <w:tcPr>
                  <w:tcW w:w="1917" w:type="dxa"/>
                  <w:tcBorders>
                    <w:left w:val="single" w:color="auto" w:sz="4" w:space="0"/>
                  </w:tcBorders>
                  <w:vAlign w:val="center"/>
                </w:tcPr>
                <w:p>
                  <w:pPr>
                    <w:keepNext/>
                    <w:jc w:val="center"/>
                    <w:rPr>
                      <w:bCs/>
                      <w:color w:val="auto"/>
                      <w:szCs w:val="21"/>
                    </w:rPr>
                  </w:pPr>
                  <w:r>
                    <w:rPr>
                      <w:rFonts w:hint="eastAsia"/>
                      <w:bCs/>
                      <w:color w:val="auto"/>
                      <w:szCs w:val="21"/>
                    </w:rPr>
                    <w:t>900-039-49</w:t>
                  </w:r>
                </w:p>
              </w:tc>
              <w:tc>
                <w:tcPr>
                  <w:tcW w:w="518" w:type="dxa"/>
                  <w:vAlign w:val="center"/>
                </w:tcPr>
                <w:p>
                  <w:pPr>
                    <w:keepNext/>
                    <w:keepLines/>
                    <w:pageBreakBefore w:val="0"/>
                    <w:widowControl/>
                    <w:kinsoku/>
                    <w:wordWrap/>
                    <w:overflowPunct w:val="0"/>
                    <w:topLinePunct w:val="0"/>
                    <w:autoSpaceDE/>
                    <w:autoSpaceDN/>
                    <w:bidi w:val="0"/>
                    <w:spacing w:line="260" w:lineRule="exact"/>
                    <w:jc w:val="center"/>
                    <w:textAlignment w:val="auto"/>
                    <w:rPr>
                      <w:rFonts w:hint="default"/>
                      <w:bCs/>
                      <w:color w:val="auto"/>
                      <w:szCs w:val="21"/>
                      <w:lang w:val="en-US" w:eastAsia="zh-CN"/>
                    </w:rPr>
                  </w:pPr>
                  <w:r>
                    <w:rPr>
                      <w:rFonts w:hint="eastAsia"/>
                      <w:bCs/>
                      <w:color w:val="auto"/>
                      <w:szCs w:val="21"/>
                      <w:lang w:val="en-US" w:eastAsia="zh-CN"/>
                    </w:rPr>
                    <w:t>1</w:t>
                  </w:r>
                </w:p>
              </w:tc>
              <w:tc>
                <w:tcPr>
                  <w:tcW w:w="421" w:type="dxa"/>
                  <w:vAlign w:val="center"/>
                </w:tcPr>
                <w:p>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rFonts w:hint="eastAsia"/>
                      <w:bCs/>
                      <w:color w:val="auto"/>
                      <w:szCs w:val="21"/>
                    </w:rPr>
                    <w:t>活性炭吸附</w:t>
                  </w:r>
                </w:p>
              </w:tc>
              <w:tc>
                <w:tcPr>
                  <w:tcW w:w="298" w:type="dxa"/>
                  <w:vAlign w:val="center"/>
                </w:tcPr>
                <w:p>
                  <w:pPr>
                    <w:keepNext/>
                    <w:keepLines/>
                    <w:pageBreakBefore w:val="0"/>
                    <w:widowControl/>
                    <w:kinsoku/>
                    <w:wordWrap/>
                    <w:overflowPunct w:val="0"/>
                    <w:topLinePunct w:val="0"/>
                    <w:autoSpaceDE/>
                    <w:autoSpaceDN/>
                    <w:bidi w:val="0"/>
                    <w:spacing w:line="260" w:lineRule="exact"/>
                    <w:jc w:val="center"/>
                    <w:textAlignment w:val="auto"/>
                    <w:rPr>
                      <w:rFonts w:hint="eastAsia" w:eastAsia="宋体"/>
                      <w:bCs/>
                      <w:color w:val="auto"/>
                      <w:szCs w:val="21"/>
                      <w:lang w:val="en-US" w:eastAsia="zh-CN"/>
                    </w:rPr>
                  </w:pPr>
                  <w:r>
                    <w:rPr>
                      <w:rFonts w:hint="eastAsia"/>
                      <w:bCs/>
                      <w:color w:val="auto"/>
                      <w:szCs w:val="21"/>
                      <w:lang w:val="en-US" w:eastAsia="zh-CN"/>
                    </w:rPr>
                    <w:t>固体</w:t>
                  </w:r>
                </w:p>
              </w:tc>
              <w:tc>
                <w:tcPr>
                  <w:tcW w:w="474" w:type="dxa"/>
                  <w:vAlign w:val="center"/>
                </w:tcPr>
                <w:p>
                  <w:pPr>
                    <w:keepNext/>
                    <w:jc w:val="center"/>
                    <w:rPr>
                      <w:color w:val="auto"/>
                      <w:kern w:val="0"/>
                      <w:szCs w:val="21"/>
                      <w:lang w:val="en-GB" w:bidi="ar"/>
                    </w:rPr>
                  </w:pPr>
                  <w:r>
                    <w:rPr>
                      <w:rFonts w:hint="eastAsia"/>
                      <w:bCs/>
                      <w:color w:val="auto"/>
                      <w:kern w:val="0"/>
                      <w:szCs w:val="21"/>
                    </w:rPr>
                    <w:t>有机废气</w:t>
                  </w:r>
                </w:p>
              </w:tc>
              <w:tc>
                <w:tcPr>
                  <w:tcW w:w="475" w:type="dxa"/>
                  <w:vAlign w:val="center"/>
                </w:tcPr>
                <w:p>
                  <w:pPr>
                    <w:keepNext/>
                    <w:jc w:val="center"/>
                    <w:rPr>
                      <w:color w:val="auto"/>
                      <w:kern w:val="0"/>
                      <w:szCs w:val="21"/>
                      <w:lang w:val="en-GB" w:bidi="ar"/>
                    </w:rPr>
                  </w:pPr>
                  <w:r>
                    <w:rPr>
                      <w:rFonts w:hint="eastAsia"/>
                      <w:bCs/>
                      <w:color w:val="auto"/>
                      <w:kern w:val="0"/>
                      <w:szCs w:val="21"/>
                    </w:rPr>
                    <w:t>有机废气</w:t>
                  </w:r>
                </w:p>
              </w:tc>
              <w:tc>
                <w:tcPr>
                  <w:tcW w:w="279" w:type="dxa"/>
                  <w:vAlign w:val="center"/>
                </w:tcPr>
                <w:p>
                  <w:pPr>
                    <w:keepNext/>
                    <w:jc w:val="center"/>
                    <w:rPr>
                      <w:bCs/>
                      <w:color w:val="auto"/>
                      <w:szCs w:val="21"/>
                    </w:rPr>
                  </w:pPr>
                  <w:r>
                    <w:rPr>
                      <w:bCs/>
                      <w:color w:val="auto"/>
                      <w:szCs w:val="21"/>
                    </w:rPr>
                    <w:t>连续</w:t>
                  </w:r>
                </w:p>
              </w:tc>
              <w:tc>
                <w:tcPr>
                  <w:tcW w:w="381" w:type="dxa"/>
                  <w:vAlign w:val="center"/>
                </w:tcPr>
                <w:p>
                  <w:pPr>
                    <w:keepNext/>
                    <w:jc w:val="center"/>
                    <w:rPr>
                      <w:bCs/>
                      <w:color w:val="auto"/>
                      <w:szCs w:val="21"/>
                      <w:lang w:bidi="ar"/>
                    </w:rPr>
                  </w:pPr>
                  <w:r>
                    <w:rPr>
                      <w:bCs/>
                      <w:color w:val="auto"/>
                      <w:szCs w:val="21"/>
                      <w:lang w:bidi="ar"/>
                    </w:rPr>
                    <w:t>T</w:t>
                  </w:r>
                </w:p>
              </w:tc>
              <w:tc>
                <w:tcPr>
                  <w:tcW w:w="514" w:type="dxa"/>
                  <w:vAlign w:val="center"/>
                </w:tcPr>
                <w:p>
                  <w:pPr>
                    <w:keepNext/>
                    <w:keepLines/>
                    <w:pageBreakBefore w:val="0"/>
                    <w:widowControl/>
                    <w:kinsoku/>
                    <w:wordWrap/>
                    <w:overflowPunct w:val="0"/>
                    <w:topLinePunct w:val="0"/>
                    <w:autoSpaceDE/>
                    <w:autoSpaceDN/>
                    <w:bidi w:val="0"/>
                    <w:jc w:val="center"/>
                    <w:textAlignment w:val="auto"/>
                    <w:rPr>
                      <w:color w:val="auto"/>
                    </w:rPr>
                  </w:pPr>
                  <w:r>
                    <w:rPr>
                      <w:rFonts w:hint="eastAsia"/>
                      <w:color w:val="auto"/>
                    </w:rPr>
                    <w:t>送有资质单位处置</w:t>
                  </w:r>
                </w:p>
              </w:tc>
            </w:tr>
          </w:tbl>
          <w:p>
            <w:pPr>
              <w:pStyle w:val="82"/>
              <w:rPr>
                <w:color w:val="auto"/>
              </w:rPr>
            </w:pPr>
            <w:r>
              <w:rPr>
                <w:color w:val="auto"/>
              </w:rPr>
              <w:t>2、环境管理要求</w:t>
            </w:r>
          </w:p>
          <w:p>
            <w:pPr>
              <w:pStyle w:val="75"/>
              <w:rPr>
                <w:color w:val="auto"/>
              </w:rPr>
            </w:pPr>
            <w:r>
              <w:rPr>
                <w:color w:val="auto"/>
              </w:rPr>
              <w:t>根据《建设项目危险废物环境影响评价指南》</w:t>
            </w:r>
            <w:r>
              <w:rPr>
                <w:rFonts w:hint="eastAsia"/>
                <w:color w:val="auto"/>
                <w:lang w:eastAsia="zh-CN"/>
              </w:rPr>
              <w:t>、</w:t>
            </w:r>
            <w:r>
              <w:rPr>
                <w:color w:val="auto"/>
              </w:rPr>
              <w:t>《危险废物贮存污染控制标准》（GB18597-20</w:t>
            </w:r>
            <w:r>
              <w:rPr>
                <w:rFonts w:hint="eastAsia"/>
                <w:color w:val="auto"/>
                <w:lang w:val="en-US" w:eastAsia="zh-CN"/>
              </w:rPr>
              <w:t>23</w:t>
            </w:r>
            <w:r>
              <w:rPr>
                <w:color w:val="auto"/>
              </w:rPr>
              <w:t>），本项目管理要求如下：</w:t>
            </w:r>
          </w:p>
          <w:p>
            <w:pPr>
              <w:pStyle w:val="75"/>
              <w:rPr>
                <w:color w:val="auto"/>
              </w:rPr>
            </w:pPr>
            <w:r>
              <w:rPr>
                <w:color w:val="auto"/>
              </w:rPr>
              <w:t>（1）分类收集</w:t>
            </w:r>
          </w:p>
          <w:p>
            <w:pPr>
              <w:pStyle w:val="75"/>
              <w:rPr>
                <w:color w:val="auto"/>
              </w:rPr>
            </w:pPr>
            <w:r>
              <w:rPr>
                <w:color w:val="auto"/>
              </w:rPr>
              <w:t>企业产生的危险废物在未外送之前临时贮存参照《危险废物贮存污染控制标准》（GB18597-20</w:t>
            </w:r>
            <w:r>
              <w:rPr>
                <w:rFonts w:hint="eastAsia"/>
                <w:color w:val="auto"/>
                <w:lang w:val="en-US" w:eastAsia="zh-CN"/>
              </w:rPr>
              <w:t>23</w:t>
            </w:r>
            <w:r>
              <w:rPr>
                <w:color w:val="auto"/>
              </w:rPr>
              <w:t>）中关于一般要求、贮存容器、贮存设施设计原则、运行管理和安全防护等内容执行。企业设置一间</w:t>
            </w:r>
            <w:r>
              <w:rPr>
                <w:rFonts w:hint="eastAsia"/>
                <w:color w:val="auto"/>
                <w:lang w:val="en-US" w:eastAsia="zh-CN"/>
              </w:rPr>
              <w:t>50</w:t>
            </w:r>
            <w:r>
              <w:rPr>
                <w:color w:val="auto"/>
              </w:rPr>
              <w:t>m</w:t>
            </w:r>
            <w:r>
              <w:rPr>
                <w:color w:val="auto"/>
                <w:vertAlign w:val="superscript"/>
              </w:rPr>
              <w:t>2</w:t>
            </w:r>
            <w:r>
              <w:rPr>
                <w:rFonts w:hint="eastAsia"/>
                <w:color w:val="auto"/>
                <w:lang w:eastAsia="zh-CN"/>
              </w:rPr>
              <w:t>危险废物贮存库</w:t>
            </w:r>
            <w:r>
              <w:rPr>
                <w:color w:val="auto"/>
              </w:rPr>
              <w:t>。建设单位收集、临时储存危险废物严格执行《危险废物贮存污染控制标准》（</w:t>
            </w:r>
            <w:r>
              <w:rPr>
                <w:rFonts w:hint="eastAsia"/>
                <w:color w:val="auto"/>
              </w:rPr>
              <w:t>GB18597-2023</w:t>
            </w:r>
            <w:r>
              <w:rPr>
                <w:color w:val="auto"/>
              </w:rPr>
              <w:t>）。</w:t>
            </w:r>
          </w:p>
          <w:p>
            <w:pPr>
              <w:pStyle w:val="75"/>
              <w:numPr>
                <w:ilvl w:val="0"/>
                <w:numId w:val="2"/>
              </w:numPr>
              <w:rPr>
                <w:rFonts w:hint="eastAsia"/>
                <w:color w:val="auto"/>
                <w:lang w:eastAsia="zh-CN"/>
              </w:rPr>
            </w:pPr>
            <w:r>
              <w:rPr>
                <w:rFonts w:hint="eastAsia"/>
                <w:color w:val="auto"/>
                <w:lang w:eastAsia="zh-CN"/>
              </w:rPr>
              <w:t>危险废物贮存库管理要求</w:t>
            </w:r>
          </w:p>
          <w:p>
            <w:pPr>
              <w:pStyle w:val="75"/>
              <w:rPr>
                <w:color w:val="auto"/>
              </w:rPr>
            </w:pPr>
            <w:r>
              <w:rPr>
                <w:rFonts w:hint="eastAsia" w:ascii="宋体" w:hAnsi="宋体" w:cs="宋体"/>
                <w:color w:val="auto"/>
                <w:lang w:eastAsia="ja-JP"/>
              </w:rPr>
              <w:t>①</w:t>
            </w:r>
            <w:r>
              <w:rPr>
                <w:rFonts w:hint="eastAsia"/>
                <w:color w:val="auto"/>
              </w:rPr>
              <w:t>贮存危险废物应根据危险废物的类别、形态、物理化学性质和污染防治要求进行分类贮存</w:t>
            </w:r>
            <w:r>
              <w:rPr>
                <w:color w:val="auto"/>
              </w:rPr>
              <w:t>，</w:t>
            </w:r>
            <w:r>
              <w:rPr>
                <w:rFonts w:hint="eastAsia"/>
                <w:color w:val="auto"/>
              </w:rPr>
              <w:t>且应避免危险废物与不相容的物质或材料接触</w:t>
            </w:r>
            <w:r>
              <w:rPr>
                <w:rFonts w:hint="eastAsia"/>
                <w:color w:val="auto"/>
                <w:lang w:eastAsia="zh-CN"/>
              </w:rPr>
              <w:t>。</w:t>
            </w:r>
            <w:r>
              <w:rPr>
                <w:color w:val="auto"/>
              </w:rPr>
              <w:t>及时</w:t>
            </w:r>
            <w:r>
              <w:rPr>
                <w:bCs/>
                <w:color w:val="auto"/>
              </w:rPr>
              <w:t>交由有危废处理资质单位处理</w:t>
            </w:r>
            <w:r>
              <w:rPr>
                <w:color w:val="auto"/>
              </w:rPr>
              <w:t>。</w:t>
            </w:r>
          </w:p>
          <w:p>
            <w:pPr>
              <w:pStyle w:val="75"/>
              <w:rPr>
                <w:color w:val="auto"/>
              </w:rPr>
            </w:pPr>
            <w:r>
              <w:rPr>
                <w:rFonts w:hint="eastAsia" w:ascii="宋体" w:hAnsi="宋体" w:cs="宋体"/>
                <w:color w:val="auto"/>
                <w:lang w:eastAsia="ja-JP"/>
              </w:rPr>
              <w:t>②</w:t>
            </w:r>
            <w:r>
              <w:rPr>
                <w:rFonts w:hint="eastAsia"/>
                <w:color w:val="auto"/>
              </w:rPr>
              <w:t>贮存设施或场所、容器和包装物应按 HJ 1276 要求设置危险废物贮存设施或场所标志、危险废物贮存分区标志和危险废物标签等危险废物识别标志。</w:t>
            </w:r>
          </w:p>
          <w:p>
            <w:pPr>
              <w:pStyle w:val="75"/>
              <w:rPr>
                <w:color w:val="auto"/>
              </w:rPr>
            </w:pPr>
            <w:r>
              <w:rPr>
                <w:rFonts w:hint="eastAsia" w:ascii="宋体" w:hAnsi="宋体" w:cs="宋体"/>
                <w:color w:val="auto"/>
                <w:lang w:eastAsia="ja-JP"/>
              </w:rPr>
              <w:t>③</w:t>
            </w:r>
            <w:r>
              <w:rPr>
                <w:rFonts w:hint="eastAsia"/>
                <w:color w:val="auto"/>
              </w:rPr>
              <w:t>贮存设施或贮存分区内地面、墙面裙脚、堵截泄漏的围堰、接触危险废物的隔板和墙体等应采用坚固的材料建造，表面无裂缝。</w:t>
            </w:r>
          </w:p>
          <w:p>
            <w:pPr>
              <w:pStyle w:val="75"/>
              <w:rPr>
                <w:bCs/>
                <w:color w:val="auto"/>
                <w:szCs w:val="21"/>
              </w:rPr>
            </w:pPr>
            <w:r>
              <w:rPr>
                <w:rFonts w:hint="eastAsia" w:ascii="宋体" w:hAnsi="宋体" w:cs="宋体"/>
                <w:color w:val="auto"/>
                <w:lang w:eastAsia="ja-JP"/>
              </w:rPr>
              <w:t>④</w:t>
            </w:r>
            <w:r>
              <w:rPr>
                <w:rFonts w:hint="eastAsia"/>
                <w:color w:val="auto"/>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vertAlign w:val="superscript"/>
              </w:rPr>
              <w:t>-7</w:t>
            </w:r>
            <w:r>
              <w:rPr>
                <w:rFonts w:hint="eastAsia"/>
                <w:color w:val="auto"/>
              </w:rPr>
              <w:t>cm/s），或至少2mm厚高密度聚乙烯膜等人工防渗材料（渗透系数不大于 10</w:t>
            </w:r>
            <w:r>
              <w:rPr>
                <w:rFonts w:hint="eastAsia"/>
                <w:color w:val="auto"/>
                <w:vertAlign w:val="superscript"/>
              </w:rPr>
              <w:t>-10</w:t>
            </w:r>
            <w:r>
              <w:rPr>
                <w:rFonts w:hint="eastAsia"/>
                <w:color w:val="auto"/>
              </w:rPr>
              <w:t>cm/s），或其他防渗性能等效的材料</w:t>
            </w:r>
            <w:r>
              <w:rPr>
                <w:bCs/>
                <w:color w:val="auto"/>
                <w:szCs w:val="21"/>
              </w:rPr>
              <w:t>。</w:t>
            </w:r>
          </w:p>
          <w:p>
            <w:pPr>
              <w:pStyle w:val="75"/>
              <w:rPr>
                <w:color w:val="auto"/>
              </w:rPr>
            </w:pPr>
            <w:r>
              <w:rPr>
                <w:rFonts w:hint="eastAsia" w:ascii="宋体" w:hAnsi="宋体" w:cs="宋体"/>
                <w:color w:val="auto"/>
                <w:lang w:eastAsia="ja-JP"/>
              </w:rPr>
              <w:t>⑤</w:t>
            </w:r>
            <w:r>
              <w:rPr>
                <w:color w:val="auto"/>
              </w:rPr>
              <w:t>衬里要放在基础或底座上，要与危险废物相容。</w:t>
            </w:r>
          </w:p>
          <w:p>
            <w:pPr>
              <w:pStyle w:val="75"/>
              <w:rPr>
                <w:color w:val="auto"/>
              </w:rPr>
            </w:pPr>
            <w:r>
              <w:rPr>
                <w:rFonts w:hint="eastAsia" w:ascii="宋体" w:hAnsi="宋体" w:cs="宋体"/>
                <w:color w:val="auto"/>
                <w:lang w:eastAsia="ja-JP"/>
              </w:rPr>
              <w:t>⑥</w:t>
            </w:r>
            <w:r>
              <w:rPr>
                <w:color w:val="auto"/>
              </w:rPr>
              <w:t>需做好危险废物情况的记录，记录上须注明危险废物名称、来源、数量、特性和包装容器的类别、入库日期，废物出库日期及委托处理的单位名称等。</w:t>
            </w:r>
          </w:p>
          <w:p>
            <w:pPr>
              <w:pStyle w:val="75"/>
              <w:rPr>
                <w:rFonts w:hint="eastAsia"/>
                <w:bCs/>
                <w:color w:val="auto"/>
                <w:szCs w:val="21"/>
              </w:rPr>
            </w:pPr>
            <w:r>
              <w:rPr>
                <w:rFonts w:hint="eastAsia" w:ascii="宋体" w:hAnsi="宋体" w:cs="宋体"/>
                <w:color w:val="auto"/>
              </w:rPr>
              <w:t>⑦</w:t>
            </w:r>
            <w:r>
              <w:rPr>
                <w:color w:val="auto"/>
              </w:rPr>
              <w:t>危废贮存间应满足“四防”（防风、防雨、防晒、防渗漏）；必须有泄漏液体收集装置、气体导出口及气体净化装置；设施内要有安全照明设施和观察窗口。</w:t>
            </w:r>
            <w:r>
              <w:rPr>
                <w:rFonts w:hint="eastAsia"/>
                <w:bCs/>
                <w:color w:val="auto"/>
                <w:szCs w:val="21"/>
                <w:lang w:eastAsia="zh-CN"/>
              </w:rPr>
              <w:t>危险废物贮存库</w:t>
            </w:r>
            <w:r>
              <w:rPr>
                <w:rFonts w:hint="eastAsia"/>
                <w:bCs/>
                <w:color w:val="auto"/>
                <w:szCs w:val="21"/>
              </w:rPr>
              <w:t>内设置泄漏液体收集装置、排风装置设施并配备活性炭吸附装置等。</w:t>
            </w:r>
          </w:p>
          <w:p>
            <w:pPr>
              <w:pStyle w:val="75"/>
              <w:rPr>
                <w:rFonts w:hint="eastAsia" w:ascii="宋体" w:hAnsi="宋体" w:eastAsia="宋体" w:cs="宋体"/>
                <w:bCs/>
                <w:color w:val="auto"/>
                <w:szCs w:val="21"/>
              </w:rPr>
            </w:pPr>
            <w:r>
              <w:rPr>
                <w:rFonts w:hint="eastAsia" w:ascii="宋体" w:hAnsi="宋体" w:eastAsia="宋体" w:cs="宋体"/>
                <w:bCs/>
                <w:color w:val="auto"/>
                <w:szCs w:val="21"/>
              </w:rPr>
              <w:t>⑧衬里要放在基础或底座上，要与危险废物相容。</w:t>
            </w:r>
          </w:p>
          <w:p>
            <w:pPr>
              <w:pStyle w:val="75"/>
              <w:rPr>
                <w:rFonts w:hint="eastAsia" w:ascii="宋体" w:hAnsi="宋体" w:eastAsia="宋体" w:cs="宋体"/>
                <w:bCs/>
                <w:color w:val="auto"/>
                <w:szCs w:val="21"/>
              </w:rPr>
            </w:pPr>
            <w:r>
              <w:rPr>
                <w:rFonts w:hint="eastAsia" w:ascii="宋体" w:hAnsi="宋体" w:eastAsia="宋体" w:cs="宋体"/>
                <w:bCs/>
                <w:color w:val="auto"/>
                <w:szCs w:val="21"/>
              </w:rPr>
              <w:t>⑨贮存设施应采取技术和管理措施防止无关人员进入。</w:t>
            </w:r>
          </w:p>
          <w:p>
            <w:pPr>
              <w:pStyle w:val="75"/>
              <w:rPr>
                <w:rFonts w:hint="eastAsia" w:ascii="宋体" w:hAnsi="宋体" w:eastAsia="宋体" w:cs="宋体"/>
                <w:bCs/>
                <w:color w:val="auto"/>
                <w:szCs w:val="21"/>
              </w:rPr>
            </w:pPr>
            <w:r>
              <w:rPr>
                <w:rFonts w:hint="eastAsia" w:ascii="宋体" w:hAnsi="宋体" w:eastAsia="宋体" w:cs="宋体"/>
                <w:bCs/>
                <w:color w:val="auto"/>
                <w:szCs w:val="21"/>
              </w:rPr>
              <w:t>⑩在常温常压下不易水解、不易挥发的固态危险废物可分类堆放贮存，其他固态危险废物应装入容器或包装物内贮存。液态危险废物应装入容器内贮存，或直接采用贮存池、贮存罐区贮存。</w:t>
            </w:r>
          </w:p>
          <w:p>
            <w:pPr>
              <w:pStyle w:val="75"/>
              <w:rPr>
                <w:rFonts w:hint="eastAsia"/>
                <w:bCs/>
                <w:color w:val="auto"/>
                <w:szCs w:val="21"/>
              </w:rPr>
            </w:pPr>
            <w:r>
              <w:rPr>
                <w:rFonts w:hint="eastAsia"/>
                <w:bCs/>
                <w:color w:val="auto"/>
                <w:szCs w:val="21"/>
              </w:rPr>
              <w:t>2）危险废物管理要求：</w:t>
            </w:r>
          </w:p>
          <w:p>
            <w:pPr>
              <w:pStyle w:val="75"/>
              <w:rPr>
                <w:rFonts w:hint="eastAsia"/>
                <w:bCs/>
                <w:color w:val="auto"/>
                <w:szCs w:val="21"/>
              </w:rPr>
            </w:pPr>
            <w:r>
              <w:rPr>
                <w:rFonts w:hint="eastAsia"/>
                <w:bCs/>
                <w:color w:val="auto"/>
                <w:szCs w:val="21"/>
              </w:rPr>
              <w:t>①本项目危险废物集中收集后，分类、分区暂存于危险废物贮存库，并定期交由有资质单位处置。</w:t>
            </w:r>
          </w:p>
          <w:p>
            <w:pPr>
              <w:pStyle w:val="75"/>
              <w:rPr>
                <w:rFonts w:hint="eastAsia"/>
                <w:bCs/>
                <w:color w:val="auto"/>
                <w:szCs w:val="21"/>
              </w:rPr>
            </w:pPr>
            <w:r>
              <w:rPr>
                <w:rFonts w:hint="eastAsia"/>
                <w:bCs/>
                <w:color w:val="auto"/>
                <w:szCs w:val="21"/>
              </w:rPr>
              <w:t>②对危险废物的容器和包装物以及收集、贮存、运输、利用、处置危险废物的设施、场所，应当按照规定设置危险废物识别标志。</w:t>
            </w:r>
          </w:p>
          <w:p>
            <w:pPr>
              <w:pStyle w:val="75"/>
              <w:rPr>
                <w:rFonts w:hint="eastAsia"/>
                <w:bCs/>
                <w:color w:val="auto"/>
                <w:szCs w:val="21"/>
              </w:rPr>
            </w:pPr>
            <w:r>
              <w:rPr>
                <w:rFonts w:hint="eastAsia"/>
                <w:bCs/>
                <w:color w:val="auto"/>
                <w:szCs w:val="21"/>
              </w:rPr>
              <w:t>③产生危险废物的单位，应当按照国家有关规定和环境保护标准要求贮存、利用、处置危险废物，不得擅自倾倒、堆放。必须做好危险废物情况的记录，注明危险废物的名称、来源、数量、特性和包装容器的类别、入库日期、出库日期及接收单位名称，危险废物的记录和货单在危险废物回取后应继续保留3年；必须定期对所贮存的危险废物包装容器及危险废物贮存库进行检查，发现破损应及时采取措施清理更换。建立危险废物管理台账，如实记录有关信息，并通过国家危险废物信息管理系统向所在地生态环境主管部门申报危险废物的种类、产生量、流向、贮存、处置等有关资料。</w:t>
            </w:r>
          </w:p>
          <w:p>
            <w:pPr>
              <w:pStyle w:val="75"/>
              <w:rPr>
                <w:rFonts w:hint="eastAsia"/>
                <w:bCs/>
                <w:color w:val="auto"/>
                <w:szCs w:val="21"/>
              </w:rPr>
            </w:pPr>
            <w:r>
              <w:rPr>
                <w:rFonts w:hint="eastAsia"/>
                <w:bCs/>
                <w:color w:val="auto"/>
                <w:szCs w:val="21"/>
              </w:rPr>
              <w:t>④危险废物暂存和处置要求</w:t>
            </w:r>
          </w:p>
          <w:p>
            <w:pPr>
              <w:pStyle w:val="75"/>
              <w:rPr>
                <w:rFonts w:hint="eastAsia"/>
                <w:bCs/>
                <w:color w:val="auto"/>
                <w:szCs w:val="21"/>
              </w:rPr>
            </w:pPr>
            <w:r>
              <w:rPr>
                <w:rFonts w:hint="eastAsia"/>
                <w:bCs/>
                <w:color w:val="auto"/>
                <w:szCs w:val="21"/>
              </w:rPr>
              <w:t>a.拆解后危废的存储应严格按照《危险废物贮存污染控制标准》（GB18597-2023）要求执行。对存储的各种危废的容器进行标识，避免混合、混放。</w:t>
            </w:r>
          </w:p>
          <w:p>
            <w:pPr>
              <w:pStyle w:val="75"/>
              <w:rPr>
                <w:rFonts w:hint="eastAsia"/>
                <w:bCs/>
                <w:color w:val="auto"/>
                <w:szCs w:val="21"/>
              </w:rPr>
            </w:pPr>
            <w:r>
              <w:rPr>
                <w:rFonts w:hint="eastAsia"/>
                <w:bCs/>
                <w:color w:val="auto"/>
                <w:szCs w:val="21"/>
              </w:rPr>
              <w:t>b.本项目生产过程中产生的属于危险废物，应按危险废物的有关规定进行管理处置，其暂存和处理按照国家相关要求进行，使用专用密闭容器分类存储废液，防止废液挥发，并交给有资质的废液回收处理企业。日常管理应专人专管，严格进行日常安全防护管理和监测。</w:t>
            </w:r>
          </w:p>
          <w:p>
            <w:pPr>
              <w:pStyle w:val="75"/>
              <w:rPr>
                <w:rFonts w:hint="eastAsia"/>
                <w:bCs/>
                <w:color w:val="auto"/>
                <w:szCs w:val="21"/>
              </w:rPr>
            </w:pPr>
            <w:r>
              <w:rPr>
                <w:rFonts w:hint="eastAsia"/>
                <w:bCs/>
                <w:color w:val="auto"/>
                <w:szCs w:val="21"/>
              </w:rPr>
              <w:t>c.对危险废物暂存区设立明显的警示标志，拆解过程产生的危险废物应按照类别分别放置在专门的收集容器和暂存设施内。禁止在未获得相应资质的报废机动车拆解企业内拆解废蓄电池，禁止将蓄电池内的液态废物倾倒出来。应将废蓄电池暂存在耐酸地面的专用区域内。</w:t>
            </w:r>
          </w:p>
          <w:p>
            <w:pPr>
              <w:pStyle w:val="75"/>
              <w:rPr>
                <w:rFonts w:hint="eastAsia"/>
                <w:bCs/>
                <w:color w:val="auto"/>
                <w:szCs w:val="21"/>
              </w:rPr>
            </w:pPr>
            <w:r>
              <w:rPr>
                <w:rFonts w:hint="eastAsia"/>
                <w:bCs/>
                <w:color w:val="auto"/>
                <w:szCs w:val="21"/>
              </w:rPr>
              <w:t>d.根据危险废物实行“减量化、资源化、无害化”的处置原则，项目产生的危险废物全部委托有资质的单位收集处理。企业在严格落实上述固体废物处置措施的情况下，做好固体废物收集和分类存放工作，则拟建项目产生的固体废物均得到合理处置，对周围环境的影响较小。</w:t>
            </w:r>
          </w:p>
          <w:p>
            <w:pPr>
              <w:pStyle w:val="75"/>
              <w:rPr>
                <w:rFonts w:hint="eastAsia"/>
                <w:bCs/>
                <w:color w:val="auto"/>
                <w:szCs w:val="21"/>
              </w:rPr>
            </w:pPr>
            <w:r>
              <w:rPr>
                <w:rFonts w:hint="eastAsia"/>
                <w:bCs/>
                <w:color w:val="auto"/>
                <w:szCs w:val="21"/>
              </w:rPr>
              <w:t>盛放危险废物的储罐要防漏和防止洒溅，贮存设施按照《危险废物贮存污染控制标准》（GB18597-2023）中4.6贮存设施或场所、容器和包装物应按HJ1276要求设置危险废物贮存设施或场所标志、危险废物贮存分区标志和危险废物标签等危险废物识别标志。液态废物应在不同的专用容器中分别暂存。报废机动车拆解企业产生的各种危险废物在厂区内的暂存时间不得超过3个月，并制定危险废物贮存的台账制度。</w:t>
            </w:r>
          </w:p>
          <w:p>
            <w:pPr>
              <w:pStyle w:val="75"/>
              <w:rPr>
                <w:rFonts w:hint="eastAsia"/>
                <w:bCs/>
                <w:color w:val="auto"/>
                <w:szCs w:val="21"/>
              </w:rPr>
            </w:pPr>
            <w:r>
              <w:rPr>
                <w:rFonts w:hint="eastAsia"/>
                <w:bCs/>
                <w:color w:val="auto"/>
                <w:szCs w:val="21"/>
              </w:rPr>
              <w:t>⑤危险废物转运的管理要求</w:t>
            </w:r>
          </w:p>
          <w:p>
            <w:pPr>
              <w:pStyle w:val="75"/>
              <w:rPr>
                <w:rFonts w:hint="eastAsia"/>
                <w:bCs/>
                <w:color w:val="auto"/>
                <w:szCs w:val="21"/>
              </w:rPr>
            </w:pPr>
            <w:r>
              <w:rPr>
                <w:rFonts w:hint="eastAsia"/>
                <w:bCs/>
                <w:color w:val="auto"/>
                <w:szCs w:val="21"/>
              </w:rPr>
              <w:t>a.转移危险废物的，应当按照国家有关规定填写、运行危险废物电子或者纸质转移联单。</w:t>
            </w:r>
          </w:p>
          <w:p>
            <w:pPr>
              <w:pStyle w:val="75"/>
              <w:rPr>
                <w:rFonts w:hint="eastAsia"/>
                <w:bCs/>
                <w:color w:val="auto"/>
                <w:szCs w:val="21"/>
              </w:rPr>
            </w:pPr>
            <w:r>
              <w:rPr>
                <w:rFonts w:hint="eastAsia"/>
                <w:bCs/>
                <w:color w:val="auto"/>
                <w:szCs w:val="21"/>
              </w:rPr>
              <w:t>跨省、自治区、直辖市转移危险废物的，应当向危险废物移出地省、自治区、直辖市人民政府生态环境主管部门申请。移出地省、自治区、直辖市人民政府生态环境主管部门应当及时商经接受地省、自治区、直辖市人民政府生态环境主管部门同意后，在规定期限内批准转移该危险废物，并将批准信息通报相关省、自治区、直辖市人民政府生态环境主管部门和交通运输主管部门。未经批准的，不得转移。</w:t>
            </w:r>
          </w:p>
          <w:p>
            <w:pPr>
              <w:pStyle w:val="75"/>
              <w:rPr>
                <w:rFonts w:hint="eastAsia"/>
                <w:bCs/>
                <w:color w:val="auto"/>
                <w:szCs w:val="21"/>
              </w:rPr>
            </w:pPr>
            <w:r>
              <w:rPr>
                <w:rFonts w:hint="eastAsia"/>
                <w:bCs/>
                <w:color w:val="auto"/>
                <w:szCs w:val="21"/>
              </w:rPr>
              <w:t>b.运输危险废物，应当采取防止污染环境的措施，并遵守国家有关危险货物运输管理的规定。</w:t>
            </w:r>
          </w:p>
          <w:p>
            <w:pPr>
              <w:pStyle w:val="75"/>
              <w:rPr>
                <w:rFonts w:hint="eastAsia"/>
                <w:bCs/>
                <w:color w:val="auto"/>
                <w:szCs w:val="21"/>
              </w:rPr>
            </w:pPr>
            <w:r>
              <w:rPr>
                <w:rFonts w:hint="eastAsia"/>
                <w:bCs/>
                <w:color w:val="auto"/>
                <w:szCs w:val="21"/>
              </w:rPr>
              <w:t>禁止将危险废物与旅客在同一运输工具上载运。</w:t>
            </w:r>
          </w:p>
          <w:p>
            <w:pPr>
              <w:pStyle w:val="75"/>
              <w:rPr>
                <w:color w:val="auto"/>
              </w:rPr>
            </w:pPr>
            <w:r>
              <w:rPr>
                <w:color w:val="auto"/>
              </w:rPr>
              <w:t>（2）贮存场所（设施）环境影响分析</w:t>
            </w:r>
          </w:p>
          <w:p>
            <w:pPr>
              <w:pStyle w:val="75"/>
              <w:rPr>
                <w:color w:val="auto"/>
              </w:rPr>
            </w:pPr>
            <w:r>
              <w:rPr>
                <w:rFonts w:hint="eastAsia"/>
                <w:color w:val="auto"/>
                <w:lang w:eastAsia="zh-CN"/>
              </w:rPr>
              <w:t>危险废物贮存库</w:t>
            </w:r>
            <w:r>
              <w:rPr>
                <w:color w:val="auto"/>
              </w:rPr>
              <w:t>的设置按照《危险废物贮存污染控制标准》（</w:t>
            </w:r>
            <w:r>
              <w:rPr>
                <w:rFonts w:hint="eastAsia"/>
                <w:color w:val="auto"/>
              </w:rPr>
              <w:t>GB18597-2023</w:t>
            </w:r>
            <w:r>
              <w:rPr>
                <w:color w:val="auto"/>
              </w:rPr>
              <w:t>）要求进行。</w:t>
            </w:r>
            <w:r>
              <w:rPr>
                <w:rFonts w:hint="eastAsia"/>
                <w:color w:val="auto"/>
                <w:lang w:eastAsia="zh-CN"/>
              </w:rPr>
              <w:t>危险废物贮存库</w:t>
            </w:r>
            <w:r>
              <w:rPr>
                <w:color w:val="auto"/>
              </w:rPr>
              <w:t>地面进行防渗；地面与裙脚要用坚固、防渗的材料建造，建筑材料必须与危险废物相容；必须有泄漏液体收集装置；按照GB15562的规定设置警示标志等，在采取以上措施后，可大大降低对地下水、土壤造成的影响。</w:t>
            </w:r>
          </w:p>
          <w:p>
            <w:pPr>
              <w:pStyle w:val="75"/>
              <w:rPr>
                <w:color w:val="auto"/>
              </w:rPr>
            </w:pPr>
            <w:r>
              <w:rPr>
                <w:color w:val="auto"/>
              </w:rPr>
              <w:t>（3）运输过程的环境影响分析</w:t>
            </w:r>
          </w:p>
          <w:p>
            <w:pPr>
              <w:pStyle w:val="75"/>
              <w:rPr>
                <w:color w:val="auto"/>
              </w:rPr>
            </w:pPr>
            <w:r>
              <w:rPr>
                <w:color w:val="auto"/>
              </w:rPr>
              <w:t>危险废物在转运过程中如遇恶劣天气、驾驶人员操作不当或运输车辆行驶部件、装卸系统、安全附件、储运容器的安全性能不好均会造成危险废物的泄露，对沿线居民和环境质量造成影响。</w:t>
            </w:r>
          </w:p>
          <w:p>
            <w:pPr>
              <w:pStyle w:val="75"/>
              <w:rPr>
                <w:color w:val="auto"/>
              </w:rPr>
            </w:pPr>
            <w:r>
              <w:rPr>
                <w:color w:val="auto"/>
              </w:rPr>
              <w:t>本次环评提出对运输人员加强专业培训、定期对运输车辆进行检修、对储存容器定期检查、配备齐全的安全附件、做好包装外的识别标识等措施，可大大降低危险废物泄露的风险。</w:t>
            </w:r>
          </w:p>
          <w:p>
            <w:pPr>
              <w:pStyle w:val="75"/>
              <w:rPr>
                <w:color w:val="auto"/>
              </w:rPr>
            </w:pPr>
            <w:r>
              <w:rPr>
                <w:color w:val="auto"/>
              </w:rPr>
              <w:t>（4）本项目危险废物贮存场所（设施）基本情况表见下表。</w:t>
            </w:r>
          </w:p>
          <w:p>
            <w:pPr>
              <w:pStyle w:val="76"/>
              <w:rPr>
                <w:color w:val="auto"/>
              </w:rPr>
            </w:pPr>
            <w:r>
              <w:rPr>
                <w:color w:val="auto"/>
              </w:rPr>
              <w:t>表4-1</w:t>
            </w:r>
            <w:r>
              <w:rPr>
                <w:rFonts w:hint="eastAsia"/>
                <w:color w:val="auto"/>
                <w:lang w:val="en-US" w:eastAsia="zh-CN"/>
              </w:rPr>
              <w:t>0</w:t>
            </w:r>
            <w:r>
              <w:rPr>
                <w:color w:val="auto"/>
              </w:rPr>
              <w:t xml:space="preserve"> 本项目危险废物贮存场所（设施）基本情况表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49"/>
              <w:gridCol w:w="1319"/>
              <w:gridCol w:w="790"/>
              <w:gridCol w:w="790"/>
              <w:gridCol w:w="1190"/>
              <w:gridCol w:w="642"/>
              <w:gridCol w:w="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50" w:type="pct"/>
                  <w:shd w:val="clear" w:color="auto" w:fill="auto"/>
                  <w:vAlign w:val="center"/>
                </w:tcPr>
                <w:p>
                  <w:pPr>
                    <w:pStyle w:val="49"/>
                    <w:rPr>
                      <w:snapToGrid w:val="0"/>
                      <w:color w:val="auto"/>
                    </w:rPr>
                  </w:pPr>
                  <w:r>
                    <w:rPr>
                      <w:snapToGrid w:val="0"/>
                      <w:color w:val="auto"/>
                    </w:rPr>
                    <w:t>序号</w:t>
                  </w:r>
                </w:p>
              </w:tc>
              <w:tc>
                <w:tcPr>
                  <w:tcW w:w="897" w:type="pct"/>
                  <w:shd w:val="clear" w:color="auto" w:fill="auto"/>
                  <w:vAlign w:val="center"/>
                </w:tcPr>
                <w:p>
                  <w:pPr>
                    <w:pStyle w:val="49"/>
                    <w:rPr>
                      <w:snapToGrid w:val="0"/>
                      <w:color w:val="auto"/>
                    </w:rPr>
                  </w:pPr>
                  <w:r>
                    <w:rPr>
                      <w:snapToGrid w:val="0"/>
                      <w:color w:val="auto"/>
                    </w:rPr>
                    <w:t>贮存场所</w:t>
                  </w:r>
                </w:p>
                <w:p>
                  <w:pPr>
                    <w:pStyle w:val="49"/>
                    <w:rPr>
                      <w:snapToGrid w:val="0"/>
                      <w:color w:val="auto"/>
                    </w:rPr>
                  </w:pPr>
                  <w:r>
                    <w:rPr>
                      <w:snapToGrid w:val="0"/>
                      <w:color w:val="auto"/>
                    </w:rPr>
                    <w:t>名称</w:t>
                  </w:r>
                </w:p>
              </w:tc>
              <w:tc>
                <w:tcPr>
                  <w:tcW w:w="877" w:type="pct"/>
                  <w:shd w:val="clear" w:color="auto" w:fill="auto"/>
                  <w:vAlign w:val="center"/>
                </w:tcPr>
                <w:p>
                  <w:pPr>
                    <w:pStyle w:val="49"/>
                    <w:rPr>
                      <w:snapToGrid w:val="0"/>
                      <w:color w:val="auto"/>
                    </w:rPr>
                  </w:pPr>
                  <w:r>
                    <w:rPr>
                      <w:snapToGrid w:val="0"/>
                      <w:color w:val="auto"/>
                    </w:rPr>
                    <w:t>危险废物</w:t>
                  </w:r>
                </w:p>
                <w:p>
                  <w:pPr>
                    <w:pStyle w:val="49"/>
                    <w:rPr>
                      <w:snapToGrid w:val="0"/>
                      <w:color w:val="auto"/>
                    </w:rPr>
                  </w:pPr>
                  <w:r>
                    <w:rPr>
                      <w:snapToGrid w:val="0"/>
                      <w:color w:val="auto"/>
                    </w:rPr>
                    <w:t>名称</w:t>
                  </w:r>
                </w:p>
              </w:tc>
              <w:tc>
                <w:tcPr>
                  <w:tcW w:w="525" w:type="pct"/>
                  <w:shd w:val="clear" w:color="auto" w:fill="auto"/>
                  <w:vAlign w:val="center"/>
                </w:tcPr>
                <w:p>
                  <w:pPr>
                    <w:pStyle w:val="49"/>
                    <w:rPr>
                      <w:snapToGrid w:val="0"/>
                      <w:color w:val="auto"/>
                    </w:rPr>
                  </w:pPr>
                  <w:r>
                    <w:rPr>
                      <w:snapToGrid w:val="0"/>
                      <w:color w:val="auto"/>
                    </w:rPr>
                    <w:t>位置</w:t>
                  </w:r>
                </w:p>
              </w:tc>
              <w:tc>
                <w:tcPr>
                  <w:tcW w:w="525" w:type="pct"/>
                  <w:shd w:val="clear" w:color="auto" w:fill="auto"/>
                  <w:vAlign w:val="center"/>
                </w:tcPr>
                <w:p>
                  <w:pPr>
                    <w:pStyle w:val="49"/>
                    <w:rPr>
                      <w:snapToGrid w:val="0"/>
                      <w:color w:val="auto"/>
                      <w:sz w:val="14"/>
                    </w:rPr>
                  </w:pPr>
                  <w:r>
                    <w:rPr>
                      <w:rFonts w:hint="eastAsia"/>
                      <w:snapToGrid w:val="0"/>
                      <w:color w:val="auto"/>
                      <w:lang w:val="en-US" w:eastAsia="zh-CN"/>
                    </w:rPr>
                    <w:t>建筑</w:t>
                  </w:r>
                  <w:r>
                    <w:rPr>
                      <w:snapToGrid w:val="0"/>
                      <w:color w:val="auto"/>
                    </w:rPr>
                    <w:t>面积m</w:t>
                  </w:r>
                  <w:r>
                    <w:rPr>
                      <w:snapToGrid w:val="0"/>
                      <w:color w:val="auto"/>
                      <w:position w:val="7"/>
                      <w:sz w:val="14"/>
                    </w:rPr>
                    <w:t>2</w:t>
                  </w:r>
                </w:p>
              </w:tc>
              <w:tc>
                <w:tcPr>
                  <w:tcW w:w="791" w:type="pct"/>
                  <w:shd w:val="clear" w:color="auto" w:fill="auto"/>
                  <w:vAlign w:val="center"/>
                </w:tcPr>
                <w:p>
                  <w:pPr>
                    <w:pStyle w:val="49"/>
                    <w:rPr>
                      <w:snapToGrid w:val="0"/>
                      <w:color w:val="auto"/>
                    </w:rPr>
                  </w:pPr>
                  <w:r>
                    <w:rPr>
                      <w:snapToGrid w:val="0"/>
                      <w:color w:val="auto"/>
                    </w:rPr>
                    <w:t>贮存方式</w:t>
                  </w:r>
                </w:p>
              </w:tc>
              <w:tc>
                <w:tcPr>
                  <w:tcW w:w="427" w:type="pct"/>
                  <w:shd w:val="clear" w:color="auto" w:fill="auto"/>
                  <w:vAlign w:val="center"/>
                </w:tcPr>
                <w:p>
                  <w:pPr>
                    <w:pStyle w:val="49"/>
                    <w:rPr>
                      <w:snapToGrid w:val="0"/>
                      <w:color w:val="auto"/>
                    </w:rPr>
                  </w:pPr>
                  <w:r>
                    <w:rPr>
                      <w:snapToGrid w:val="0"/>
                      <w:color w:val="auto"/>
                    </w:rPr>
                    <w:t>贮存能力t</w:t>
                  </w:r>
                </w:p>
              </w:tc>
              <w:tc>
                <w:tcPr>
                  <w:tcW w:w="604" w:type="pct"/>
                  <w:shd w:val="clear" w:color="auto" w:fill="auto"/>
                  <w:vAlign w:val="center"/>
                </w:tcPr>
                <w:p>
                  <w:pPr>
                    <w:pStyle w:val="49"/>
                    <w:rPr>
                      <w:snapToGrid w:val="0"/>
                      <w:color w:val="auto"/>
                    </w:rPr>
                  </w:pPr>
                  <w:r>
                    <w:rPr>
                      <w:snapToGrid w:val="0"/>
                      <w:color w:val="auto"/>
                    </w:rPr>
                    <w:t>贮存</w:t>
                  </w:r>
                </w:p>
                <w:p>
                  <w:pPr>
                    <w:pStyle w:val="49"/>
                    <w:rPr>
                      <w:snapToGrid w:val="0"/>
                      <w:color w:val="auto"/>
                    </w:rPr>
                  </w:pPr>
                  <w:r>
                    <w:rPr>
                      <w:snapToGrid w:val="0"/>
                      <w:color w:val="auto"/>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snapToGrid w:val="0"/>
                      <w:color w:val="auto"/>
                    </w:rPr>
                  </w:pPr>
                  <w:r>
                    <w:rPr>
                      <w:snapToGrid w:val="0"/>
                      <w:color w:val="auto"/>
                    </w:rPr>
                    <w:t>1</w:t>
                  </w:r>
                </w:p>
              </w:tc>
              <w:tc>
                <w:tcPr>
                  <w:tcW w:w="897" w:type="pct"/>
                  <w:shd w:val="clear" w:color="auto" w:fill="auto"/>
                  <w:vAlign w:val="center"/>
                </w:tcPr>
                <w:p>
                  <w:pPr>
                    <w:pStyle w:val="49"/>
                    <w:rPr>
                      <w:snapToGrid w:val="0"/>
                      <w:color w:val="auto"/>
                    </w:rPr>
                  </w:pPr>
                  <w:r>
                    <w:rPr>
                      <w:snapToGrid w:val="0"/>
                      <w:color w:val="auto"/>
                    </w:rPr>
                    <w:t>废蓄电池</w:t>
                  </w:r>
                </w:p>
                <w:p>
                  <w:pPr>
                    <w:pStyle w:val="49"/>
                    <w:rPr>
                      <w:snapToGrid w:val="0"/>
                      <w:color w:val="auto"/>
                    </w:rPr>
                  </w:pPr>
                  <w:r>
                    <w:rPr>
                      <w:snapToGrid w:val="0"/>
                      <w:color w:val="auto"/>
                    </w:rPr>
                    <w:t>存储区</w:t>
                  </w:r>
                </w:p>
              </w:tc>
              <w:tc>
                <w:tcPr>
                  <w:tcW w:w="877" w:type="pct"/>
                  <w:shd w:val="clear" w:color="auto" w:fill="auto"/>
                  <w:vAlign w:val="center"/>
                </w:tcPr>
                <w:p>
                  <w:pPr>
                    <w:pStyle w:val="49"/>
                    <w:rPr>
                      <w:snapToGrid w:val="0"/>
                      <w:color w:val="auto"/>
                    </w:rPr>
                  </w:pPr>
                  <w:r>
                    <w:rPr>
                      <w:snapToGrid w:val="0"/>
                      <w:color w:val="auto"/>
                    </w:rPr>
                    <w:t>废蓄电池</w:t>
                  </w:r>
                </w:p>
              </w:tc>
              <w:tc>
                <w:tcPr>
                  <w:tcW w:w="525" w:type="pct"/>
                  <w:vMerge w:val="restart"/>
                  <w:shd w:val="clear" w:color="auto" w:fill="auto"/>
                  <w:vAlign w:val="center"/>
                </w:tcPr>
                <w:p>
                  <w:pPr>
                    <w:pStyle w:val="49"/>
                    <w:rPr>
                      <w:rFonts w:hint="eastAsia" w:eastAsia="宋体"/>
                      <w:snapToGrid w:val="0"/>
                      <w:color w:val="auto"/>
                      <w:lang w:eastAsia="zh-CN"/>
                    </w:rPr>
                  </w:pPr>
                  <w:r>
                    <w:rPr>
                      <w:rFonts w:hint="eastAsia"/>
                      <w:snapToGrid w:val="0"/>
                      <w:color w:val="auto"/>
                      <w:lang w:eastAsia="zh-CN"/>
                    </w:rPr>
                    <w:t>危险废物贮存库</w:t>
                  </w:r>
                </w:p>
              </w:tc>
              <w:tc>
                <w:tcPr>
                  <w:tcW w:w="525" w:type="pct"/>
                  <w:vMerge w:val="restart"/>
                  <w:shd w:val="clear" w:color="auto" w:fill="auto"/>
                  <w:vAlign w:val="center"/>
                </w:tcPr>
                <w:p>
                  <w:pPr>
                    <w:pStyle w:val="49"/>
                    <w:rPr>
                      <w:rFonts w:hint="default" w:eastAsia="宋体"/>
                      <w:snapToGrid w:val="0"/>
                      <w:color w:val="auto"/>
                      <w:lang w:val="en-US" w:eastAsia="zh-CN"/>
                    </w:rPr>
                  </w:pPr>
                  <w:r>
                    <w:rPr>
                      <w:rFonts w:hint="eastAsia"/>
                      <w:snapToGrid w:val="0"/>
                      <w:color w:val="auto"/>
                      <w:lang w:val="en-US" w:eastAsia="zh-CN"/>
                    </w:rPr>
                    <w:t>50</w:t>
                  </w:r>
                </w:p>
              </w:tc>
              <w:tc>
                <w:tcPr>
                  <w:tcW w:w="791" w:type="pct"/>
                  <w:shd w:val="clear" w:color="auto" w:fill="auto"/>
                  <w:vAlign w:val="center"/>
                </w:tcPr>
                <w:p>
                  <w:pPr>
                    <w:pStyle w:val="49"/>
                    <w:rPr>
                      <w:snapToGrid w:val="0"/>
                      <w:color w:val="auto"/>
                    </w:rPr>
                  </w:pPr>
                  <w:r>
                    <w:rPr>
                      <w:snapToGrid w:val="0"/>
                      <w:color w:val="auto"/>
                    </w:rPr>
                    <w:t>单独存放</w:t>
                  </w:r>
                </w:p>
              </w:tc>
              <w:tc>
                <w:tcPr>
                  <w:tcW w:w="427" w:type="pct"/>
                  <w:shd w:val="clear" w:color="auto" w:fill="auto"/>
                  <w:vAlign w:val="center"/>
                </w:tcPr>
                <w:p>
                  <w:pPr>
                    <w:pStyle w:val="49"/>
                    <w:rPr>
                      <w:rFonts w:hint="default" w:eastAsia="宋体"/>
                      <w:snapToGrid w:val="0"/>
                      <w:color w:val="auto"/>
                      <w:lang w:val="en-US" w:eastAsia="zh-CN"/>
                    </w:rPr>
                  </w:pPr>
                  <w:r>
                    <w:rPr>
                      <w:rFonts w:hint="eastAsia"/>
                      <w:snapToGrid w:val="0"/>
                      <w:color w:val="auto"/>
                      <w:lang w:val="en-US" w:eastAsia="zh-CN"/>
                    </w:rPr>
                    <w:t>1</w:t>
                  </w:r>
                </w:p>
              </w:tc>
              <w:tc>
                <w:tcPr>
                  <w:tcW w:w="604" w:type="pct"/>
                  <w:shd w:val="clear" w:color="auto" w:fill="auto"/>
                  <w:vAlign w:val="center"/>
                </w:tcPr>
                <w:p>
                  <w:pPr>
                    <w:pStyle w:val="49"/>
                    <w:rPr>
                      <w:snapToGrid w:val="0"/>
                      <w:color w:val="auto"/>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snapToGrid w:val="0"/>
                      <w:color w:val="auto"/>
                    </w:rPr>
                  </w:pPr>
                  <w:r>
                    <w:rPr>
                      <w:snapToGrid w:val="0"/>
                      <w:color w:val="auto"/>
                    </w:rPr>
                    <w:t>2</w:t>
                  </w:r>
                </w:p>
              </w:tc>
              <w:tc>
                <w:tcPr>
                  <w:tcW w:w="897" w:type="pct"/>
                  <w:shd w:val="clear" w:color="auto" w:fill="auto"/>
                  <w:vAlign w:val="center"/>
                </w:tcPr>
                <w:p>
                  <w:pPr>
                    <w:pStyle w:val="49"/>
                    <w:rPr>
                      <w:rFonts w:hint="default" w:eastAsia="宋体"/>
                      <w:snapToGrid w:val="0"/>
                      <w:color w:val="auto"/>
                      <w:sz w:val="2"/>
                      <w:szCs w:val="2"/>
                      <w:lang w:val="en-US" w:eastAsia="zh-CN"/>
                    </w:rPr>
                  </w:pPr>
                  <w:r>
                    <w:rPr>
                      <w:snapToGrid w:val="0"/>
                      <w:color w:val="auto"/>
                    </w:rPr>
                    <w:t>废油液专用</w:t>
                  </w:r>
                  <w:r>
                    <w:rPr>
                      <w:rFonts w:hint="eastAsia"/>
                      <w:snapToGrid w:val="0"/>
                      <w:color w:val="auto"/>
                      <w:lang w:val="en-US" w:eastAsia="zh-CN"/>
                    </w:rPr>
                    <w:t>密闭容器</w:t>
                  </w:r>
                </w:p>
              </w:tc>
              <w:tc>
                <w:tcPr>
                  <w:tcW w:w="877" w:type="pct"/>
                  <w:shd w:val="clear" w:color="auto" w:fill="auto"/>
                  <w:vAlign w:val="center"/>
                </w:tcPr>
                <w:p>
                  <w:pPr>
                    <w:pStyle w:val="49"/>
                    <w:rPr>
                      <w:snapToGrid w:val="0"/>
                      <w:color w:val="auto"/>
                    </w:rPr>
                  </w:pPr>
                  <w:r>
                    <w:rPr>
                      <w:snapToGrid w:val="0"/>
                      <w:color w:val="auto"/>
                    </w:rPr>
                    <w:t>废油液</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snapToGrid w:val="0"/>
                      <w:color w:val="auto"/>
                    </w:rPr>
                  </w:pPr>
                  <w:r>
                    <w:rPr>
                      <w:snapToGrid w:val="0"/>
                      <w:color w:val="auto"/>
                    </w:rPr>
                    <w:t>罐装</w:t>
                  </w:r>
                </w:p>
              </w:tc>
              <w:tc>
                <w:tcPr>
                  <w:tcW w:w="427" w:type="pct"/>
                  <w:shd w:val="clear" w:color="auto" w:fill="auto"/>
                  <w:vAlign w:val="center"/>
                </w:tcPr>
                <w:p>
                  <w:pPr>
                    <w:pStyle w:val="49"/>
                    <w:rPr>
                      <w:rFonts w:hint="default"/>
                      <w:snapToGrid w:val="0"/>
                      <w:color w:val="auto"/>
                      <w:lang w:val="en-US"/>
                    </w:rPr>
                  </w:pPr>
                  <w:r>
                    <w:rPr>
                      <w:rFonts w:hint="eastAsia"/>
                      <w:snapToGrid w:val="0"/>
                      <w:color w:val="auto"/>
                      <w:lang w:val="en-US" w:eastAsia="zh-CN"/>
                    </w:rPr>
                    <w:t>1</w:t>
                  </w:r>
                </w:p>
              </w:tc>
              <w:tc>
                <w:tcPr>
                  <w:tcW w:w="604" w:type="pct"/>
                  <w:shd w:val="clear" w:color="auto" w:fill="auto"/>
                  <w:vAlign w:val="center"/>
                </w:tcPr>
                <w:p>
                  <w:pPr>
                    <w:pStyle w:val="49"/>
                    <w:rPr>
                      <w:snapToGrid w:val="0"/>
                      <w:color w:val="auto"/>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snapToGrid w:val="0"/>
                      <w:color w:val="auto"/>
                    </w:rPr>
                  </w:pPr>
                  <w:r>
                    <w:rPr>
                      <w:snapToGrid w:val="0"/>
                      <w:color w:val="auto"/>
                    </w:rPr>
                    <w:t>3</w:t>
                  </w:r>
                </w:p>
              </w:tc>
              <w:tc>
                <w:tcPr>
                  <w:tcW w:w="897" w:type="pct"/>
                  <w:shd w:val="clear" w:color="auto" w:fill="auto"/>
                  <w:vAlign w:val="center"/>
                </w:tcPr>
                <w:p>
                  <w:pPr>
                    <w:pStyle w:val="49"/>
                    <w:rPr>
                      <w:bCs/>
                      <w:color w:val="auto"/>
                      <w:szCs w:val="21"/>
                    </w:rPr>
                  </w:pPr>
                  <w:r>
                    <w:rPr>
                      <w:bCs/>
                      <w:color w:val="auto"/>
                      <w:szCs w:val="21"/>
                    </w:rPr>
                    <w:t>废电容器</w:t>
                  </w:r>
                </w:p>
                <w:p>
                  <w:pPr>
                    <w:pStyle w:val="49"/>
                    <w:rPr>
                      <w:snapToGrid w:val="0"/>
                      <w:color w:val="auto"/>
                    </w:rPr>
                  </w:pPr>
                  <w:r>
                    <w:rPr>
                      <w:bCs/>
                      <w:color w:val="auto"/>
                      <w:szCs w:val="21"/>
                    </w:rPr>
                    <w:t>存储区</w:t>
                  </w:r>
                </w:p>
              </w:tc>
              <w:tc>
                <w:tcPr>
                  <w:tcW w:w="877" w:type="pct"/>
                  <w:shd w:val="clear" w:color="auto" w:fill="auto"/>
                  <w:vAlign w:val="center"/>
                </w:tcPr>
                <w:p>
                  <w:pPr>
                    <w:pStyle w:val="49"/>
                    <w:rPr>
                      <w:snapToGrid w:val="0"/>
                      <w:color w:val="auto"/>
                    </w:rPr>
                  </w:pPr>
                  <w:r>
                    <w:rPr>
                      <w:snapToGrid w:val="0"/>
                      <w:color w:val="auto"/>
                    </w:rPr>
                    <w:t>废电容器</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snapToGrid w:val="0"/>
                      <w:color w:val="auto"/>
                    </w:rPr>
                  </w:pPr>
                  <w:r>
                    <w:rPr>
                      <w:color w:val="auto"/>
                    </w:rPr>
                    <w:t>罐装</w:t>
                  </w:r>
                </w:p>
              </w:tc>
              <w:tc>
                <w:tcPr>
                  <w:tcW w:w="427" w:type="pct"/>
                  <w:shd w:val="clear" w:color="auto" w:fill="auto"/>
                  <w:vAlign w:val="center"/>
                </w:tcPr>
                <w:p>
                  <w:pPr>
                    <w:pStyle w:val="49"/>
                    <w:rPr>
                      <w:rFonts w:hint="eastAsia" w:eastAsia="宋体"/>
                      <w:snapToGrid w:val="0"/>
                      <w:color w:val="auto"/>
                      <w:lang w:eastAsia="zh-CN"/>
                    </w:rPr>
                  </w:pPr>
                  <w:r>
                    <w:rPr>
                      <w:color w:val="auto"/>
                    </w:rPr>
                    <w:t>0.</w:t>
                  </w:r>
                  <w:r>
                    <w:rPr>
                      <w:rFonts w:hint="eastAsia"/>
                      <w:color w:val="auto"/>
                      <w:lang w:val="en-US" w:eastAsia="zh-CN"/>
                    </w:rPr>
                    <w:t>5</w:t>
                  </w:r>
                </w:p>
              </w:tc>
              <w:tc>
                <w:tcPr>
                  <w:tcW w:w="604" w:type="pct"/>
                  <w:shd w:val="clear" w:color="auto" w:fill="auto"/>
                  <w:vAlign w:val="center"/>
                </w:tcPr>
                <w:p>
                  <w:pPr>
                    <w:pStyle w:val="49"/>
                    <w:rPr>
                      <w:snapToGrid w:val="0"/>
                      <w:color w:val="auto"/>
                    </w:rPr>
                  </w:pPr>
                  <w:r>
                    <w:rPr>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snapToGrid w:val="0"/>
                      <w:color w:val="auto"/>
                    </w:rPr>
                  </w:pPr>
                  <w:r>
                    <w:rPr>
                      <w:snapToGrid w:val="0"/>
                      <w:color w:val="auto"/>
                    </w:rPr>
                    <w:t>4</w:t>
                  </w:r>
                </w:p>
              </w:tc>
              <w:tc>
                <w:tcPr>
                  <w:tcW w:w="897" w:type="pct"/>
                  <w:shd w:val="clear" w:color="auto" w:fill="auto"/>
                  <w:vAlign w:val="center"/>
                </w:tcPr>
                <w:p>
                  <w:pPr>
                    <w:pStyle w:val="49"/>
                    <w:rPr>
                      <w:snapToGrid w:val="0"/>
                      <w:color w:val="auto"/>
                    </w:rPr>
                  </w:pPr>
                  <w:r>
                    <w:rPr>
                      <w:snapToGrid w:val="0"/>
                      <w:color w:val="auto"/>
                    </w:rPr>
                    <w:t>废防冻液</w:t>
                  </w:r>
                </w:p>
                <w:p>
                  <w:pPr>
                    <w:pStyle w:val="49"/>
                    <w:rPr>
                      <w:b/>
                      <w:bCs/>
                      <w:snapToGrid w:val="0"/>
                      <w:color w:val="auto"/>
                      <w:sz w:val="2"/>
                      <w:szCs w:val="2"/>
                    </w:rPr>
                  </w:pPr>
                  <w:r>
                    <w:rPr>
                      <w:snapToGrid w:val="0"/>
                      <w:color w:val="auto"/>
                    </w:rPr>
                    <w:t>专用储罐</w:t>
                  </w:r>
                </w:p>
              </w:tc>
              <w:tc>
                <w:tcPr>
                  <w:tcW w:w="877" w:type="pct"/>
                  <w:shd w:val="clear" w:color="auto" w:fill="auto"/>
                  <w:vAlign w:val="center"/>
                </w:tcPr>
                <w:p>
                  <w:pPr>
                    <w:pStyle w:val="49"/>
                    <w:rPr>
                      <w:snapToGrid w:val="0"/>
                      <w:color w:val="auto"/>
                    </w:rPr>
                  </w:pPr>
                  <w:r>
                    <w:rPr>
                      <w:snapToGrid w:val="0"/>
                      <w:color w:val="auto"/>
                    </w:rPr>
                    <w:t>废防冻液</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snapToGrid w:val="0"/>
                      <w:color w:val="auto"/>
                    </w:rPr>
                  </w:pPr>
                  <w:r>
                    <w:rPr>
                      <w:snapToGrid w:val="0"/>
                      <w:color w:val="auto"/>
                    </w:rPr>
                    <w:t>罐装</w:t>
                  </w:r>
                </w:p>
              </w:tc>
              <w:tc>
                <w:tcPr>
                  <w:tcW w:w="427" w:type="pct"/>
                  <w:shd w:val="clear" w:color="auto" w:fill="auto"/>
                  <w:vAlign w:val="center"/>
                </w:tcPr>
                <w:p>
                  <w:pPr>
                    <w:pStyle w:val="49"/>
                    <w:rPr>
                      <w:rFonts w:hint="eastAsia" w:eastAsia="宋体"/>
                      <w:snapToGrid w:val="0"/>
                      <w:color w:val="auto"/>
                      <w:lang w:eastAsia="zh-CN"/>
                    </w:rPr>
                  </w:pPr>
                  <w:r>
                    <w:rPr>
                      <w:rFonts w:hint="eastAsia"/>
                      <w:snapToGrid w:val="0"/>
                      <w:color w:val="auto"/>
                      <w:lang w:val="en-US" w:eastAsia="zh-CN"/>
                    </w:rPr>
                    <w:t>1</w:t>
                  </w:r>
                </w:p>
              </w:tc>
              <w:tc>
                <w:tcPr>
                  <w:tcW w:w="604" w:type="pct"/>
                  <w:shd w:val="clear" w:color="auto" w:fill="auto"/>
                  <w:vAlign w:val="center"/>
                </w:tcPr>
                <w:p>
                  <w:pPr>
                    <w:pStyle w:val="49"/>
                    <w:rPr>
                      <w:snapToGrid w:val="0"/>
                      <w:color w:val="auto"/>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5</w:t>
                  </w:r>
                </w:p>
              </w:tc>
              <w:tc>
                <w:tcPr>
                  <w:tcW w:w="897" w:type="pct"/>
                  <w:shd w:val="clear" w:color="auto" w:fill="auto"/>
                  <w:vAlign w:val="center"/>
                </w:tcPr>
                <w:p>
                  <w:pPr>
                    <w:pStyle w:val="49"/>
                    <w:rPr>
                      <w:rFonts w:hint="default"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专用储存桶</w:t>
                  </w:r>
                </w:p>
              </w:tc>
              <w:tc>
                <w:tcPr>
                  <w:tcW w:w="877" w:type="pct"/>
                  <w:shd w:val="clear" w:color="auto" w:fill="auto"/>
                  <w:vAlign w:val="center"/>
                </w:tcPr>
                <w:p>
                  <w:pPr>
                    <w:pStyle w:val="49"/>
                    <w:rPr>
                      <w:rFonts w:ascii="Times New Roman" w:hAnsi="Times New Roman" w:eastAsia="宋体" w:cs="Times New Roman"/>
                      <w:snapToGrid w:val="0"/>
                      <w:color w:val="auto"/>
                      <w:kern w:val="2"/>
                      <w:sz w:val="21"/>
                      <w:szCs w:val="24"/>
                      <w:lang w:val="en-US" w:eastAsia="zh-CN" w:bidi="ar-SA"/>
                    </w:rPr>
                  </w:pPr>
                  <w:r>
                    <w:rPr>
                      <w:rFonts w:hint="eastAsia"/>
                      <w:snapToGrid w:val="0"/>
                      <w:color w:val="auto"/>
                    </w:rPr>
                    <w:t>沾有油污的手套、抹布、废墩布</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rFonts w:ascii="Times New Roman" w:hAnsi="Times New Roman" w:eastAsia="宋体" w:cs="Times New Roman"/>
                      <w:snapToGrid w:val="0"/>
                      <w:color w:val="auto"/>
                      <w:kern w:val="2"/>
                      <w:sz w:val="21"/>
                      <w:szCs w:val="24"/>
                      <w:lang w:val="en-US" w:eastAsia="zh-CN" w:bidi="ar-SA"/>
                    </w:rPr>
                  </w:pPr>
                  <w:r>
                    <w:rPr>
                      <w:rFonts w:hint="eastAsia" w:ascii="Times New Roman" w:hAnsi="Times New Roman" w:eastAsia="宋体" w:cs="Times New Roman"/>
                      <w:snapToGrid w:val="0"/>
                      <w:color w:val="auto"/>
                      <w:kern w:val="2"/>
                      <w:sz w:val="21"/>
                      <w:szCs w:val="24"/>
                      <w:lang w:val="en-US" w:eastAsia="zh-CN" w:bidi="ar-SA"/>
                    </w:rPr>
                    <w:t>桶装</w:t>
                  </w:r>
                </w:p>
              </w:tc>
              <w:tc>
                <w:tcPr>
                  <w:tcW w:w="427" w:type="pct"/>
                  <w:shd w:val="clear" w:color="auto" w:fill="auto"/>
                  <w:vAlign w:val="center"/>
                </w:tcPr>
                <w:p>
                  <w:pPr>
                    <w:pStyle w:val="49"/>
                    <w:rPr>
                      <w:rFonts w:hint="default" w:eastAsia="宋体"/>
                      <w:snapToGrid w:val="0"/>
                      <w:color w:val="auto"/>
                      <w:lang w:val="en-US" w:eastAsia="zh-CN"/>
                    </w:rPr>
                  </w:pPr>
                  <w:r>
                    <w:rPr>
                      <w:rFonts w:hint="eastAsia"/>
                      <w:snapToGrid w:val="0"/>
                      <w:color w:val="auto"/>
                      <w:lang w:val="en-US" w:eastAsia="zh-CN"/>
                    </w:rPr>
                    <w:t>0.05</w:t>
                  </w:r>
                </w:p>
              </w:tc>
              <w:tc>
                <w:tcPr>
                  <w:tcW w:w="604" w:type="pct"/>
                  <w:shd w:val="clear" w:color="auto" w:fill="auto"/>
                  <w:vAlign w:val="center"/>
                </w:tcPr>
                <w:p>
                  <w:pPr>
                    <w:pStyle w:val="49"/>
                    <w:rPr>
                      <w:rFonts w:ascii="Times New Roman" w:hAnsi="Times New Roman" w:eastAsia="宋体" w:cs="Times New Roman"/>
                      <w:snapToGrid w:val="0"/>
                      <w:color w:val="auto"/>
                      <w:kern w:val="2"/>
                      <w:sz w:val="21"/>
                      <w:szCs w:val="24"/>
                      <w:lang w:val="en-US" w:eastAsia="zh-CN" w:bidi="ar-SA"/>
                    </w:rPr>
                  </w:pPr>
                  <w:r>
                    <w:rPr>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6</w:t>
                  </w:r>
                </w:p>
              </w:tc>
              <w:tc>
                <w:tcPr>
                  <w:tcW w:w="897"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废活性炭专用桶</w:t>
                  </w:r>
                </w:p>
              </w:tc>
              <w:tc>
                <w:tcPr>
                  <w:tcW w:w="877" w:type="pct"/>
                  <w:shd w:val="clear" w:color="auto" w:fill="auto"/>
                  <w:vAlign w:val="center"/>
                </w:tcPr>
                <w:p>
                  <w:pPr>
                    <w:pStyle w:val="49"/>
                    <w:rPr>
                      <w:rFonts w:hint="eastAsia" w:ascii="Times New Roman" w:hAnsi="Times New Roman" w:eastAsia="宋体" w:cs="Times New Roman"/>
                      <w:snapToGrid w:val="0"/>
                      <w:color w:val="auto"/>
                      <w:kern w:val="2"/>
                      <w:sz w:val="21"/>
                      <w:szCs w:val="24"/>
                      <w:highlight w:val="none"/>
                      <w:lang w:val="en-US" w:eastAsia="zh-CN" w:bidi="ar-SA"/>
                    </w:rPr>
                  </w:pPr>
                  <w:r>
                    <w:rPr>
                      <w:rFonts w:hint="eastAsia"/>
                      <w:snapToGrid w:val="0"/>
                      <w:color w:val="auto"/>
                      <w:highlight w:val="none"/>
                      <w:lang w:val="en-US" w:eastAsia="zh-CN"/>
                    </w:rPr>
                    <w:t>废活性炭</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rPr>
                    <w:t>桶装</w:t>
                  </w:r>
                </w:p>
              </w:tc>
              <w:tc>
                <w:tcPr>
                  <w:tcW w:w="427"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0.2</w:t>
                  </w:r>
                </w:p>
              </w:tc>
              <w:tc>
                <w:tcPr>
                  <w:tcW w:w="604" w:type="pct"/>
                  <w:shd w:val="clear" w:color="auto" w:fill="auto"/>
                  <w:vAlign w:val="center"/>
                </w:tcPr>
                <w:p>
                  <w:pPr>
                    <w:pStyle w:val="49"/>
                    <w:rPr>
                      <w:rFonts w:ascii="Times New Roman" w:hAnsi="Times New Roman" w:eastAsia="宋体" w:cs="Times New Roman"/>
                      <w:snapToGrid w:val="0"/>
                      <w:color w:val="auto"/>
                      <w:kern w:val="2"/>
                      <w:sz w:val="21"/>
                      <w:szCs w:val="24"/>
                      <w:lang w:val="en-US" w:eastAsia="zh-CN" w:bidi="ar-SA"/>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pPr>
                    <w:pStyle w:val="49"/>
                    <w:rPr>
                      <w:rFonts w:hint="default" w:eastAsia="宋体"/>
                      <w:snapToGrid w:val="0"/>
                      <w:color w:val="auto"/>
                      <w:lang w:val="en-US" w:eastAsia="zh-CN"/>
                    </w:rPr>
                  </w:pPr>
                  <w:r>
                    <w:rPr>
                      <w:rFonts w:hint="eastAsia"/>
                      <w:snapToGrid w:val="0"/>
                      <w:color w:val="auto"/>
                      <w:lang w:val="en-US" w:eastAsia="zh-CN"/>
                    </w:rPr>
                    <w:t>7</w:t>
                  </w:r>
                </w:p>
              </w:tc>
              <w:tc>
                <w:tcPr>
                  <w:tcW w:w="897" w:type="pct"/>
                  <w:shd w:val="clear" w:color="auto" w:fill="auto"/>
                  <w:vAlign w:val="center"/>
                </w:tcPr>
                <w:p>
                  <w:pPr>
                    <w:pStyle w:val="49"/>
                    <w:rPr>
                      <w:rFonts w:hint="default"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专用储存桶</w:t>
                  </w:r>
                </w:p>
              </w:tc>
              <w:tc>
                <w:tcPr>
                  <w:tcW w:w="877" w:type="pct"/>
                  <w:shd w:val="clear" w:color="auto" w:fill="auto"/>
                  <w:vAlign w:val="center"/>
                </w:tcPr>
                <w:p>
                  <w:pPr>
                    <w:pStyle w:val="49"/>
                    <w:rPr>
                      <w:rFonts w:hint="eastAsia" w:eastAsia="宋体"/>
                      <w:snapToGrid w:val="0"/>
                      <w:color w:val="auto"/>
                      <w:highlight w:val="none"/>
                      <w:lang w:val="en-US" w:eastAsia="zh-CN"/>
                    </w:rPr>
                  </w:pPr>
                  <w:r>
                    <w:rPr>
                      <w:rFonts w:hint="eastAsia" w:eastAsia="宋体"/>
                      <w:snapToGrid w:val="0"/>
                      <w:color w:val="auto"/>
                      <w:highlight w:val="none"/>
                      <w:lang w:val="en-US" w:eastAsia="zh-CN"/>
                    </w:rPr>
                    <w:t>石棉废物</w:t>
                  </w:r>
                </w:p>
              </w:tc>
              <w:tc>
                <w:tcPr>
                  <w:tcW w:w="525" w:type="pct"/>
                  <w:vMerge w:val="continue"/>
                  <w:shd w:val="clear" w:color="auto" w:fill="auto"/>
                  <w:vAlign w:val="center"/>
                </w:tcPr>
                <w:p>
                  <w:pPr>
                    <w:pStyle w:val="49"/>
                    <w:rPr>
                      <w:snapToGrid w:val="0"/>
                      <w:color w:val="auto"/>
                      <w:sz w:val="2"/>
                      <w:szCs w:val="2"/>
                    </w:rPr>
                  </w:pPr>
                </w:p>
              </w:tc>
              <w:tc>
                <w:tcPr>
                  <w:tcW w:w="525" w:type="pct"/>
                  <w:vMerge w:val="continue"/>
                  <w:shd w:val="clear" w:color="auto" w:fill="auto"/>
                  <w:vAlign w:val="center"/>
                </w:tcPr>
                <w:p>
                  <w:pPr>
                    <w:pStyle w:val="49"/>
                    <w:rPr>
                      <w:snapToGrid w:val="0"/>
                      <w:color w:val="auto"/>
                      <w:sz w:val="2"/>
                      <w:szCs w:val="2"/>
                    </w:rPr>
                  </w:pPr>
                </w:p>
              </w:tc>
              <w:tc>
                <w:tcPr>
                  <w:tcW w:w="791" w:type="pct"/>
                  <w:shd w:val="clear" w:color="auto" w:fill="auto"/>
                  <w:vAlign w:val="center"/>
                </w:tcPr>
                <w:p>
                  <w:pPr>
                    <w:pStyle w:val="49"/>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rPr>
                    <w:t>桶装</w:t>
                  </w:r>
                </w:p>
              </w:tc>
              <w:tc>
                <w:tcPr>
                  <w:tcW w:w="427" w:type="pct"/>
                  <w:shd w:val="clear" w:color="auto" w:fill="auto"/>
                  <w:vAlign w:val="center"/>
                </w:tcPr>
                <w:p>
                  <w:pPr>
                    <w:pStyle w:val="49"/>
                    <w:rPr>
                      <w:rFonts w:hint="default"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0.2</w:t>
                  </w:r>
                </w:p>
              </w:tc>
              <w:tc>
                <w:tcPr>
                  <w:tcW w:w="604" w:type="pct"/>
                  <w:shd w:val="clear" w:color="auto" w:fill="auto"/>
                  <w:vAlign w:val="center"/>
                </w:tcPr>
                <w:p>
                  <w:pPr>
                    <w:pStyle w:val="49"/>
                    <w:rPr>
                      <w:rFonts w:ascii="Times New Roman" w:hAnsi="Times New Roman" w:eastAsia="宋体" w:cs="Times New Roman"/>
                      <w:snapToGrid w:val="0"/>
                      <w:color w:val="auto"/>
                      <w:kern w:val="2"/>
                      <w:sz w:val="21"/>
                      <w:szCs w:val="24"/>
                      <w:lang w:val="en-US" w:eastAsia="zh-CN" w:bidi="ar-SA"/>
                    </w:rPr>
                  </w:pPr>
                  <w:r>
                    <w:rPr>
                      <w:snapToGrid w:val="0"/>
                      <w:color w:val="auto"/>
                    </w:rPr>
                    <w:t>1个月</w:t>
                  </w:r>
                </w:p>
              </w:tc>
            </w:tr>
          </w:tbl>
          <w:p>
            <w:pPr>
              <w:pStyle w:val="75"/>
              <w:rPr>
                <w:color w:val="auto"/>
              </w:rPr>
            </w:pPr>
            <w:r>
              <w:rPr>
                <w:color w:val="auto"/>
              </w:rPr>
              <w:t>（5）危废暂存场所能力分析</w:t>
            </w:r>
          </w:p>
          <w:p>
            <w:pPr>
              <w:pStyle w:val="75"/>
              <w:rPr>
                <w:color w:val="auto"/>
              </w:rPr>
            </w:pPr>
            <w:r>
              <w:rPr>
                <w:color w:val="auto"/>
              </w:rPr>
              <w:t>本项目新建一座</w:t>
            </w:r>
            <w:r>
              <w:rPr>
                <w:rFonts w:hint="eastAsia"/>
                <w:color w:val="auto"/>
                <w:lang w:eastAsia="zh-CN"/>
              </w:rPr>
              <w:t>危险废物贮存库</w:t>
            </w:r>
            <w:r>
              <w:rPr>
                <w:color w:val="auto"/>
              </w:rPr>
              <w:t>，</w:t>
            </w:r>
            <w:r>
              <w:rPr>
                <w:rFonts w:hint="eastAsia"/>
                <w:color w:val="auto"/>
                <w:lang w:val="en-US" w:eastAsia="zh-CN"/>
              </w:rPr>
              <w:t>建筑</w:t>
            </w:r>
            <w:r>
              <w:rPr>
                <w:color w:val="auto"/>
              </w:rPr>
              <w:t>面积</w:t>
            </w:r>
            <w:r>
              <w:rPr>
                <w:rFonts w:hint="eastAsia"/>
                <w:color w:val="auto"/>
                <w:lang w:val="en-US" w:eastAsia="zh-CN"/>
              </w:rPr>
              <w:t>50</w:t>
            </w:r>
            <w:r>
              <w:rPr>
                <w:color w:val="auto"/>
              </w:rPr>
              <w:t>m</w:t>
            </w:r>
            <w:r>
              <w:rPr>
                <w:color w:val="auto"/>
                <w:vertAlign w:val="superscript"/>
              </w:rPr>
              <w:t>2</w:t>
            </w:r>
            <w:r>
              <w:rPr>
                <w:color w:val="auto"/>
              </w:rPr>
              <w:t>，可存储</w:t>
            </w:r>
            <w:r>
              <w:rPr>
                <w:rFonts w:hint="eastAsia"/>
                <w:color w:val="auto"/>
                <w:lang w:val="en-US" w:eastAsia="zh-CN"/>
              </w:rPr>
              <w:t>5.95</w:t>
            </w:r>
            <w:r>
              <w:rPr>
                <w:color w:val="auto"/>
              </w:rPr>
              <w:t>t危险废物，每</w:t>
            </w:r>
            <w:r>
              <w:rPr>
                <w:rFonts w:hint="eastAsia"/>
                <w:color w:val="auto"/>
                <w:lang w:val="en-US" w:eastAsia="zh-CN"/>
              </w:rPr>
              <w:t>30</w:t>
            </w:r>
            <w:r>
              <w:rPr>
                <w:color w:val="auto"/>
              </w:rPr>
              <w:t>天转运一次。危险废物进行分类堆放，不同危险废物堆放保持有一定的间距，不相容的危险废物堆放区必须有隔离区隔断，</w:t>
            </w:r>
            <w:r>
              <w:rPr>
                <w:color w:val="auto"/>
                <w:lang w:val="zh-CN"/>
              </w:rPr>
              <w:t>必须有泄漏液体收集装置、气体导出口及气体净化装置，</w:t>
            </w:r>
            <w:r>
              <w:rPr>
                <w:color w:val="auto"/>
              </w:rPr>
              <w:t>有明显的危险废物识别标志，</w:t>
            </w:r>
            <w:r>
              <w:rPr>
                <w:rFonts w:hint="eastAsia"/>
                <w:color w:val="auto"/>
                <w:lang w:eastAsia="zh-CN"/>
              </w:rPr>
              <w:t>危险废物贮存库</w:t>
            </w:r>
            <w:r>
              <w:rPr>
                <w:color w:val="auto"/>
              </w:rPr>
              <w:t>建设可以满足本项目需要。</w:t>
            </w:r>
          </w:p>
          <w:p>
            <w:pPr>
              <w:pStyle w:val="75"/>
              <w:rPr>
                <w:rFonts w:hint="eastAsia"/>
                <w:color w:val="auto"/>
              </w:rPr>
            </w:pPr>
            <w:r>
              <w:rPr>
                <w:rFonts w:hint="eastAsia"/>
                <w:color w:val="auto"/>
              </w:rPr>
              <w:t>综上所述，本项目产生的固体废物全部得到有效处置和综合利用，措施可行。</w:t>
            </w:r>
          </w:p>
          <w:p>
            <w:pPr>
              <w:pStyle w:val="82"/>
              <w:rPr>
                <w:color w:val="auto"/>
              </w:rPr>
            </w:pPr>
            <w:r>
              <w:rPr>
                <w:color w:val="auto"/>
              </w:rPr>
              <w:t>五、地下水环境影响分析</w:t>
            </w:r>
          </w:p>
          <w:p>
            <w:pPr>
              <w:pStyle w:val="82"/>
              <w:rPr>
                <w:color w:val="auto"/>
              </w:rPr>
            </w:pPr>
            <w:r>
              <w:rPr>
                <w:color w:val="auto"/>
              </w:rPr>
              <w:t>（一）污染源分析</w:t>
            </w:r>
          </w:p>
          <w:p>
            <w:pPr>
              <w:pStyle w:val="75"/>
              <w:rPr>
                <w:color w:val="auto"/>
              </w:rPr>
            </w:pPr>
            <w:r>
              <w:rPr>
                <w:snapToGrid w:val="0"/>
                <w:color w:val="auto"/>
                <w:szCs w:val="22"/>
              </w:rPr>
              <w:t>本项目为农业机械拆解项目，</w:t>
            </w:r>
            <w:r>
              <w:rPr>
                <w:color w:val="auto"/>
              </w:rPr>
              <w:t>可能对地下水产生影响的途径主要为：生活污水、危险废物暂存场所事故产生的各类污染物渗漏污染地下水体。</w:t>
            </w:r>
          </w:p>
          <w:p>
            <w:pPr>
              <w:pStyle w:val="75"/>
              <w:rPr>
                <w:snapToGrid w:val="0"/>
                <w:color w:val="auto"/>
              </w:rPr>
            </w:pPr>
            <w:r>
              <w:rPr>
                <w:snapToGrid w:val="0"/>
                <w:color w:val="auto"/>
              </w:rPr>
              <w:t>1、正常情况下地下水环境影响分析</w:t>
            </w:r>
          </w:p>
          <w:p>
            <w:pPr>
              <w:pStyle w:val="75"/>
              <w:rPr>
                <w:snapToGrid w:val="0"/>
                <w:color w:val="auto"/>
              </w:rPr>
            </w:pPr>
            <w:r>
              <w:rPr>
                <w:snapToGrid w:val="0"/>
                <w:color w:val="auto"/>
              </w:rPr>
              <w:t>项目区存在的可能污染地下水的物质主要为废油液，收集的废油液存储于包装桶内，包装桶置于托盘内，项目拆解车间、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等均进行防渗处理，因此，当包装桶破裂，废油液泄漏时可通过托盘得到收集，也可通过硬质防渗地面得以拦截，不会下渗污染地下水。项目拆解车间及</w:t>
            </w:r>
            <w:r>
              <w:rPr>
                <w:rFonts w:hint="eastAsia"/>
                <w:snapToGrid w:val="0"/>
                <w:color w:val="auto"/>
                <w:lang w:eastAsia="zh-CN"/>
              </w:rPr>
              <w:t>危险废物贮存库</w:t>
            </w:r>
            <w:r>
              <w:rPr>
                <w:snapToGrid w:val="0"/>
                <w:color w:val="auto"/>
              </w:rPr>
              <w:t>均已进行硬化及防渗处理，因此项目正常生产中无地下水污染途径，对项目区地下水环境影响较小。</w:t>
            </w:r>
          </w:p>
          <w:p>
            <w:pPr>
              <w:pStyle w:val="75"/>
              <w:rPr>
                <w:snapToGrid w:val="0"/>
                <w:color w:val="auto"/>
              </w:rPr>
            </w:pPr>
            <w:r>
              <w:rPr>
                <w:snapToGrid w:val="0"/>
                <w:color w:val="auto"/>
              </w:rPr>
              <w:t>2、非正常情况下地下水环境影响分析</w:t>
            </w:r>
          </w:p>
          <w:p>
            <w:pPr>
              <w:pStyle w:val="75"/>
              <w:rPr>
                <w:snapToGrid w:val="0"/>
                <w:color w:val="auto"/>
              </w:rPr>
            </w:pPr>
            <w:r>
              <w:rPr>
                <w:snapToGrid w:val="0"/>
                <w:color w:val="auto"/>
              </w:rPr>
              <w:t>根据场地水文地质条件，</w:t>
            </w:r>
            <w:r>
              <w:rPr>
                <w:rFonts w:hint="eastAsia"/>
                <w:snapToGrid w:val="0"/>
                <w:color w:val="auto"/>
                <w:lang w:eastAsia="zh-CN"/>
              </w:rPr>
              <w:t>危险废物贮存库</w:t>
            </w:r>
            <w:r>
              <w:rPr>
                <w:snapToGrid w:val="0"/>
                <w:color w:val="auto"/>
              </w:rPr>
              <w:t>、拆解车间若发生渗漏，有可能污染地下水环境，因此，项目地下水污染源主要有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pPr>
              <w:pStyle w:val="82"/>
              <w:rPr>
                <w:color w:val="auto"/>
              </w:rPr>
            </w:pPr>
            <w:r>
              <w:rPr>
                <w:color w:val="auto"/>
              </w:rPr>
              <w:t>（二）污染防治措施</w:t>
            </w:r>
          </w:p>
          <w:p>
            <w:pPr>
              <w:pStyle w:val="75"/>
              <w:rPr>
                <w:color w:val="auto"/>
              </w:rPr>
            </w:pPr>
            <w:r>
              <w:rPr>
                <w:color w:val="auto"/>
              </w:rPr>
              <w:t>本项目地下水污染防治措施应按照“源头控制、分区防控、污染监控、应急响应”相结合的原则，从污染物的产生、入渗、扩散、应急响应进行控制。</w:t>
            </w:r>
          </w:p>
          <w:p>
            <w:pPr>
              <w:pStyle w:val="75"/>
              <w:rPr>
                <w:color w:val="auto"/>
              </w:rPr>
            </w:pPr>
            <w:r>
              <w:rPr>
                <w:color w:val="auto"/>
              </w:rPr>
              <w:t>1、污染物源头控制措施</w:t>
            </w:r>
          </w:p>
          <w:p>
            <w:pPr>
              <w:pStyle w:val="75"/>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地下水造成的二次污染。</w:t>
            </w:r>
          </w:p>
          <w:p>
            <w:pPr>
              <w:pStyle w:val="75"/>
              <w:rPr>
                <w:color w:val="auto"/>
              </w:rPr>
            </w:pPr>
            <w:r>
              <w:rPr>
                <w:color w:val="auto"/>
              </w:rPr>
              <w:t>2、分区防渗措施</w:t>
            </w:r>
          </w:p>
          <w:p>
            <w:pPr>
              <w:pStyle w:val="75"/>
              <w:rPr>
                <w:color w:val="auto"/>
              </w:rPr>
            </w:pPr>
            <w:r>
              <w:rPr>
                <w:color w:val="auto"/>
              </w:rPr>
              <w:t>根据场地内各个污染源的特征，依据《环境影响评价技术导则 地下水环境》（HJ610-2016）相关要求，本次评价将厂区按各功能单元所处的位置划分为重点防渗区、一般防渗区、简单防渗区三类地下水污染防治区域</w:t>
            </w:r>
            <w:r>
              <w:rPr>
                <w:rFonts w:hint="eastAsia"/>
                <w:color w:val="auto"/>
              </w:rPr>
              <w:t>，见附图8</w:t>
            </w:r>
            <w:r>
              <w:rPr>
                <w:color w:val="auto"/>
              </w:rPr>
              <w:t>。</w:t>
            </w:r>
          </w:p>
          <w:p>
            <w:pPr>
              <w:pStyle w:val="75"/>
              <w:rPr>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color w:val="auto"/>
              </w:rPr>
              <w:t>建设严格按照</w:t>
            </w:r>
            <w:r>
              <w:rPr>
                <w:rFonts w:hint="eastAsia"/>
                <w:color w:val="auto"/>
                <w:lang w:eastAsia="zh-CN"/>
              </w:rPr>
              <w:t>《危险废物贮存污染控制标准》（GB18597-2023）</w:t>
            </w:r>
            <w:r>
              <w:rPr>
                <w:color w:val="auto"/>
              </w:rPr>
              <w:t>中相关规定进行设置，地面防渗、</w:t>
            </w:r>
            <w:r>
              <w:rPr>
                <w:rFonts w:hint="eastAsia"/>
                <w:color w:val="auto"/>
                <w:lang w:eastAsia="zh-CN"/>
              </w:rPr>
              <w:t>裙脚</w:t>
            </w:r>
            <w:r>
              <w:rPr>
                <w:color w:val="auto"/>
              </w:rPr>
              <w:t>防渗，防渗层为至少1米厚粘土层（渗透系数≤10</w:t>
            </w:r>
            <w:r>
              <w:rPr>
                <w:color w:val="auto"/>
                <w:vertAlign w:val="superscript"/>
              </w:rPr>
              <w:t>-7</w:t>
            </w:r>
            <w:r>
              <w:rPr>
                <w:color w:val="auto"/>
              </w:rPr>
              <w:t>cm/s），或2mm厚高密度聚乙烯</w:t>
            </w:r>
            <w:r>
              <w:rPr>
                <w:rFonts w:hint="eastAsia"/>
                <w:color w:val="auto"/>
              </w:rPr>
              <w:t>膜等人工防渗材料</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rPr>
              <w:t>。</w:t>
            </w:r>
          </w:p>
          <w:p>
            <w:pPr>
              <w:pStyle w:val="75"/>
              <w:rPr>
                <w:color w:val="auto"/>
              </w:rPr>
            </w:pPr>
            <w:r>
              <w:rPr>
                <w:rFonts w:hint="eastAsia" w:ascii="宋体" w:hAnsi="宋体" w:cs="宋体"/>
                <w:color w:val="auto"/>
              </w:rPr>
              <w:t>②</w:t>
            </w:r>
            <w:r>
              <w:rPr>
                <w:color w:val="auto"/>
              </w:rPr>
              <w:t>一般防渗区：包括拆解车间、</w:t>
            </w:r>
            <w:r>
              <w:rPr>
                <w:rFonts w:hint="eastAsia"/>
                <w:color w:val="auto"/>
              </w:rPr>
              <w:t>农机拆除成品半成品及零件贮存库</w:t>
            </w:r>
            <w:r>
              <w:rPr>
                <w:color w:val="auto"/>
              </w:rPr>
              <w:t>、待拆车辆贮存场地。采用防渗混凝土或HDPE膜进行防渗，其防渗技术要求可满足等效黏土防渗层Mb≥1.5m，K≤1×10</w:t>
            </w:r>
            <w:r>
              <w:rPr>
                <w:color w:val="auto"/>
                <w:vertAlign w:val="superscript"/>
              </w:rPr>
              <w:t>-7</w:t>
            </w:r>
            <w:r>
              <w:rPr>
                <w:color w:val="auto"/>
              </w:rPr>
              <w:t>cm/s的要求。</w:t>
            </w:r>
          </w:p>
          <w:p>
            <w:pPr>
              <w:pStyle w:val="75"/>
              <w:rPr>
                <w:b/>
                <w:bCs/>
                <w:color w:val="auto"/>
              </w:rPr>
            </w:pPr>
            <w:r>
              <w:rPr>
                <w:rFonts w:hint="eastAsia" w:ascii="宋体" w:hAnsi="宋体" w:cs="宋体"/>
                <w:color w:val="auto"/>
              </w:rPr>
              <w:t>③</w:t>
            </w:r>
            <w:r>
              <w:rPr>
                <w:color w:val="auto"/>
              </w:rPr>
              <w:t>简单防渗区：包括</w:t>
            </w:r>
            <w:r>
              <w:rPr>
                <w:rFonts w:hint="eastAsia"/>
                <w:color w:val="auto"/>
                <w:lang w:val="en-US" w:eastAsia="zh-CN"/>
              </w:rPr>
              <w:t>办公室、</w:t>
            </w:r>
            <w:r>
              <w:rPr>
                <w:color w:val="auto"/>
              </w:rPr>
              <w:t>厂区道路，进行一般地面水泥硬化。</w:t>
            </w:r>
          </w:p>
          <w:p>
            <w:pPr>
              <w:pStyle w:val="75"/>
              <w:rPr>
                <w:bCs/>
                <w:color w:val="auto"/>
              </w:rPr>
            </w:pPr>
            <w:r>
              <w:rPr>
                <w:color w:val="auto"/>
              </w:rPr>
              <w:t>企业需要在严格落实本环评提出的减缓措施的基础上，加强污染物源头控制，做好事故风险防范工作，做好厂内地面的硬化、防腐、防渗工作，特别是原料贮存、生产废水处理设施各单元、固废堆场的地面防渗工作，可有效控制厂区内废水污染物的下渗现象，则企业污染物不会对区域地下水环境造成明显影响。在采取以上措施后，本项目对周围地下水环境影响较小。</w:t>
            </w:r>
          </w:p>
          <w:p>
            <w:pPr>
              <w:pStyle w:val="82"/>
              <w:rPr>
                <w:color w:val="auto"/>
              </w:rPr>
            </w:pPr>
            <w:r>
              <w:rPr>
                <w:color w:val="auto"/>
              </w:rPr>
              <w:t>六、土壤影响分析</w:t>
            </w:r>
          </w:p>
          <w:p>
            <w:pPr>
              <w:pStyle w:val="82"/>
              <w:rPr>
                <w:color w:val="auto"/>
              </w:rPr>
            </w:pPr>
            <w:r>
              <w:rPr>
                <w:color w:val="auto"/>
              </w:rPr>
              <w:t>（一）污染源分析</w:t>
            </w:r>
          </w:p>
          <w:p>
            <w:pPr>
              <w:pStyle w:val="75"/>
              <w:rPr>
                <w:color w:val="auto"/>
              </w:rPr>
            </w:pPr>
            <w:r>
              <w:rPr>
                <w:color w:val="auto"/>
              </w:rPr>
              <w:t>本项目产生的污染物为不需要考虑大气沉降、地表径流及垂直入渗的污染物质，故无需单独开展土壤评价，只对土壤进行简单分析。</w:t>
            </w:r>
          </w:p>
          <w:p>
            <w:pPr>
              <w:pStyle w:val="75"/>
              <w:rPr>
                <w:color w:val="auto"/>
              </w:rPr>
            </w:pPr>
            <w:r>
              <w:rPr>
                <w:color w:val="auto"/>
              </w:rPr>
              <w:t>对土壤污染造成污染源主要为各类池体，如不采取合理的保护措施，则存在一定的土壤污染风险，因此建设单位必须加强对各工段产生的废气采取严格的防治措施后，实际污染物排放量较小，因此预计不会对周围环境产生污染。</w:t>
            </w:r>
          </w:p>
          <w:p>
            <w:pPr>
              <w:pStyle w:val="75"/>
              <w:rPr>
                <w:snapToGrid w:val="0"/>
                <w:color w:val="auto"/>
              </w:rPr>
            </w:pPr>
            <w:r>
              <w:rPr>
                <w:snapToGrid w:val="0"/>
                <w:color w:val="auto"/>
              </w:rPr>
              <w:t>1、正常情况下土壤环境影响分析</w:t>
            </w:r>
          </w:p>
          <w:p>
            <w:pPr>
              <w:pStyle w:val="75"/>
              <w:rPr>
                <w:snapToGrid w:val="0"/>
                <w:color w:val="auto"/>
              </w:rPr>
            </w:pPr>
            <w:r>
              <w:rPr>
                <w:snapToGrid w:val="0"/>
                <w:color w:val="auto"/>
              </w:rPr>
              <w:t>项目区存在的可能污染土壤的物质主要为废油液，收集的废油液存储于包装桶内，包装桶置于托盘内，项目拆解车间、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等均进行防渗处理，因此，当包装桶破裂，废油液泄漏时可通过托盘得到收集，也可通过硬质防渗地面得以拦截，不会下渗污染土壤。项目拆解车间及</w:t>
            </w:r>
            <w:r>
              <w:rPr>
                <w:rFonts w:hint="eastAsia"/>
                <w:snapToGrid w:val="0"/>
                <w:color w:val="auto"/>
                <w:lang w:eastAsia="zh-CN"/>
              </w:rPr>
              <w:t>危险废物贮存库</w:t>
            </w:r>
            <w:r>
              <w:rPr>
                <w:snapToGrid w:val="0"/>
                <w:color w:val="auto"/>
              </w:rPr>
              <w:t>均已进行硬化及防渗处理，因此项目正常生产中无土壤污染途径，对项目区土壤环境影响较小。</w:t>
            </w:r>
          </w:p>
          <w:p>
            <w:pPr>
              <w:pStyle w:val="75"/>
              <w:rPr>
                <w:snapToGrid w:val="0"/>
                <w:color w:val="auto"/>
              </w:rPr>
            </w:pPr>
            <w:r>
              <w:rPr>
                <w:snapToGrid w:val="0"/>
                <w:color w:val="auto"/>
              </w:rPr>
              <w:t>2、非正常情况下土壤环境影响分析</w:t>
            </w:r>
          </w:p>
          <w:p>
            <w:pPr>
              <w:pStyle w:val="75"/>
              <w:rPr>
                <w:snapToGrid w:val="0"/>
                <w:color w:val="auto"/>
              </w:rPr>
            </w:pPr>
            <w:r>
              <w:rPr>
                <w:snapToGrid w:val="0"/>
                <w:color w:val="auto"/>
              </w:rPr>
              <w:t>若</w:t>
            </w:r>
            <w:r>
              <w:rPr>
                <w:rFonts w:hint="eastAsia"/>
                <w:snapToGrid w:val="0"/>
                <w:color w:val="auto"/>
                <w:lang w:eastAsia="zh-CN"/>
              </w:rPr>
              <w:t>危险废物贮存库</w:t>
            </w:r>
            <w:r>
              <w:rPr>
                <w:snapToGrid w:val="0"/>
                <w:color w:val="auto"/>
              </w:rPr>
              <w:t>、拆解车间发生渗漏，有可能污染土壤环境。因此，项目土壤污染源主要有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pPr>
              <w:pStyle w:val="82"/>
              <w:rPr>
                <w:snapToGrid w:val="0"/>
                <w:color w:val="auto"/>
              </w:rPr>
            </w:pPr>
            <w:r>
              <w:rPr>
                <w:snapToGrid w:val="0"/>
                <w:color w:val="auto"/>
              </w:rPr>
              <w:t>（二）污染防治措施</w:t>
            </w:r>
          </w:p>
          <w:p>
            <w:pPr>
              <w:pStyle w:val="75"/>
              <w:rPr>
                <w:color w:val="auto"/>
              </w:rPr>
            </w:pPr>
            <w:r>
              <w:rPr>
                <w:color w:val="auto"/>
              </w:rPr>
              <w:t>1、污染物源头控制措施</w:t>
            </w:r>
          </w:p>
          <w:p>
            <w:pPr>
              <w:pStyle w:val="75"/>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土壤造成的二次污染。</w:t>
            </w:r>
          </w:p>
          <w:p>
            <w:pPr>
              <w:pStyle w:val="75"/>
              <w:rPr>
                <w:color w:val="auto"/>
              </w:rPr>
            </w:pPr>
            <w:r>
              <w:rPr>
                <w:color w:val="auto"/>
              </w:rPr>
              <w:t>2、</w:t>
            </w:r>
            <w:r>
              <w:rPr>
                <w:snapToGrid w:val="0"/>
                <w:color w:val="auto"/>
              </w:rPr>
              <w:t>分区防渗措施</w:t>
            </w:r>
          </w:p>
          <w:p>
            <w:pPr>
              <w:pStyle w:val="75"/>
              <w:rPr>
                <w:color w:val="auto"/>
              </w:rPr>
            </w:pPr>
            <w:r>
              <w:rPr>
                <w:color w:val="auto"/>
              </w:rPr>
              <w:t>本项目拆解车间、待拆车辆贮存场地、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等需要进行地面硬化并防渗漏，满足GB50037的防油渗地面要求：</w:t>
            </w:r>
            <w:r>
              <w:rPr>
                <w:rFonts w:hint="eastAsia" w:ascii="宋体" w:hAnsi="宋体" w:cs="宋体"/>
                <w:color w:val="auto"/>
              </w:rPr>
              <w:t>①</w:t>
            </w:r>
            <w:r>
              <w:rPr>
                <w:color w:val="auto"/>
              </w:rPr>
              <w:t>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w:t>
            </w:r>
            <w:r>
              <w:rPr>
                <w:rFonts w:hint="eastAsia"/>
                <w:color w:val="auto"/>
              </w:rPr>
              <w:t>农机拆除成品半成品及零件贮存库</w:t>
            </w:r>
            <w:r>
              <w:rPr>
                <w:color w:val="auto"/>
              </w:rPr>
              <w:t>。采用防渗混凝土或HDPE膜进行防渗，其防渗技术要求可满足等效黏土防渗层Mb≥1.5m，K≤1×10</w:t>
            </w:r>
            <w:r>
              <w:rPr>
                <w:color w:val="auto"/>
                <w:vertAlign w:val="superscript"/>
              </w:rPr>
              <w:t>-7</w:t>
            </w:r>
            <w:r>
              <w:rPr>
                <w:color w:val="auto"/>
              </w:rPr>
              <w:t>cm/s的要求。</w:t>
            </w:r>
            <w:r>
              <w:rPr>
                <w:rFonts w:hint="eastAsia" w:ascii="宋体" w:hAnsi="宋体" w:cs="宋体"/>
                <w:color w:val="auto"/>
              </w:rPr>
              <w:t>③</w:t>
            </w:r>
            <w:r>
              <w:rPr>
                <w:color w:val="auto"/>
              </w:rPr>
              <w:t>简单防渗区：包括厂区道路，进行一般地面水泥硬化。在采取防渗、防泄漏等环保措施后，不会对土壤产生影响。</w:t>
            </w:r>
          </w:p>
          <w:p>
            <w:pPr>
              <w:pStyle w:val="82"/>
              <w:rPr>
                <w:color w:val="auto"/>
              </w:rPr>
            </w:pPr>
            <w:r>
              <w:rPr>
                <w:color w:val="auto"/>
              </w:rPr>
              <w:t>七、环境风险</w:t>
            </w:r>
          </w:p>
          <w:p>
            <w:pPr>
              <w:pStyle w:val="82"/>
              <w:rPr>
                <w:color w:val="auto"/>
              </w:rPr>
            </w:pPr>
            <w:r>
              <w:rPr>
                <w:color w:val="auto"/>
              </w:rPr>
              <w:t>（一）风险识别</w:t>
            </w:r>
          </w:p>
          <w:p>
            <w:pPr>
              <w:pStyle w:val="75"/>
              <w:rPr>
                <w:color w:val="auto"/>
              </w:rPr>
            </w:pPr>
            <w:r>
              <w:rPr>
                <w:rFonts w:hint="eastAsia" w:ascii="宋体" w:hAnsi="宋体" w:cs="宋体"/>
                <w:color w:val="auto"/>
              </w:rPr>
              <w:t>①</w:t>
            </w:r>
            <w:r>
              <w:rPr>
                <w:color w:val="auto"/>
              </w:rPr>
              <w:t>物质危险性识别</w:t>
            </w:r>
          </w:p>
          <w:p>
            <w:pPr>
              <w:pStyle w:val="75"/>
              <w:rPr>
                <w:color w:val="auto"/>
              </w:rPr>
            </w:pPr>
            <w:r>
              <w:rPr>
                <w:color w:val="auto"/>
              </w:rPr>
              <w:t>根据《建设项目环境风险评价技术导则》（HJ169-2018）附录表B.1，确定本项目生产过程中涉及的危险物质为柴油、机油、润滑油、硫酸等，其危险特性和理化性质等分别见下表。</w:t>
            </w:r>
          </w:p>
          <w:p>
            <w:pPr>
              <w:pStyle w:val="76"/>
              <w:rPr>
                <w:color w:val="auto"/>
                <w:szCs w:val="22"/>
                <w:lang w:val="zh-CN"/>
              </w:rPr>
            </w:pPr>
            <w:r>
              <w:rPr>
                <w:color w:val="auto"/>
              </w:rPr>
              <w:t>表4-1</w:t>
            </w:r>
            <w:r>
              <w:rPr>
                <w:rFonts w:hint="eastAsia"/>
                <w:color w:val="auto"/>
                <w:lang w:val="en-US" w:eastAsia="zh-CN"/>
              </w:rPr>
              <w:t>1</w:t>
            </w:r>
            <w:r>
              <w:rPr>
                <w:color w:val="auto"/>
              </w:rPr>
              <w:t xml:space="preserve"> 风险物质的危险性识别</w:t>
            </w:r>
          </w:p>
          <w:tbl>
            <w:tblPr>
              <w:tblStyle w:val="70"/>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136"/>
              <w:gridCol w:w="1841"/>
              <w:gridCol w:w="3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77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名称</w:t>
                  </w:r>
                </w:p>
              </w:tc>
              <w:tc>
                <w:tcPr>
                  <w:tcW w:w="1168"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理化性质</w:t>
                  </w:r>
                </w:p>
              </w:tc>
              <w:tc>
                <w:tcPr>
                  <w:tcW w:w="1898"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燃爆危险性</w:t>
                  </w:r>
                </w:p>
              </w:tc>
              <w:tc>
                <w:tcPr>
                  <w:tcW w:w="3876"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毒性、危害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77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柴油</w:t>
                  </w:r>
                </w:p>
              </w:tc>
              <w:tc>
                <w:tcPr>
                  <w:tcW w:w="1168"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稍有粘性</w:t>
                  </w:r>
                </w:p>
              </w:tc>
              <w:tc>
                <w:tcPr>
                  <w:tcW w:w="1898" w:type="dxa"/>
                  <w:vAlign w:val="center"/>
                </w:tcPr>
                <w:p>
                  <w:pPr>
                    <w:pStyle w:val="65"/>
                    <w:keepNext/>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火灾危险程度的乙B或丙A类物质，其闪点≥60℃，爆炸危险组别/类别为T3/IIA，未列入危险化学品范围</w:t>
                  </w:r>
                </w:p>
              </w:tc>
              <w:tc>
                <w:tcPr>
                  <w:tcW w:w="3876" w:type="dxa"/>
                  <w:vAlign w:val="center"/>
                </w:tcPr>
                <w:p>
                  <w:pPr>
                    <w:pStyle w:val="65"/>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对皮肤粘膜有刺激作用。皮肤接触柴油可引起接触性皮炎、油性痤疮。吸入柴油雾滴可引起吸入性肺炎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0" w:hRule="atLeast"/>
              </w:trPr>
              <w:tc>
                <w:tcPr>
                  <w:tcW w:w="777" w:type="dxa"/>
                  <w:vAlign w:val="center"/>
                </w:tcPr>
                <w:p>
                  <w:pPr>
                    <w:pStyle w:val="65"/>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机油、润滑油</w:t>
                  </w:r>
                </w:p>
              </w:tc>
              <w:tc>
                <w:tcPr>
                  <w:tcW w:w="1168"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油状液体</w:t>
                  </w:r>
                </w:p>
              </w:tc>
              <w:tc>
                <w:tcPr>
                  <w:tcW w:w="1898" w:type="dxa"/>
                  <w:vAlign w:val="center"/>
                </w:tcPr>
                <w:p>
                  <w:pPr>
                    <w:pStyle w:val="65"/>
                    <w:keepNext/>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可燃，闪点45℃，引燃温度248℃，遇明火、高热可燃。</w:t>
                  </w:r>
                </w:p>
              </w:tc>
              <w:tc>
                <w:tcPr>
                  <w:tcW w:w="3876" w:type="dxa"/>
                  <w:vAlign w:val="center"/>
                </w:tcPr>
                <w:p>
                  <w:pPr>
                    <w:pStyle w:val="65"/>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侵入途径：</w:t>
                  </w:r>
                  <w:r>
                    <w:rPr>
                      <w:rStyle w:val="67"/>
                      <w:rFonts w:hint="eastAsia" w:cs="Times New Roman"/>
                      <w:snapToGrid w:val="0"/>
                      <w:color w:val="auto"/>
                      <w:kern w:val="2"/>
                      <w:sz w:val="21"/>
                      <w:szCs w:val="21"/>
                      <w:lang w:eastAsia="zh-CN"/>
                    </w:rPr>
                    <w:t>吸入</w:t>
                  </w:r>
                  <w:r>
                    <w:rPr>
                      <w:rStyle w:val="67"/>
                      <w:rFonts w:ascii="Times New Roman" w:hAnsi="Times New Roman" w:cs="Times New Roman"/>
                      <w:snapToGrid w:val="0"/>
                      <w:color w:val="auto"/>
                      <w:kern w:val="2"/>
                      <w:sz w:val="21"/>
                      <w:szCs w:val="21"/>
                    </w:rPr>
                    <w:t>、食入；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trPr>
              <w:tc>
                <w:tcPr>
                  <w:tcW w:w="77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硫酸</w:t>
                  </w:r>
                </w:p>
              </w:tc>
              <w:tc>
                <w:tcPr>
                  <w:tcW w:w="1168"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纯品为无色透明油状液体，无臭</w:t>
                  </w:r>
                </w:p>
              </w:tc>
              <w:tc>
                <w:tcPr>
                  <w:tcW w:w="1898" w:type="dxa"/>
                  <w:vAlign w:val="center"/>
                </w:tcPr>
                <w:p>
                  <w:pPr>
                    <w:pStyle w:val="65"/>
                    <w:keepNext/>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不燃</w:t>
                  </w:r>
                </w:p>
              </w:tc>
              <w:tc>
                <w:tcPr>
                  <w:tcW w:w="3876" w:type="dxa"/>
                  <w:vAlign w:val="center"/>
                </w:tcPr>
                <w:p>
                  <w:pPr>
                    <w:pStyle w:val="65"/>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与易燃物(如苯)和有机物 (如糖、纤维素等)接触会发生剧烈反应，甚至引起燃烧。能与一些活性金属粉末发生反应，放出氢气。遇水大量放热，可发生沸溅。具有强腐蚀性。能绝大多数金属和塑料、橡胶及涂料。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trPr>
              <w:tc>
                <w:tcPr>
                  <w:tcW w:w="777" w:type="dxa"/>
                  <w:vAlign w:val="center"/>
                </w:tcPr>
                <w:p>
                  <w:pPr>
                    <w:pStyle w:val="65"/>
                    <w:adjustRightInd w:val="0"/>
                    <w:snapToGrid w:val="0"/>
                    <w:rPr>
                      <w:rStyle w:val="67"/>
                      <w:rFonts w:hint="eastAsia" w:ascii="Times New Roman" w:hAnsi="Times New Roman" w:eastAsia="宋体" w:cs="Times New Roman"/>
                      <w:snapToGrid w:val="0"/>
                      <w:color w:val="auto"/>
                      <w:kern w:val="2"/>
                      <w:sz w:val="21"/>
                      <w:szCs w:val="21"/>
                      <w:lang w:val="en-US" w:eastAsia="zh-CN"/>
                    </w:rPr>
                  </w:pPr>
                  <w:r>
                    <w:rPr>
                      <w:rStyle w:val="67"/>
                      <w:rFonts w:hint="eastAsia" w:cs="Times New Roman"/>
                      <w:snapToGrid w:val="0"/>
                      <w:color w:val="auto"/>
                      <w:kern w:val="2"/>
                      <w:sz w:val="21"/>
                      <w:szCs w:val="21"/>
                      <w:lang w:val="en-US" w:eastAsia="zh-CN"/>
                    </w:rPr>
                    <w:t>石棉</w:t>
                  </w:r>
                </w:p>
              </w:tc>
              <w:tc>
                <w:tcPr>
                  <w:tcW w:w="1168" w:type="dxa"/>
                  <w:vAlign w:val="center"/>
                </w:tcPr>
                <w:p>
                  <w:pPr>
                    <w:pStyle w:val="65"/>
                    <w:adjustRightInd w:val="0"/>
                    <w:snapToGrid w:val="0"/>
                    <w:rPr>
                      <w:rStyle w:val="67"/>
                      <w:rFonts w:hint="default" w:ascii="Times New Roman" w:hAnsi="Times New Roman" w:eastAsia="宋体" w:cs="Times New Roman"/>
                      <w:snapToGrid w:val="0"/>
                      <w:color w:val="auto"/>
                      <w:kern w:val="2"/>
                      <w:sz w:val="21"/>
                      <w:szCs w:val="21"/>
                      <w:lang w:val="en-US" w:eastAsia="zh-CN"/>
                    </w:rPr>
                  </w:pPr>
                  <w:r>
                    <w:rPr>
                      <w:rStyle w:val="67"/>
                      <w:rFonts w:hint="eastAsia" w:cs="Times New Roman"/>
                      <w:snapToGrid w:val="0"/>
                      <w:color w:val="auto"/>
                      <w:kern w:val="2"/>
                      <w:sz w:val="21"/>
                      <w:szCs w:val="21"/>
                      <w:lang w:val="en-US" w:eastAsia="zh-CN"/>
                    </w:rPr>
                    <w:t>固态</w:t>
                  </w:r>
                </w:p>
              </w:tc>
              <w:tc>
                <w:tcPr>
                  <w:tcW w:w="1898" w:type="dxa"/>
                  <w:vAlign w:val="center"/>
                </w:tcPr>
                <w:p>
                  <w:pPr>
                    <w:pStyle w:val="65"/>
                    <w:keepNext/>
                    <w:adjustRightInd w:val="0"/>
                    <w:snapToGrid w:val="0"/>
                    <w:rPr>
                      <w:rFonts w:ascii="Times New Roman" w:hAnsi="Times New Roman" w:eastAsia="宋体" w:cs="Times New Roman"/>
                      <w:snapToGrid w:val="0"/>
                      <w:color w:val="auto"/>
                      <w:kern w:val="0"/>
                      <w:sz w:val="21"/>
                      <w:szCs w:val="21"/>
                      <w:lang w:val="en-US" w:eastAsia="zh-CN" w:bidi="ar-SA"/>
                    </w:rPr>
                  </w:pPr>
                  <w:r>
                    <w:rPr>
                      <w:rStyle w:val="67"/>
                      <w:rFonts w:ascii="Times New Roman" w:hAnsi="Times New Roman" w:cs="Times New Roman"/>
                      <w:snapToGrid w:val="0"/>
                      <w:color w:val="auto"/>
                      <w:kern w:val="2"/>
                      <w:sz w:val="21"/>
                      <w:szCs w:val="21"/>
                    </w:rPr>
                    <w:t>不燃</w:t>
                  </w:r>
                </w:p>
              </w:tc>
              <w:tc>
                <w:tcPr>
                  <w:tcW w:w="3876" w:type="dxa"/>
                  <w:vAlign w:val="center"/>
                </w:tcPr>
                <w:p>
                  <w:pPr>
                    <w:pStyle w:val="65"/>
                    <w:adjustRightInd w:val="0"/>
                    <w:snapToGrid w:val="0"/>
                    <w:jc w:val="both"/>
                    <w:rPr>
                      <w:rStyle w:val="67"/>
                      <w:rFonts w:hint="eastAsia" w:ascii="Times New Roman" w:hAnsi="Times New Roman" w:eastAsia="宋体" w:cs="Times New Roman"/>
                      <w:snapToGrid w:val="0"/>
                      <w:color w:val="auto"/>
                      <w:kern w:val="2"/>
                      <w:sz w:val="21"/>
                      <w:szCs w:val="21"/>
                      <w:lang w:eastAsia="zh-CN"/>
                    </w:rPr>
                  </w:pPr>
                  <w:r>
                    <w:rPr>
                      <w:rStyle w:val="67"/>
                      <w:rFonts w:hint="eastAsia" w:ascii="Times New Roman" w:hAnsi="Times New Roman" w:cs="Times New Roman"/>
                      <w:snapToGrid w:val="0"/>
                      <w:color w:val="auto"/>
                      <w:kern w:val="2"/>
                      <w:sz w:val="21"/>
                      <w:szCs w:val="21"/>
                    </w:rPr>
                    <w:t>高毒</w:t>
                  </w:r>
                  <w:r>
                    <w:rPr>
                      <w:rStyle w:val="67"/>
                      <w:rFonts w:hint="eastAsia" w:cs="Times New Roman"/>
                      <w:snapToGrid w:val="0"/>
                      <w:color w:val="auto"/>
                      <w:kern w:val="2"/>
                      <w:sz w:val="21"/>
                      <w:szCs w:val="21"/>
                      <w:lang w:eastAsia="zh-CN"/>
                    </w:rPr>
                    <w:t>，急性毒性：插管-大鼠 LD: 》 4 毫升/公斤。石棉对人体是致癌的，特别是导致间皮瘤的风险，石棉能引起原发性肝癌和间皮肉瘤，而且还会导致胸膜间皮瘤，长期吸入一定量的石棉纤维或元纤维能引起石棉肺，肺癌，胸膜间皮瘤、腹膜间皮瘤和胃肠癌等，石棉具有较强的致癌性。</w:t>
                  </w:r>
                </w:p>
              </w:tc>
            </w:tr>
          </w:tbl>
          <w:p>
            <w:pPr>
              <w:pStyle w:val="75"/>
              <w:rPr>
                <w:color w:val="auto"/>
              </w:rPr>
            </w:pPr>
            <w:r>
              <w:rPr>
                <w:rFonts w:hint="eastAsia" w:ascii="宋体" w:hAnsi="宋体" w:cs="宋体"/>
                <w:color w:val="auto"/>
              </w:rPr>
              <w:t>②</w:t>
            </w:r>
            <w:r>
              <w:rPr>
                <w:color w:val="auto"/>
              </w:rPr>
              <w:t>生产系统危险性识别</w:t>
            </w:r>
          </w:p>
          <w:p>
            <w:pPr>
              <w:pStyle w:val="75"/>
              <w:rPr>
                <w:color w:val="auto"/>
              </w:rPr>
            </w:pPr>
            <w:r>
              <w:rPr>
                <w:color w:val="auto"/>
              </w:rPr>
              <w:t>本项目在报废农业机械拆解过程中涉及剪断、切割、挤压、压扁等处理，拆解过程中会产生少量柴油和少量润滑油、机油等废油液，若切割过程中产生的火花飞溅到废油污上，可能会发生火灾或爆炸。</w:t>
            </w:r>
          </w:p>
          <w:p>
            <w:pPr>
              <w:pStyle w:val="75"/>
              <w:rPr>
                <w:color w:val="auto"/>
              </w:rPr>
            </w:pPr>
            <w:r>
              <w:rPr>
                <w:color w:val="auto"/>
              </w:rPr>
              <w:t>本项目报废农业机械拆解过程中所产生的</w:t>
            </w:r>
            <w:r>
              <w:rPr>
                <w:rFonts w:hint="eastAsia"/>
                <w:color w:val="auto"/>
                <w:lang w:val="en-US" w:eastAsia="zh-CN"/>
              </w:rPr>
              <w:t>废石棉、</w:t>
            </w:r>
            <w:r>
              <w:rPr>
                <w:color w:val="auto"/>
              </w:rPr>
              <w:t>铅酸蓄电池、柴油和少量润滑油、机油和冷却液等分类收集后，暂存于</w:t>
            </w:r>
            <w:r>
              <w:rPr>
                <w:rFonts w:hint="eastAsia"/>
                <w:color w:val="auto"/>
                <w:lang w:eastAsia="zh-CN"/>
              </w:rPr>
              <w:t>危险废物贮存库</w:t>
            </w:r>
            <w:r>
              <w:rPr>
                <w:color w:val="auto"/>
              </w:rPr>
              <w:t>，定期委托有资质的单位进行处置。在装卸、存储过程中可能存在的风险事故为：暂存过程中由于储罐、封盖老化或操作不规范，致使物料泄漏逸散，导致人员中毒；柴油散发到空气中遇明火可能会发生火灾或爆炸。</w:t>
            </w:r>
          </w:p>
          <w:p>
            <w:pPr>
              <w:pStyle w:val="75"/>
              <w:rPr>
                <w:color w:val="auto"/>
              </w:rPr>
            </w:pPr>
            <w:r>
              <w:rPr>
                <w:rFonts w:hint="eastAsia" w:ascii="宋体" w:hAnsi="宋体" w:cs="宋体"/>
                <w:color w:val="auto"/>
              </w:rPr>
              <w:t>③</w:t>
            </w:r>
            <w:r>
              <w:rPr>
                <w:color w:val="auto"/>
              </w:rPr>
              <w:t>主要危险物质分布情况</w:t>
            </w:r>
          </w:p>
          <w:p>
            <w:pPr>
              <w:pStyle w:val="76"/>
              <w:rPr>
                <w:color w:val="auto"/>
              </w:rPr>
            </w:pPr>
            <w:r>
              <w:rPr>
                <w:color w:val="auto"/>
              </w:rPr>
              <w:t>表4-1</w:t>
            </w:r>
            <w:r>
              <w:rPr>
                <w:rFonts w:hint="eastAsia"/>
                <w:color w:val="auto"/>
                <w:lang w:val="en-US" w:eastAsia="zh-CN"/>
              </w:rPr>
              <w:t>2</w:t>
            </w:r>
            <w:r>
              <w:rPr>
                <w:color w:val="auto"/>
              </w:rPr>
              <w:t xml:space="preserve"> 危险物质分布情况表</w:t>
            </w:r>
          </w:p>
          <w:tbl>
            <w:tblPr>
              <w:tblStyle w:val="70"/>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2545"/>
              <w:gridCol w:w="2834"/>
              <w:gridCol w:w="13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序号</w:t>
                  </w:r>
                </w:p>
              </w:tc>
              <w:tc>
                <w:tcPr>
                  <w:tcW w:w="254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生产设施风险识别范围</w:t>
                  </w:r>
                </w:p>
              </w:tc>
              <w:tc>
                <w:tcPr>
                  <w:tcW w:w="2837" w:type="dxa"/>
                  <w:vAlign w:val="center"/>
                </w:tcPr>
                <w:p>
                  <w:pPr>
                    <w:pStyle w:val="65"/>
                    <w:keepNext/>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物质风险识别范围</w:t>
                  </w:r>
                </w:p>
              </w:tc>
              <w:tc>
                <w:tcPr>
                  <w:tcW w:w="1354"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风险类别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1</w:t>
                  </w:r>
                </w:p>
              </w:tc>
              <w:tc>
                <w:tcPr>
                  <w:tcW w:w="254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拆解车间</w:t>
                  </w:r>
                </w:p>
              </w:tc>
              <w:tc>
                <w:tcPr>
                  <w:tcW w:w="2837" w:type="dxa"/>
                  <w:vMerge w:val="restart"/>
                  <w:vAlign w:val="center"/>
                </w:tcPr>
                <w:p>
                  <w:pPr>
                    <w:pStyle w:val="65"/>
                    <w:keepNext/>
                    <w:adjustRightInd w:val="0"/>
                    <w:snapToGrid w:val="0"/>
                    <w:jc w:val="both"/>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废油液（包括柴油、机油、润滑油、油水分离装置浮油等）、蓄电池</w:t>
                  </w:r>
                  <w:r>
                    <w:rPr>
                      <w:rStyle w:val="67"/>
                      <w:rFonts w:hint="eastAsia" w:cs="Times New Roman"/>
                      <w:snapToGrid w:val="0"/>
                      <w:color w:val="auto"/>
                      <w:kern w:val="2"/>
                      <w:sz w:val="21"/>
                      <w:szCs w:val="21"/>
                      <w:lang w:eastAsia="zh-CN"/>
                    </w:rPr>
                    <w:t>、</w:t>
                  </w:r>
                  <w:r>
                    <w:rPr>
                      <w:rStyle w:val="67"/>
                      <w:rFonts w:hint="eastAsia" w:cs="Times New Roman"/>
                      <w:snapToGrid w:val="0"/>
                      <w:color w:val="auto"/>
                      <w:kern w:val="2"/>
                      <w:sz w:val="21"/>
                      <w:szCs w:val="21"/>
                      <w:lang w:val="en-US" w:eastAsia="zh-CN"/>
                    </w:rPr>
                    <w:t>废石棉</w:t>
                  </w:r>
                  <w:r>
                    <w:rPr>
                      <w:rStyle w:val="67"/>
                      <w:rFonts w:ascii="Times New Roman" w:hAnsi="Times New Roman" w:cs="Times New Roman"/>
                      <w:snapToGrid w:val="0"/>
                      <w:color w:val="auto"/>
                      <w:kern w:val="2"/>
                      <w:sz w:val="21"/>
                      <w:szCs w:val="21"/>
                    </w:rPr>
                    <w:t>等</w:t>
                  </w:r>
                </w:p>
              </w:tc>
              <w:tc>
                <w:tcPr>
                  <w:tcW w:w="1354" w:type="dxa"/>
                  <w:vMerge w:val="restart"/>
                  <w:vAlign w:val="center"/>
                </w:tcPr>
                <w:p>
                  <w:pPr>
                    <w:pStyle w:val="65"/>
                    <w:adjustRightInd w:val="0"/>
                    <w:snapToGrid w:val="0"/>
                    <w:jc w:val="both"/>
                    <w:rPr>
                      <w:rStyle w:val="67"/>
                      <w:rFonts w:ascii="Times New Roman" w:hAnsi="Times New Roman" w:cs="Times New Roman"/>
                      <w:snapToGrid w:val="0"/>
                      <w:color w:val="auto"/>
                      <w:sz w:val="21"/>
                      <w:szCs w:val="21"/>
                    </w:rPr>
                  </w:pPr>
                  <w:r>
                    <w:rPr>
                      <w:rFonts w:cs="Times New Roman"/>
                      <w:snapToGrid w:val="0"/>
                      <w:color w:val="auto"/>
                      <w:sz w:val="21"/>
                      <w:szCs w:val="21"/>
                    </w:rPr>
                    <w:t>火灾、爆炸、泄露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4"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2</w:t>
                  </w:r>
                </w:p>
              </w:tc>
              <w:tc>
                <w:tcPr>
                  <w:tcW w:w="2547" w:type="dxa"/>
                  <w:vAlign w:val="center"/>
                </w:tcPr>
                <w:p>
                  <w:pPr>
                    <w:pStyle w:val="65"/>
                    <w:adjustRightInd w:val="0"/>
                    <w:snapToGrid w:val="0"/>
                    <w:rPr>
                      <w:rStyle w:val="67"/>
                      <w:rFonts w:hint="eastAsia" w:ascii="Times New Roman" w:hAnsi="Times New Roman" w:eastAsia="宋体" w:cs="Times New Roman"/>
                      <w:snapToGrid w:val="0"/>
                      <w:color w:val="auto"/>
                      <w:sz w:val="21"/>
                      <w:szCs w:val="21"/>
                      <w:lang w:eastAsia="zh-CN"/>
                    </w:rPr>
                  </w:pPr>
                  <w:r>
                    <w:rPr>
                      <w:rStyle w:val="67"/>
                      <w:rFonts w:hint="eastAsia" w:cs="Times New Roman"/>
                      <w:snapToGrid w:val="0"/>
                      <w:color w:val="auto"/>
                      <w:kern w:val="2"/>
                      <w:sz w:val="21"/>
                      <w:szCs w:val="21"/>
                      <w:lang w:eastAsia="zh-CN"/>
                    </w:rPr>
                    <w:t>危险废物贮存库</w:t>
                  </w:r>
                </w:p>
              </w:tc>
              <w:tc>
                <w:tcPr>
                  <w:tcW w:w="2837" w:type="dxa"/>
                  <w:vMerge w:val="continue"/>
                  <w:vAlign w:val="center"/>
                </w:tcPr>
                <w:p>
                  <w:pPr>
                    <w:pStyle w:val="65"/>
                    <w:keepNext/>
                    <w:adjustRightInd w:val="0"/>
                    <w:snapToGrid w:val="0"/>
                    <w:jc w:val="both"/>
                    <w:rPr>
                      <w:rStyle w:val="67"/>
                      <w:rFonts w:ascii="Times New Roman" w:hAnsi="Times New Roman" w:cs="Times New Roman"/>
                      <w:snapToGrid w:val="0"/>
                      <w:color w:val="auto"/>
                      <w:sz w:val="21"/>
                      <w:szCs w:val="21"/>
                    </w:rPr>
                  </w:pPr>
                </w:p>
              </w:tc>
              <w:tc>
                <w:tcPr>
                  <w:tcW w:w="1354" w:type="dxa"/>
                  <w:vMerge w:val="continue"/>
                  <w:vAlign w:val="center"/>
                </w:tcPr>
                <w:p>
                  <w:pPr>
                    <w:pStyle w:val="65"/>
                    <w:adjustRightInd w:val="0"/>
                    <w:snapToGrid w:val="0"/>
                    <w:rPr>
                      <w:rStyle w:val="67"/>
                      <w:rFonts w:ascii="Times New Roman" w:hAnsi="Times New Roman" w:cs="Times New Roman"/>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3</w:t>
                  </w:r>
                </w:p>
              </w:tc>
              <w:tc>
                <w:tcPr>
                  <w:tcW w:w="2547" w:type="dxa"/>
                  <w:vAlign w:val="center"/>
                </w:tcPr>
                <w:p>
                  <w:pPr>
                    <w:pStyle w:val="65"/>
                    <w:adjustRightInd w:val="0"/>
                    <w:snapToGrid w:val="0"/>
                    <w:rPr>
                      <w:rStyle w:val="67"/>
                      <w:rFonts w:ascii="Times New Roman" w:hAnsi="Times New Roman" w:cs="Times New Roman"/>
                      <w:snapToGrid w:val="0"/>
                      <w:color w:val="auto"/>
                      <w:sz w:val="21"/>
                      <w:szCs w:val="21"/>
                    </w:rPr>
                  </w:pPr>
                  <w:r>
                    <w:rPr>
                      <w:rStyle w:val="67"/>
                      <w:rFonts w:ascii="Times New Roman" w:hAnsi="Times New Roman" w:cs="Times New Roman"/>
                      <w:snapToGrid w:val="0"/>
                      <w:color w:val="auto"/>
                      <w:kern w:val="2"/>
                      <w:sz w:val="21"/>
                      <w:szCs w:val="21"/>
                    </w:rPr>
                    <w:t>待拆车辆贮存场地</w:t>
                  </w:r>
                </w:p>
              </w:tc>
              <w:tc>
                <w:tcPr>
                  <w:tcW w:w="2837" w:type="dxa"/>
                  <w:vMerge w:val="continue"/>
                  <w:vAlign w:val="center"/>
                </w:tcPr>
                <w:p>
                  <w:pPr>
                    <w:pStyle w:val="65"/>
                    <w:keepNext/>
                    <w:adjustRightInd w:val="0"/>
                    <w:snapToGrid w:val="0"/>
                    <w:rPr>
                      <w:rStyle w:val="67"/>
                      <w:rFonts w:ascii="Times New Roman" w:hAnsi="Times New Roman" w:cs="Times New Roman"/>
                      <w:snapToGrid w:val="0"/>
                      <w:color w:val="auto"/>
                      <w:sz w:val="21"/>
                      <w:szCs w:val="21"/>
                    </w:rPr>
                  </w:pPr>
                </w:p>
              </w:tc>
              <w:tc>
                <w:tcPr>
                  <w:tcW w:w="1354" w:type="dxa"/>
                  <w:vMerge w:val="continue"/>
                  <w:vAlign w:val="center"/>
                </w:tcPr>
                <w:p>
                  <w:pPr>
                    <w:pStyle w:val="65"/>
                    <w:adjustRightInd w:val="0"/>
                    <w:snapToGrid w:val="0"/>
                    <w:rPr>
                      <w:rStyle w:val="67"/>
                      <w:rFonts w:ascii="Times New Roman" w:hAnsi="Times New Roman" w:cs="Times New Roman"/>
                      <w:snapToGrid w:val="0"/>
                      <w:color w:val="auto"/>
                      <w:sz w:val="21"/>
                      <w:szCs w:val="21"/>
                    </w:rPr>
                  </w:pPr>
                </w:p>
              </w:tc>
            </w:tr>
          </w:tbl>
          <w:p>
            <w:pPr>
              <w:pStyle w:val="75"/>
              <w:rPr>
                <w:color w:val="auto"/>
              </w:rPr>
            </w:pPr>
            <w:r>
              <w:rPr>
                <w:color w:val="auto"/>
              </w:rPr>
              <w:t>本项目环境风险事故主要是由柴油存储桶等易燃易爆物质，可能发生火灾甚至爆炸。另外危险废物暂存或管理不当，造成废油液泄漏，污染土壤并进一步影响地下水体。</w:t>
            </w:r>
          </w:p>
          <w:p>
            <w:pPr>
              <w:pStyle w:val="82"/>
              <w:keepLines w:val="0"/>
              <w:pageBreakBefore w:val="0"/>
              <w:widowControl w:val="0"/>
              <w:kinsoku/>
              <w:wordWrap/>
              <w:overflowPunct/>
              <w:topLinePunct w:val="0"/>
              <w:bidi w:val="0"/>
              <w:spacing w:line="500" w:lineRule="exact"/>
              <w:textAlignment w:val="auto"/>
              <w:rPr>
                <w:b w:val="0"/>
                <w:bCs w:val="0"/>
                <w:color w:val="auto"/>
              </w:rPr>
            </w:pPr>
            <w:r>
              <w:rPr>
                <w:color w:val="auto"/>
              </w:rPr>
              <w:t>（二）</w:t>
            </w:r>
            <w:r>
              <w:rPr>
                <w:rFonts w:hint="eastAsia"/>
                <w:color w:val="auto"/>
              </w:rPr>
              <w:t>环境风险潜势初判及评价等级确定</w:t>
            </w:r>
          </w:p>
          <w:p>
            <w:pPr>
              <w:keepNext/>
              <w:keepLines w:val="0"/>
              <w:pageBreakBefore w:val="0"/>
              <w:widowControl w:val="0"/>
              <w:kinsoku/>
              <w:wordWrap/>
              <w:overflowPunct/>
              <w:topLinePunct w:val="0"/>
              <w:bidi w:val="0"/>
              <w:spacing w:line="500" w:lineRule="exact"/>
              <w:ind w:firstLine="480" w:firstLineChars="200"/>
              <w:textAlignment w:val="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rPr>
              <w:t>根据《建设项目环境风险评价技术导则》（HJ169-2018）和《危险化学品重大危险源辨识》（GB18218-2018）中重大危险源的判定方法，且根据本项目工艺特点，评价从物质危险性、储运过程中的危险性进行识别，废油液最大存储量为2</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t；废蓄电池转最大存储量为</w:t>
            </w:r>
            <w:r>
              <w:rPr>
                <w:rFonts w:hint="eastAsia" w:cs="Times New Roman"/>
                <w:color w:val="auto"/>
                <w:sz w:val="24"/>
                <w:lang w:val="en-US" w:eastAsia="zh-CN"/>
              </w:rPr>
              <w:t>4</w:t>
            </w:r>
            <w:r>
              <w:rPr>
                <w:rFonts w:hint="eastAsia" w:ascii="Times New Roman" w:hAnsi="Times New Roman" w:eastAsia="宋体" w:cs="Times New Roman"/>
                <w:color w:val="auto"/>
                <w:sz w:val="24"/>
              </w:rPr>
              <w:t>t，硫酸为废蓄电池重量为1</w:t>
            </w:r>
            <w:r>
              <w:rPr>
                <w:rFonts w:hint="eastAsia"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rPr>
              <w:t>，则蓄电池中硫酸量为</w:t>
            </w:r>
            <w:r>
              <w:rPr>
                <w:rFonts w:hint="eastAsia" w:ascii="Times New Roman" w:hAnsi="Times New Roman" w:eastAsia="宋体" w:cs="Times New Roman"/>
                <w:color w:val="auto"/>
                <w:sz w:val="24"/>
                <w:lang w:val="en-US" w:eastAsia="zh-CN"/>
              </w:rPr>
              <w:t>0.</w:t>
            </w:r>
            <w:r>
              <w:rPr>
                <w:rFonts w:hint="eastAsia" w:cs="Times New Roman"/>
                <w:color w:val="auto"/>
                <w:sz w:val="24"/>
                <w:lang w:val="en-US" w:eastAsia="zh-CN"/>
              </w:rPr>
              <w:t>4</w:t>
            </w:r>
            <w:r>
              <w:rPr>
                <w:rFonts w:hint="eastAsia" w:ascii="Times New Roman" w:hAnsi="Times New Roman" w:eastAsia="宋体" w:cs="Times New Roman"/>
                <w:color w:val="auto"/>
                <w:sz w:val="24"/>
              </w:rPr>
              <w:t>t</w:t>
            </w:r>
            <w:r>
              <w:rPr>
                <w:rFonts w:hint="eastAsia" w:cs="Times New Roman"/>
                <w:color w:val="auto"/>
                <w:sz w:val="24"/>
                <w:lang w:eastAsia="zh-CN"/>
              </w:rPr>
              <w:t>；</w:t>
            </w:r>
            <w:r>
              <w:rPr>
                <w:rFonts w:hint="eastAsia" w:cs="Times New Roman"/>
                <w:color w:val="auto"/>
                <w:sz w:val="24"/>
                <w:lang w:val="en-US" w:eastAsia="zh-CN"/>
              </w:rPr>
              <w:t>石棉废物</w:t>
            </w:r>
            <w:r>
              <w:rPr>
                <w:rFonts w:hint="eastAsia" w:ascii="Times New Roman" w:hAnsi="Times New Roman" w:eastAsia="宋体" w:cs="Times New Roman"/>
                <w:color w:val="auto"/>
                <w:sz w:val="24"/>
              </w:rPr>
              <w:t>最大存储量为</w:t>
            </w:r>
            <w:r>
              <w:rPr>
                <w:rFonts w:hint="eastAsia" w:cs="Times New Roman"/>
                <w:color w:val="auto"/>
                <w:sz w:val="24"/>
                <w:lang w:val="en-US" w:eastAsia="zh-CN"/>
              </w:rPr>
              <w:t>0.1</w:t>
            </w:r>
            <w:r>
              <w:rPr>
                <w:rFonts w:hint="eastAsia" w:ascii="Times New Roman" w:hAnsi="Times New Roman" w:eastAsia="宋体" w:cs="Times New Roman"/>
                <w:color w:val="auto"/>
                <w:sz w:val="24"/>
              </w:rPr>
              <w:t>t。经计算辨识结果见下表</w:t>
            </w:r>
            <w:r>
              <w:rPr>
                <w:rFonts w:hint="eastAsia" w:ascii="Times New Roman" w:hAnsi="Times New Roman" w:eastAsia="宋体" w:cs="Times New Roman"/>
                <w:color w:val="auto"/>
                <w:sz w:val="24"/>
                <w:lang w:eastAsia="zh-CN"/>
              </w:rPr>
              <w:t>。</w:t>
            </w:r>
          </w:p>
          <w:p>
            <w:pPr>
              <w:keepNext/>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表4-</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3</w:t>
            </w:r>
            <w:r>
              <w:rPr>
                <w:rFonts w:ascii="Times New Roman" w:hAnsi="Times New Roman" w:eastAsia="宋体" w:cs="Times New Roman"/>
                <w:b/>
                <w:bCs/>
                <w:color w:val="auto"/>
                <w:szCs w:val="21"/>
              </w:rPr>
              <w:t>危险化学品重大危险源辨识表</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1620"/>
              <w:gridCol w:w="1110"/>
              <w:gridCol w:w="1375"/>
              <w:gridCol w:w="914"/>
              <w:gridCol w:w="13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737"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单元名称</w:t>
                  </w:r>
                </w:p>
              </w:tc>
              <w:tc>
                <w:tcPr>
                  <w:tcW w:w="1078"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单元内物质名称</w:t>
                  </w:r>
                </w:p>
              </w:tc>
              <w:tc>
                <w:tcPr>
                  <w:tcW w:w="739"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CAS号</w:t>
                  </w:r>
                </w:p>
              </w:tc>
              <w:tc>
                <w:tcPr>
                  <w:tcW w:w="915"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单元内最大存储量（t）</w:t>
                  </w:r>
                </w:p>
              </w:tc>
              <w:tc>
                <w:tcPr>
                  <w:tcW w:w="607"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临界量（t）</w:t>
                  </w:r>
                </w:p>
              </w:tc>
              <w:tc>
                <w:tcPr>
                  <w:tcW w:w="922"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危险物质</w:t>
                  </w:r>
                </w:p>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37" w:type="pct"/>
                  <w:vMerge w:val="restar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078" w:type="pct"/>
                  <w:noWrap w:val="0"/>
                  <w:vAlign w:val="center"/>
                </w:tcPr>
                <w:p>
                  <w:pPr>
                    <w:keepNext/>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szCs w:val="21"/>
                    </w:rPr>
                    <w:t>柴油、机油、</w:t>
                  </w:r>
                  <w:r>
                    <w:rPr>
                      <w:rFonts w:hint="eastAsia" w:ascii="Times New Roman" w:hAnsi="Times New Roman" w:eastAsia="宋体" w:cs="Times New Roman"/>
                      <w:color w:val="auto"/>
                      <w:szCs w:val="21"/>
                    </w:rPr>
                    <w:t>油水分离器浮油</w:t>
                  </w:r>
                  <w:r>
                    <w:rPr>
                      <w:rFonts w:hint="eastAsia" w:ascii="Times New Roman" w:hAnsi="Times New Roman" w:eastAsia="宋体" w:cs="Times New Roman"/>
                      <w:color w:val="auto"/>
                      <w:szCs w:val="21"/>
                      <w:lang w:val="en-US" w:eastAsia="zh-CN"/>
                    </w:rPr>
                    <w:t>等</w:t>
                  </w:r>
                </w:p>
              </w:tc>
              <w:tc>
                <w:tcPr>
                  <w:tcW w:w="739"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915" w:type="pct"/>
                  <w:noWrap w:val="0"/>
                  <w:vAlign w:val="center"/>
                </w:tcPr>
                <w:p>
                  <w:pPr>
                    <w:keepNex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.5</w:t>
                  </w:r>
                </w:p>
              </w:tc>
              <w:tc>
                <w:tcPr>
                  <w:tcW w:w="607"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2500</w:t>
                  </w:r>
                </w:p>
              </w:tc>
              <w:tc>
                <w:tcPr>
                  <w:tcW w:w="922" w:type="pct"/>
                  <w:noWrap w:val="0"/>
                  <w:vAlign w:val="center"/>
                </w:tcPr>
                <w:p>
                  <w:pPr>
                    <w:keepNext/>
                    <w:jc w:val="center"/>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0.00</w:t>
                  </w:r>
                  <w:r>
                    <w:rPr>
                      <w:rFonts w:hint="eastAsia" w:ascii="Times New Roman" w:hAnsi="Times New Roman" w:eastAsia="宋体" w:cs="Times New Roman"/>
                      <w:color w:val="auto"/>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37" w:type="pct"/>
                  <w:vMerge w:val="continue"/>
                  <w:noWrap w:val="0"/>
                  <w:vAlign w:val="center"/>
                </w:tcPr>
                <w:p>
                  <w:pPr>
                    <w:keepNext/>
                    <w:jc w:val="center"/>
                    <w:rPr>
                      <w:rFonts w:ascii="Times New Roman" w:hAnsi="Times New Roman" w:eastAsia="宋体" w:cs="Times New Roman"/>
                      <w:color w:val="auto"/>
                      <w:szCs w:val="21"/>
                    </w:rPr>
                  </w:pPr>
                </w:p>
              </w:tc>
              <w:tc>
                <w:tcPr>
                  <w:tcW w:w="1078" w:type="pct"/>
                  <w:noWrap w:val="0"/>
                  <w:vAlign w:val="center"/>
                </w:tcPr>
                <w:p>
                  <w:pPr>
                    <w:keepNex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废石棉</w:t>
                  </w:r>
                </w:p>
              </w:tc>
              <w:tc>
                <w:tcPr>
                  <w:tcW w:w="739" w:type="pct"/>
                  <w:noWrap w:val="0"/>
                  <w:vAlign w:val="center"/>
                </w:tcPr>
                <w:p>
                  <w:pPr>
                    <w:keepNext/>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1332-21-4</w:t>
                  </w:r>
                </w:p>
              </w:tc>
              <w:tc>
                <w:tcPr>
                  <w:tcW w:w="915" w:type="pct"/>
                  <w:noWrap w:val="0"/>
                  <w:vAlign w:val="center"/>
                </w:tcPr>
                <w:p>
                  <w:pPr>
                    <w:keepNex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0.1</w:t>
                  </w:r>
                </w:p>
              </w:tc>
              <w:tc>
                <w:tcPr>
                  <w:tcW w:w="607" w:type="pct"/>
                  <w:noWrap w:val="0"/>
                  <w:vAlign w:val="center"/>
                </w:tcPr>
                <w:p>
                  <w:pPr>
                    <w:keepNex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p>
              </w:tc>
              <w:tc>
                <w:tcPr>
                  <w:tcW w:w="922" w:type="pct"/>
                  <w:noWrap w:val="0"/>
                  <w:vAlign w:val="center"/>
                </w:tcPr>
                <w:p>
                  <w:pPr>
                    <w:keepNex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37" w:type="pct"/>
                  <w:vMerge w:val="continue"/>
                  <w:noWrap w:val="0"/>
                  <w:vAlign w:val="center"/>
                </w:tcPr>
                <w:p>
                  <w:pPr>
                    <w:keepNext/>
                    <w:jc w:val="center"/>
                    <w:rPr>
                      <w:rFonts w:ascii="Times New Roman" w:hAnsi="Times New Roman" w:eastAsia="宋体" w:cs="Times New Roman"/>
                      <w:color w:val="auto"/>
                      <w:szCs w:val="21"/>
                    </w:rPr>
                  </w:pPr>
                </w:p>
              </w:tc>
              <w:tc>
                <w:tcPr>
                  <w:tcW w:w="1078" w:type="pct"/>
                  <w:noWrap w:val="0"/>
                  <w:vAlign w:val="center"/>
                </w:tcPr>
                <w:p>
                  <w:pPr>
                    <w:keepNext/>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废蓄电池（硫酸）</w:t>
                  </w:r>
                </w:p>
              </w:tc>
              <w:tc>
                <w:tcPr>
                  <w:tcW w:w="739"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7664-93-9</w:t>
                  </w:r>
                </w:p>
              </w:tc>
              <w:tc>
                <w:tcPr>
                  <w:tcW w:w="915" w:type="pct"/>
                  <w:noWrap w:val="0"/>
                  <w:vAlign w:val="center"/>
                </w:tcPr>
                <w:p>
                  <w:pPr>
                    <w:keepNex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0.</w:t>
                  </w:r>
                  <w:r>
                    <w:rPr>
                      <w:rFonts w:hint="eastAsia" w:cs="Times New Roman"/>
                      <w:color w:val="auto"/>
                      <w:szCs w:val="21"/>
                      <w:lang w:val="en-US" w:eastAsia="zh-CN"/>
                    </w:rPr>
                    <w:t>4</w:t>
                  </w:r>
                </w:p>
              </w:tc>
              <w:tc>
                <w:tcPr>
                  <w:tcW w:w="607" w:type="pct"/>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922" w:type="pct"/>
                  <w:noWrap w:val="0"/>
                  <w:vAlign w:val="center"/>
                </w:tcPr>
                <w:p>
                  <w:pPr>
                    <w:keepNext/>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szCs w:val="21"/>
                    </w:rPr>
                    <w:t>0.0</w:t>
                  </w:r>
                  <w:r>
                    <w:rPr>
                      <w:rFonts w:hint="eastAsia" w:cs="Times New Roman"/>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077" w:type="pct"/>
                  <w:gridSpan w:val="5"/>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Q值</w:t>
                  </w:r>
                </w:p>
              </w:tc>
              <w:tc>
                <w:tcPr>
                  <w:tcW w:w="922" w:type="pct"/>
                  <w:noWrap w:val="0"/>
                  <w:vAlign w:val="center"/>
                </w:tcPr>
                <w:p>
                  <w:pPr>
                    <w:keepNext/>
                    <w:jc w:val="center"/>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0.0</w:t>
                  </w:r>
                  <w:r>
                    <w:rPr>
                      <w:rFonts w:hint="eastAsia" w:cs="Times New Roman"/>
                      <w:color w:val="auto"/>
                      <w:szCs w:val="21"/>
                      <w:lang w:val="en-US" w:eastAsia="zh-CN"/>
                    </w:rPr>
                    <w:t>6</w:t>
                  </w:r>
                  <w:r>
                    <w:rPr>
                      <w:rFonts w:hint="eastAsia" w:ascii="Times New Roman" w:hAnsi="Times New Roman" w:eastAsia="宋体" w:cs="Times New Roman"/>
                      <w:color w:val="auto"/>
                      <w:szCs w:val="21"/>
                      <w:lang w:val="en-US" w:eastAsia="zh-CN"/>
                    </w:rPr>
                    <w:t>1</w:t>
                  </w:r>
                </w:p>
              </w:tc>
            </w:tr>
          </w:tbl>
          <w:p>
            <w:pPr>
              <w:keepNext/>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表4-</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4</w:t>
            </w:r>
            <w:r>
              <w:rPr>
                <w:rFonts w:ascii="Times New Roman" w:hAnsi="Times New Roman" w:eastAsia="宋体" w:cs="Times New Roman"/>
                <w:b/>
                <w:bCs/>
                <w:color w:val="auto"/>
                <w:szCs w:val="21"/>
              </w:rPr>
              <w:t>环境风险评价工作等级划分</w:t>
            </w:r>
          </w:p>
          <w:tbl>
            <w:tblPr>
              <w:tblStyle w:val="2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82"/>
              <w:gridCol w:w="1397"/>
              <w:gridCol w:w="1450"/>
              <w:gridCol w:w="1795"/>
              <w:gridCol w:w="13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987" w:type="pct"/>
                  <w:tcBorders>
                    <w:top w:val="single" w:color="000000" w:sz="12" w:space="0"/>
                    <w:left w:val="nil"/>
                    <w:bottom w:val="single" w:color="000000" w:sz="4" w:space="0"/>
                    <w:right w:val="single" w:color="000000" w:sz="4" w:space="0"/>
                  </w:tcBorders>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环境风险潜势</w:t>
                  </w:r>
                </w:p>
              </w:tc>
              <w:tc>
                <w:tcPr>
                  <w:tcW w:w="930" w:type="pct"/>
                  <w:tcBorders>
                    <w:top w:val="single" w:color="000000" w:sz="12" w:space="0"/>
                    <w:left w:val="single" w:color="000000" w:sz="4" w:space="0"/>
                    <w:bottom w:val="single" w:color="000000" w:sz="4" w:space="0"/>
                    <w:right w:val="single" w:color="000000" w:sz="4" w:space="0"/>
                  </w:tcBorders>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Ⅳ、Ⅳ+</w:t>
                  </w:r>
                </w:p>
              </w:tc>
              <w:tc>
                <w:tcPr>
                  <w:tcW w:w="965" w:type="pct"/>
                  <w:tcBorders>
                    <w:top w:val="single" w:color="000000" w:sz="12" w:space="0"/>
                    <w:left w:val="single" w:color="000000" w:sz="4" w:space="0"/>
                    <w:bottom w:val="single" w:color="000000" w:sz="4" w:space="0"/>
                    <w:right w:val="single" w:color="000000" w:sz="4" w:space="0"/>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Ⅲ</w:t>
                  </w:r>
                </w:p>
              </w:tc>
              <w:tc>
                <w:tcPr>
                  <w:tcW w:w="1195" w:type="pct"/>
                  <w:tcBorders>
                    <w:top w:val="single" w:color="000000" w:sz="12" w:space="0"/>
                    <w:left w:val="single" w:color="000000" w:sz="4" w:space="0"/>
                    <w:bottom w:val="single" w:color="000000" w:sz="4" w:space="0"/>
                    <w:right w:val="single" w:color="000000" w:sz="4" w:space="0"/>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Ⅱ</w:t>
                  </w:r>
                </w:p>
              </w:tc>
              <w:tc>
                <w:tcPr>
                  <w:tcW w:w="920" w:type="pct"/>
                  <w:tcBorders>
                    <w:top w:val="single" w:color="000000" w:sz="12" w:space="0"/>
                    <w:left w:val="single" w:color="000000" w:sz="4" w:space="0"/>
                    <w:bottom w:val="single" w:color="000000" w:sz="4" w:space="0"/>
                    <w:right w:val="nil"/>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jc w:val="center"/>
              </w:trPr>
              <w:tc>
                <w:tcPr>
                  <w:tcW w:w="987" w:type="pct"/>
                  <w:tcBorders>
                    <w:top w:val="single" w:color="000000" w:sz="4" w:space="0"/>
                    <w:left w:val="nil"/>
                    <w:bottom w:val="single" w:color="000000" w:sz="4" w:space="0"/>
                    <w:right w:val="single" w:color="000000" w:sz="4" w:space="0"/>
                  </w:tcBorders>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评价工作等级</w:t>
                  </w:r>
                </w:p>
              </w:tc>
              <w:tc>
                <w:tcPr>
                  <w:tcW w:w="930" w:type="pct"/>
                  <w:tcBorders>
                    <w:top w:val="single" w:color="000000" w:sz="4" w:space="0"/>
                    <w:left w:val="single" w:color="000000" w:sz="4" w:space="0"/>
                    <w:bottom w:val="single" w:color="000000" w:sz="4" w:space="0"/>
                    <w:right w:val="single" w:color="000000" w:sz="4" w:space="0"/>
                  </w:tcBorders>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一</w:t>
                  </w:r>
                </w:p>
              </w:tc>
              <w:tc>
                <w:tcPr>
                  <w:tcW w:w="965" w:type="pct"/>
                  <w:tcBorders>
                    <w:top w:val="single" w:color="000000" w:sz="4" w:space="0"/>
                    <w:left w:val="single" w:color="000000" w:sz="4" w:space="0"/>
                    <w:bottom w:val="single" w:color="000000" w:sz="4" w:space="0"/>
                    <w:right w:val="single" w:color="000000" w:sz="4" w:space="0"/>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二</w:t>
                  </w:r>
                </w:p>
              </w:tc>
              <w:tc>
                <w:tcPr>
                  <w:tcW w:w="1195" w:type="pct"/>
                  <w:tcBorders>
                    <w:top w:val="single" w:color="000000" w:sz="4" w:space="0"/>
                    <w:left w:val="single" w:color="000000" w:sz="4" w:space="0"/>
                    <w:bottom w:val="single" w:color="000000" w:sz="4" w:space="0"/>
                    <w:right w:val="single" w:color="000000" w:sz="4" w:space="0"/>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三</w:t>
                  </w:r>
                </w:p>
              </w:tc>
              <w:tc>
                <w:tcPr>
                  <w:tcW w:w="920" w:type="pct"/>
                  <w:tcBorders>
                    <w:top w:val="single" w:color="000000" w:sz="4" w:space="0"/>
                    <w:left w:val="single" w:color="000000" w:sz="4" w:space="0"/>
                    <w:bottom w:val="single" w:color="000000" w:sz="4" w:space="0"/>
                    <w:right w:val="nil"/>
                  </w:tcBorders>
                  <w:noWrap w:val="0"/>
                  <w:vAlign w:val="center"/>
                </w:tcPr>
                <w:p>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简单分析a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9" w:hRule="atLeast"/>
                <w:jc w:val="center"/>
              </w:trPr>
              <w:tc>
                <w:tcPr>
                  <w:tcW w:w="5000" w:type="pct"/>
                  <w:gridSpan w:val="5"/>
                  <w:tcBorders>
                    <w:top w:val="single" w:color="000000" w:sz="4" w:space="0"/>
                    <w:left w:val="nil"/>
                    <w:bottom w:val="single" w:color="000000" w:sz="12" w:space="0"/>
                    <w:right w:val="nil"/>
                  </w:tcBorders>
                  <w:noWrap w:val="0"/>
                  <w:vAlign w:val="center"/>
                </w:tcPr>
                <w:p>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a是相对于详细评价工作内容而言，在描述危险物质、环境影响途径、环境危害后果、风险防范措施等方面给出的定型说明。见附录A。</w:t>
                  </w:r>
                </w:p>
              </w:tc>
            </w:tr>
          </w:tbl>
          <w:p>
            <w:pPr>
              <w:keepNext/>
              <w:tabs>
                <w:tab w:val="left" w:leader="middleDot" w:pos="0"/>
              </w:tabs>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经计算Q=0.0</w:t>
            </w:r>
            <w:r>
              <w:rPr>
                <w:rFonts w:hint="eastAsia" w:cs="Times New Roman"/>
                <w:color w:val="auto"/>
                <w:sz w:val="24"/>
                <w:lang w:val="en-US" w:eastAsia="zh-CN"/>
              </w:rPr>
              <w:t>6</w:t>
            </w:r>
            <w:r>
              <w:rPr>
                <w:rFonts w:hint="eastAsia" w:ascii="Times New Roman" w:hAnsi="Times New Roman" w:eastAsia="宋体" w:cs="Times New Roman"/>
                <w:color w:val="auto"/>
                <w:sz w:val="24"/>
                <w:lang w:val="en-US" w:eastAsia="zh-CN"/>
              </w:rPr>
              <w:t>1</w:t>
            </w:r>
            <w:r>
              <w:rPr>
                <w:rFonts w:ascii="Times New Roman" w:hAnsi="Times New Roman" w:eastAsia="宋体" w:cs="Times New Roman"/>
                <w:color w:val="auto"/>
                <w:sz w:val="24"/>
              </w:rPr>
              <w:t>＜1，本项目环境风险潜势为Ⅰ，故本项目环境风险只需进行简单分析。</w:t>
            </w:r>
          </w:p>
          <w:p>
            <w:pPr>
              <w:pStyle w:val="107"/>
              <w:ind w:firstLine="480"/>
              <w:rPr>
                <w:rFonts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（三）风险分析</w:t>
            </w:r>
          </w:p>
          <w:p>
            <w:pPr>
              <w:pStyle w:val="107"/>
              <w:ind w:firstLine="480"/>
              <w:rPr>
                <w:color w:val="auto"/>
                <w:szCs w:val="24"/>
                <w:u w:val="none"/>
              </w:rPr>
            </w:pPr>
            <w:r>
              <w:rPr>
                <w:rFonts w:hint="eastAsia"/>
                <w:color w:val="auto"/>
                <w:szCs w:val="24"/>
                <w:u w:val="none"/>
              </w:rPr>
              <w:t>（1）废油液泄漏、油箱拆解遇明火造成火灾爆炸风险事故影响分析</w:t>
            </w:r>
          </w:p>
          <w:p>
            <w:pPr>
              <w:pStyle w:val="107"/>
              <w:ind w:firstLine="480"/>
              <w:rPr>
                <w:color w:val="auto"/>
                <w:szCs w:val="24"/>
                <w:u w:val="none"/>
              </w:rPr>
            </w:pPr>
            <w:r>
              <w:rPr>
                <w:rFonts w:hint="eastAsia"/>
                <w:color w:val="auto"/>
                <w:szCs w:val="24"/>
                <w:u w:val="none"/>
              </w:rPr>
              <w:t>若柴油、废油液等危险物质发生泄漏，若遇到火源很容易就会被点燃而引发火灾，火灾燃烧产生的废气次生污染以及消防过程产生的消防废水也可能对区域空气、地表水、土壤、地下水等环境因素造成污染。</w:t>
            </w:r>
          </w:p>
          <w:p>
            <w:pPr>
              <w:pStyle w:val="107"/>
              <w:ind w:firstLine="480"/>
              <w:rPr>
                <w:color w:val="auto"/>
                <w:szCs w:val="24"/>
                <w:u w:val="none"/>
              </w:rPr>
            </w:pPr>
            <w:r>
              <w:rPr>
                <w:rFonts w:hint="eastAsia"/>
                <w:color w:val="auto"/>
                <w:szCs w:val="24"/>
                <w:u w:val="none"/>
              </w:rPr>
              <w:t>（2）铅酸电池电解液泄漏风险事故影响分析</w:t>
            </w:r>
          </w:p>
          <w:p>
            <w:pPr>
              <w:pStyle w:val="107"/>
              <w:ind w:firstLine="480"/>
              <w:rPr>
                <w:color w:val="auto"/>
                <w:szCs w:val="24"/>
                <w:u w:val="single"/>
              </w:rPr>
            </w:pPr>
            <w:r>
              <w:rPr>
                <w:rFonts w:hint="eastAsia"/>
                <w:color w:val="auto"/>
                <w:szCs w:val="24"/>
                <w:u w:val="none"/>
              </w:rPr>
              <w:t>废铅酸蓄电池采用专用的存放箱存放，若在搬运过程中箱子跌落，电池破损，泄漏的电解液直接泄漏在储存箱内。开启储存箱进行清理时，电解液中的硫酸少量挥发，对事故处理的工作人员和场区内环境空气造成影响，电解液泄漏至环境中可能对环境空气、地下水产生影响。</w:t>
            </w:r>
          </w:p>
          <w:p>
            <w:pPr>
              <w:pStyle w:val="107"/>
              <w:ind w:firstLine="480"/>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（四）风险防范措施</w:t>
            </w:r>
          </w:p>
          <w:p>
            <w:pPr>
              <w:pStyle w:val="107"/>
              <w:ind w:firstLine="480"/>
              <w:rPr>
                <w:color w:val="auto"/>
                <w:szCs w:val="24"/>
              </w:rPr>
            </w:pPr>
            <w:r>
              <w:rPr>
                <w:rFonts w:hint="eastAsia"/>
                <w:color w:val="auto"/>
                <w:szCs w:val="24"/>
              </w:rPr>
              <w:t>（1）危险废物储存运输过程中风险防范措施</w:t>
            </w:r>
          </w:p>
          <w:p>
            <w:pPr>
              <w:pStyle w:val="107"/>
              <w:ind w:firstLine="480"/>
              <w:rPr>
                <w:color w:val="auto"/>
                <w:szCs w:val="24"/>
              </w:rPr>
            </w:pPr>
            <w:r>
              <w:rPr>
                <w:rFonts w:hint="eastAsia"/>
                <w:color w:val="auto"/>
                <w:szCs w:val="24"/>
              </w:rPr>
              <w:t>贮存要求：①危险废物暂存间门口需张贴标注规范的危险废物标识和信息板，屋内张贴《危险废物管理制度》；</w:t>
            </w:r>
          </w:p>
          <w:p>
            <w:pPr>
              <w:pStyle w:val="107"/>
              <w:ind w:firstLine="480"/>
              <w:rPr>
                <w:color w:val="auto"/>
                <w:szCs w:val="24"/>
              </w:rPr>
            </w:pPr>
            <w:r>
              <w:rPr>
                <w:rFonts w:hint="eastAsia"/>
                <w:color w:val="auto"/>
                <w:szCs w:val="24"/>
              </w:rPr>
              <w:t>②不同的危险废物应有明显的区域划分，液态危险废物需盛装在完好的容器内，并将容器防治在防泄漏托盘内，并在容器粘贴危险废物信息标签；固态危险废物需包装完好无破损，并系挂危险废物信息标签。</w:t>
            </w:r>
          </w:p>
          <w:p>
            <w:pPr>
              <w:pStyle w:val="107"/>
              <w:ind w:firstLine="480"/>
              <w:rPr>
                <w:color w:val="auto"/>
                <w:szCs w:val="24"/>
              </w:rPr>
            </w:pPr>
            <w:r>
              <w:rPr>
                <w:rFonts w:hint="eastAsia"/>
                <w:color w:val="auto"/>
                <w:szCs w:val="24"/>
              </w:rPr>
              <w:t>③需按危险废物转移三联单的要求做好危险废物台账，危险废物暂存间内禁止存放陈危险废物及应急工具以外的其他物品。产生的危险废物应每个月都进行转移处理。危险废物的储存、处置过程中必须严格执行国家《危险废物贮存污染控制标准》(GB18597-2001)及《危险化学品安全管理条例》的有关规定。</w:t>
            </w:r>
          </w:p>
          <w:p>
            <w:pPr>
              <w:pStyle w:val="107"/>
              <w:ind w:firstLine="480"/>
              <w:rPr>
                <w:color w:val="auto"/>
                <w:szCs w:val="24"/>
                <w:u w:val="none"/>
              </w:rPr>
            </w:pPr>
            <w:r>
              <w:rPr>
                <w:rFonts w:hint="eastAsia"/>
                <w:color w:val="auto"/>
                <w:szCs w:val="24"/>
                <w:u w:val="none"/>
              </w:rPr>
              <w:t>泄漏措施：①一旦发生泄漏，首先要疏散无关人员，隔离泄漏污染区，如果是小量的泄漏，且物料不具有危险性，同时能为该工作区的人员所控制时，则由该工作区的人员佩戴使用相应的个人防护用品,参照危险化学品安全技术说明书及标签上的安全信息采取控制措施;如果泄漏易燃品，则必须立即消除泄漏污染区域内的各种火源。</w:t>
            </w:r>
          </w:p>
          <w:p>
            <w:pPr>
              <w:pStyle w:val="107"/>
              <w:ind w:firstLine="480"/>
              <w:rPr>
                <w:color w:val="auto"/>
                <w:szCs w:val="24"/>
                <w:u w:val="none"/>
              </w:rPr>
            </w:pPr>
            <w:r>
              <w:rPr>
                <w:rFonts w:hint="eastAsia"/>
                <w:color w:val="auto"/>
                <w:szCs w:val="24"/>
                <w:u w:val="none"/>
              </w:rPr>
              <w:t>②容器发生泄漏，应根据实际情况，采取措施堵塞和修补裂口，制止进一步泄漏，或转换容器（利用包装空桶闲置储缸）。</w:t>
            </w:r>
          </w:p>
          <w:p>
            <w:pPr>
              <w:pStyle w:val="107"/>
              <w:ind w:firstLine="480"/>
              <w:rPr>
                <w:color w:val="auto"/>
                <w:szCs w:val="24"/>
                <w:u w:val="none"/>
              </w:rPr>
            </w:pPr>
            <w:r>
              <w:rPr>
                <w:rFonts w:hint="eastAsia"/>
                <w:color w:val="auto"/>
                <w:szCs w:val="24"/>
                <w:u w:val="none"/>
              </w:rPr>
              <w:t>③拆解区以及危险品仓库四周均设置导流槽，将泄漏物质导流入应急池，得以有效的处理，避免危险有毒物质流入外界造成环境污染。</w:t>
            </w:r>
          </w:p>
          <w:p>
            <w:pPr>
              <w:pStyle w:val="107"/>
              <w:ind w:firstLine="480"/>
              <w:rPr>
                <w:color w:val="auto"/>
                <w:szCs w:val="24"/>
                <w:u w:val="none"/>
              </w:rPr>
            </w:pPr>
            <w:r>
              <w:rPr>
                <w:rFonts w:hint="eastAsia"/>
                <w:color w:val="auto"/>
                <w:szCs w:val="24"/>
                <w:u w:val="none"/>
              </w:rPr>
              <w:t>④对于发生泄漏引起火灾等事故应把消防产生的废水收集在应急池中，灭火处理完毕后将该废水送至有资质的公司处理，严禁泄漏到环境中去，造成环境风险事故。</w:t>
            </w:r>
          </w:p>
          <w:p>
            <w:pPr>
              <w:pStyle w:val="107"/>
              <w:ind w:firstLine="480"/>
              <w:rPr>
                <w:color w:val="auto"/>
                <w:szCs w:val="24"/>
                <w:u w:val="none"/>
              </w:rPr>
            </w:pPr>
            <w:r>
              <w:rPr>
                <w:rFonts w:hint="eastAsia"/>
                <w:color w:val="auto"/>
                <w:szCs w:val="24"/>
                <w:u w:val="none"/>
              </w:rPr>
              <w:t>⑤当拆解过程中发生单个蓄电池破损、电解液泄漏，及时用收集容器对泄漏液体进行收集、密封保存，少量滴落的电解液采用石灰、活性炭等吸附材料覆盖，吸附材料收集后作为危废交由有资质的单位处置。当处理储存箱内泄漏电解液，需将破损的和完好的电池取出、分开隔离贮存，箱内电解液采用专用收集容器收集、密封保存。处理事故的工作人员在进行清理工作时须穿戴防护服、防腐蚀手套、口罩等防护用品，避免在操作中受到伤害。</w:t>
            </w:r>
          </w:p>
          <w:p>
            <w:pPr>
              <w:pStyle w:val="107"/>
              <w:ind w:firstLine="480"/>
              <w:rPr>
                <w:color w:val="auto"/>
                <w:szCs w:val="24"/>
                <w:u w:val="none"/>
              </w:rPr>
            </w:pPr>
            <w:r>
              <w:rPr>
                <w:rFonts w:hint="eastAsia"/>
                <w:color w:val="auto"/>
                <w:szCs w:val="24"/>
                <w:u w:val="none"/>
              </w:rPr>
              <w:t>（2）消防及火灾报警系统</w:t>
            </w:r>
          </w:p>
          <w:p>
            <w:pPr>
              <w:pStyle w:val="107"/>
              <w:ind w:firstLine="480"/>
              <w:rPr>
                <w:color w:val="auto"/>
                <w:szCs w:val="24"/>
                <w:u w:val="none"/>
              </w:rPr>
            </w:pPr>
            <w:r>
              <w:rPr>
                <w:rFonts w:hint="eastAsia"/>
                <w:color w:val="auto"/>
                <w:szCs w:val="24"/>
                <w:u w:val="none"/>
              </w:rPr>
              <w:t>①拆解车间内严禁明火，严禁在未排空废油液的情况下进行油箱拆解。</w:t>
            </w:r>
          </w:p>
          <w:p>
            <w:pPr>
              <w:pStyle w:val="107"/>
              <w:ind w:firstLine="480"/>
              <w:rPr>
                <w:color w:val="auto"/>
                <w:szCs w:val="24"/>
                <w:u w:val="none"/>
              </w:rPr>
            </w:pPr>
            <w:r>
              <w:rPr>
                <w:rFonts w:hint="eastAsia"/>
                <w:color w:val="auto"/>
                <w:szCs w:val="24"/>
                <w:u w:val="none"/>
              </w:rPr>
              <w:t>②厂内配备满足GB 50016规定的消防设施设备（灭火器、消火栓、消防沙等），设置消防池（100m</w:t>
            </w:r>
            <w:r>
              <w:rPr>
                <w:rFonts w:hint="eastAsia"/>
                <w:color w:val="auto"/>
                <w:szCs w:val="24"/>
                <w:u w:val="none"/>
                <w:vertAlign w:val="superscript"/>
              </w:rPr>
              <w:t>3</w:t>
            </w:r>
            <w:r>
              <w:rPr>
                <w:rFonts w:hint="eastAsia"/>
                <w:color w:val="auto"/>
                <w:szCs w:val="24"/>
                <w:u w:val="none"/>
              </w:rPr>
              <w:t>），每年对灭火器材、设施进行检查，如有损坏或压力不足应及时维修更新。检测内容、时间、人员应有记录保存。安全检测应根据设备的安全性、危险性设定检测频次。在消防器材、设施放置处，安排相应的管理者负责。</w:t>
            </w:r>
          </w:p>
          <w:p>
            <w:pPr>
              <w:pStyle w:val="107"/>
              <w:ind w:firstLine="480"/>
              <w:rPr>
                <w:color w:val="auto"/>
                <w:szCs w:val="24"/>
                <w:u w:val="none"/>
              </w:rPr>
            </w:pPr>
            <w:r>
              <w:rPr>
                <w:rFonts w:hint="eastAsia"/>
                <w:color w:val="auto"/>
                <w:szCs w:val="24"/>
                <w:u w:val="none"/>
              </w:rPr>
              <w:t>③保持消防器材的完整齐备，严禁将消防器材挪做它用，特殊情况必须经相关管理部门的同意。</w:t>
            </w:r>
          </w:p>
          <w:p>
            <w:pPr>
              <w:pStyle w:val="107"/>
              <w:ind w:firstLine="480"/>
              <w:rPr>
                <w:color w:val="auto"/>
                <w:szCs w:val="24"/>
                <w:u w:val="none"/>
              </w:rPr>
            </w:pPr>
            <w:r>
              <w:rPr>
                <w:rFonts w:hint="eastAsia"/>
                <w:color w:val="auto"/>
                <w:szCs w:val="24"/>
                <w:u w:val="none"/>
              </w:rPr>
              <w:t>（3）风险防范综合措施</w:t>
            </w:r>
          </w:p>
          <w:p>
            <w:pPr>
              <w:pStyle w:val="107"/>
              <w:ind w:firstLine="480"/>
              <w:rPr>
                <w:color w:val="auto"/>
                <w:szCs w:val="24"/>
                <w:u w:val="none"/>
              </w:rPr>
            </w:pPr>
            <w:r>
              <w:rPr>
                <w:rFonts w:hint="eastAsia"/>
                <w:color w:val="auto"/>
                <w:szCs w:val="24"/>
                <w:u w:val="none"/>
              </w:rPr>
              <w:t>①强化安全生产管理，必须制订岗位责任制，将责任落实到部门和个人严格遵守操作规程，严格遵守《化学危险品管理条例》及国家、地方关于易燃、易爆、有毒有害物料的储运使用安全规定。</w:t>
            </w:r>
          </w:p>
          <w:p>
            <w:pPr>
              <w:pStyle w:val="107"/>
              <w:ind w:firstLine="480"/>
              <w:rPr>
                <w:color w:val="auto"/>
                <w:szCs w:val="24"/>
                <w:u w:val="none"/>
              </w:rPr>
            </w:pPr>
            <w:r>
              <w:rPr>
                <w:rFonts w:hint="eastAsia"/>
                <w:color w:val="auto"/>
                <w:szCs w:val="24"/>
                <w:u w:val="none"/>
              </w:rPr>
              <w:t>②建立健全环保及安全管理部门，该部门应加强监督检查，按规定监测厂内外空气及水体中的有毒有害物质，及时发现，立即处理，避免污染。</w:t>
            </w:r>
          </w:p>
          <w:p>
            <w:pPr>
              <w:pStyle w:val="107"/>
              <w:ind w:firstLine="480"/>
              <w:rPr>
                <w:color w:val="auto"/>
                <w:szCs w:val="24"/>
                <w:u w:val="none"/>
              </w:rPr>
            </w:pPr>
            <w:r>
              <w:rPr>
                <w:rFonts w:hint="eastAsia"/>
                <w:color w:val="auto"/>
                <w:szCs w:val="24"/>
                <w:u w:val="none"/>
              </w:rPr>
              <w:t>③建设单位应编制建设项目环境风险应急预案，报环保部门批准后生产中实施，并安排环境风险应急预案及风险污染处置演练，进行应急处置宣传、教育。</w:t>
            </w:r>
          </w:p>
          <w:p>
            <w:pPr>
              <w:pStyle w:val="107"/>
              <w:ind w:firstLine="480"/>
              <w:rPr>
                <w:rFonts w:hint="eastAsia"/>
                <w:color w:val="auto"/>
                <w:szCs w:val="24"/>
                <w:u w:val="none"/>
              </w:rPr>
            </w:pPr>
            <w:r>
              <w:rPr>
                <w:rFonts w:hint="eastAsia"/>
                <w:color w:val="auto"/>
                <w:szCs w:val="24"/>
                <w:u w:val="none"/>
              </w:rPr>
              <w:t>④成立事故应急处理小组，由车间安全负责人担任事故应急小组组长，一旦发火灾等事故，应立即启动事故应急预案，并向有关环境管理部门汇报情况，协助环境管理部门进行应急监测等工作。</w:t>
            </w:r>
          </w:p>
          <w:p>
            <w:pPr>
              <w:pStyle w:val="107"/>
              <w:ind w:firstLine="480"/>
              <w:rPr>
                <w:rFonts w:hint="eastAsia" w:eastAsia="宋体"/>
                <w:color w:val="auto"/>
                <w:lang w:val="en-US" w:eastAsia="zh-CN"/>
              </w:rPr>
            </w:pPr>
            <w:r>
              <w:rPr>
                <w:rFonts w:hint="default" w:eastAsia="宋体"/>
                <w:color w:val="auto"/>
                <w:lang w:val="en-US" w:eastAsia="zh-CN"/>
              </w:rPr>
              <w:t>本项目</w:t>
            </w:r>
            <w:r>
              <w:rPr>
                <w:rFonts w:hint="eastAsia" w:eastAsia="宋体"/>
                <w:color w:val="auto"/>
                <w:lang w:val="en-US" w:eastAsia="zh-CN"/>
              </w:rPr>
              <w:t>危废贮存库</w:t>
            </w:r>
            <w:r>
              <w:rPr>
                <w:rFonts w:hint="default" w:eastAsia="宋体"/>
                <w:color w:val="auto"/>
                <w:lang w:val="en-US" w:eastAsia="zh-CN"/>
              </w:rPr>
              <w:t>及危险废物暂存容器应采取以下污染防治措施：</w:t>
            </w:r>
          </w:p>
          <w:p>
            <w:pPr>
              <w:pStyle w:val="107"/>
              <w:ind w:firstLine="480"/>
              <w:rPr>
                <w:rFonts w:hint="eastAsia" w:eastAsia="宋体"/>
                <w:color w:val="auto"/>
                <w:lang w:val="en-US" w:eastAsia="zh-CN"/>
              </w:rPr>
            </w:pPr>
            <w:r>
              <w:rPr>
                <w:rFonts w:hint="default" w:eastAsia="宋体"/>
                <w:color w:val="auto"/>
                <w:lang w:val="en-US" w:eastAsia="zh-CN"/>
              </w:rPr>
              <w:t>（1）危险废物暂存应严格按照</w:t>
            </w:r>
            <w:r>
              <w:rPr>
                <w:rFonts w:hint="eastAsia" w:eastAsia="宋体"/>
                <w:color w:val="auto"/>
                <w:lang w:val="en-US" w:eastAsia="zh-CN"/>
              </w:rPr>
              <w:t>《</w:t>
            </w:r>
            <w:r>
              <w:rPr>
                <w:rFonts w:hint="default" w:eastAsia="宋体"/>
                <w:color w:val="auto"/>
                <w:lang w:val="en-US" w:eastAsia="zh-CN"/>
              </w:rPr>
              <w:t>危险废物贮存污染控制标准</w:t>
            </w:r>
            <w:r>
              <w:rPr>
                <w:rFonts w:hint="eastAsia" w:eastAsia="宋体"/>
                <w:color w:val="auto"/>
                <w:lang w:val="en-US" w:eastAsia="zh-CN"/>
              </w:rPr>
              <w:t>》</w:t>
            </w:r>
            <w:r>
              <w:rPr>
                <w:rFonts w:hint="default" w:eastAsia="宋体"/>
                <w:color w:val="auto"/>
                <w:lang w:val="en-US" w:eastAsia="zh-CN"/>
              </w:rPr>
              <w:t>（GB18597-20</w:t>
            </w:r>
            <w:r>
              <w:rPr>
                <w:rFonts w:hint="eastAsia" w:eastAsia="宋体"/>
                <w:color w:val="auto"/>
                <w:lang w:val="en-US" w:eastAsia="zh-CN"/>
              </w:rPr>
              <w:t>23</w:t>
            </w:r>
            <w:r>
              <w:rPr>
                <w:rFonts w:hint="default" w:eastAsia="宋体"/>
                <w:color w:val="auto"/>
                <w:lang w:val="en-US" w:eastAsia="zh-CN"/>
              </w:rPr>
              <w:t>）要求执行。对存储的各种危险废物的容器进行标识，避免混合、混放。危险废物暂存和处理按照国家相关要求进行，使用专用密闭容器分类存储，并交给有资质的单位安全处</w:t>
            </w:r>
            <w:r>
              <w:rPr>
                <w:rFonts w:hint="eastAsia" w:eastAsia="宋体"/>
                <w:color w:val="auto"/>
                <w:lang w:val="en-US" w:eastAsia="zh-CN"/>
              </w:rPr>
              <w:t>置</w:t>
            </w:r>
            <w:r>
              <w:rPr>
                <w:rFonts w:hint="default" w:eastAsia="宋体"/>
                <w:color w:val="auto"/>
                <w:lang w:val="en-US" w:eastAsia="zh-CN"/>
              </w:rPr>
              <w:t>。日常管理应专人专管，严格进行日常安全防护管理和监测。</w:t>
            </w:r>
          </w:p>
          <w:p>
            <w:pPr>
              <w:pStyle w:val="107"/>
              <w:ind w:firstLine="480"/>
              <w:rPr>
                <w:rFonts w:hint="eastAsia" w:eastAsia="宋体"/>
                <w:color w:val="auto"/>
                <w:lang w:val="en-US" w:eastAsia="zh-CN"/>
              </w:rPr>
            </w:pPr>
            <w:r>
              <w:rPr>
                <w:rFonts w:hint="default" w:eastAsia="宋体"/>
                <w:color w:val="auto"/>
                <w:lang w:val="en-US" w:eastAsia="zh-CN"/>
              </w:rPr>
              <w:t>（2）危险废物贮存应关注</w:t>
            </w:r>
            <w:r>
              <w:rPr>
                <w:rFonts w:hint="eastAsia" w:eastAsia="宋体"/>
                <w:color w:val="auto"/>
                <w:lang w:val="en-US" w:eastAsia="zh-CN"/>
              </w:rPr>
              <w:t>“</w:t>
            </w:r>
            <w:r>
              <w:rPr>
                <w:rFonts w:hint="default" w:eastAsia="宋体"/>
                <w:color w:val="auto"/>
                <w:lang w:val="en-US" w:eastAsia="zh-CN"/>
              </w:rPr>
              <w:t>防风、防雨、防晒、防渗漏</w:t>
            </w:r>
            <w:r>
              <w:rPr>
                <w:rFonts w:hint="eastAsia" w:eastAsia="宋体"/>
                <w:color w:val="auto"/>
                <w:lang w:val="en-US" w:eastAsia="zh-CN"/>
              </w:rPr>
              <w:t>”</w:t>
            </w:r>
            <w:r>
              <w:rPr>
                <w:rFonts w:hint="default" w:eastAsia="宋体"/>
                <w:color w:val="auto"/>
                <w:lang w:val="en-US" w:eastAsia="zh-CN"/>
              </w:rPr>
              <w:t>，贮存设施按照</w:t>
            </w:r>
            <w:r>
              <w:rPr>
                <w:rFonts w:hint="eastAsia" w:eastAsia="宋体"/>
                <w:color w:val="auto"/>
                <w:lang w:val="en-US" w:eastAsia="zh-CN"/>
              </w:rPr>
              <w:t>《危险废物贮存污染控制标准》（GB18597-2023）</w:t>
            </w:r>
            <w:r>
              <w:rPr>
                <w:rFonts w:hint="default" w:eastAsia="宋体"/>
                <w:color w:val="auto"/>
                <w:lang w:val="en-US" w:eastAsia="zh-CN"/>
              </w:rPr>
              <w:t>要求，对其地面进行重点防渗处理，采用铺设防护垫层+2.0mm高密度聚乙烯（HDPE）防渗膜，在做好基层防渗的基础上进行水泥硬化，渗透系数K≤1.0×10-10cm/s</w:t>
            </w:r>
            <w:r>
              <w:rPr>
                <w:rFonts w:hint="eastAsia" w:eastAsia="宋体"/>
                <w:color w:val="auto"/>
                <w:lang w:val="en-US" w:eastAsia="zh-CN"/>
              </w:rPr>
              <w:t>。</w:t>
            </w:r>
          </w:p>
          <w:p>
            <w:pPr>
              <w:pStyle w:val="107"/>
              <w:ind w:firstLine="480"/>
              <w:rPr>
                <w:rFonts w:hint="default" w:eastAsia="宋体"/>
                <w:color w:val="auto"/>
                <w:lang w:val="en-US" w:eastAsia="zh-CN"/>
              </w:rPr>
            </w:pPr>
            <w:r>
              <w:rPr>
                <w:rFonts w:hint="eastAsia" w:eastAsia="宋体"/>
                <w:color w:val="auto"/>
                <w:lang w:val="en-US" w:eastAsia="zh-CN"/>
              </w:rPr>
              <w:t>通过采取上述措施，可满足《危险废物贮存污染控制标准》（GB18597-2023）</w:t>
            </w:r>
            <w:r>
              <w:rPr>
                <w:rFonts w:hint="default" w:eastAsia="宋体"/>
                <w:color w:val="auto"/>
                <w:lang w:val="en-US" w:eastAsia="zh-CN"/>
              </w:rPr>
              <w:t>相关要求，危险废物暂存具备可行性。</w:t>
            </w:r>
          </w:p>
          <w:p>
            <w:pPr>
              <w:pStyle w:val="107"/>
              <w:ind w:firstLine="480"/>
              <w:rPr>
                <w:rFonts w:hint="eastAsia" w:eastAsia="宋体"/>
                <w:color w:val="auto"/>
                <w:lang w:val="en-US" w:eastAsia="zh-CN"/>
              </w:rPr>
            </w:pPr>
            <w:r>
              <w:rPr>
                <w:rFonts w:hint="default" w:eastAsia="宋体"/>
                <w:color w:val="auto"/>
                <w:lang w:val="en-US" w:eastAsia="zh-CN"/>
              </w:rPr>
              <w:t>本项目产生的危险废物在厂内指定的</w:t>
            </w:r>
            <w:r>
              <w:rPr>
                <w:rFonts w:hint="eastAsia" w:eastAsia="宋体"/>
                <w:color w:val="auto"/>
                <w:lang w:val="en-US" w:eastAsia="zh-CN"/>
              </w:rPr>
              <w:t>危废贮存库</w:t>
            </w:r>
            <w:r>
              <w:rPr>
                <w:rFonts w:hint="default" w:eastAsia="宋体"/>
                <w:color w:val="auto"/>
                <w:lang w:val="en-US" w:eastAsia="zh-CN"/>
              </w:rPr>
              <w:t>安全暂存，定期委托有资质单位回收处理，由持有危险废物经营许可证、危险货物运</w:t>
            </w:r>
            <w:r>
              <w:rPr>
                <w:rFonts w:hint="eastAsia" w:eastAsia="宋体"/>
                <w:color w:val="auto"/>
                <w:lang w:val="en-US" w:eastAsia="zh-CN"/>
              </w:rPr>
              <w:t>输资质的单位拉运。本环评要求的危险废物运输应采取以下防治措施：</w:t>
            </w:r>
          </w:p>
          <w:p>
            <w:pPr>
              <w:pStyle w:val="107"/>
              <w:ind w:firstLine="480"/>
              <w:rPr>
                <w:rFonts w:hint="eastAsia" w:eastAsia="宋体"/>
                <w:color w:val="auto"/>
                <w:lang w:val="en-US" w:eastAsia="zh-CN"/>
              </w:rPr>
            </w:pPr>
            <w:r>
              <w:rPr>
                <w:rFonts w:hint="default" w:eastAsia="宋体"/>
                <w:color w:val="auto"/>
                <w:lang w:val="en-US" w:eastAsia="zh-CN"/>
              </w:rPr>
              <w:t>（1）转移危险废物的，应当通过国家危险废物信息管理系统（以下简称信息系统）填写、运行危险废物电子转移联单，并依照国家有关规定公开危险废物转移相关污染环境防治信息。</w:t>
            </w:r>
          </w:p>
          <w:p>
            <w:pPr>
              <w:pStyle w:val="107"/>
              <w:ind w:firstLine="480"/>
              <w:rPr>
                <w:rFonts w:hint="default" w:eastAsia="宋体"/>
                <w:color w:val="auto"/>
                <w:lang w:val="en-US" w:eastAsia="zh-CN"/>
              </w:rPr>
            </w:pPr>
            <w:r>
              <w:rPr>
                <w:rFonts w:hint="default" w:eastAsia="宋体"/>
                <w:color w:val="auto"/>
                <w:lang w:val="en-US" w:eastAsia="zh-CN"/>
              </w:rPr>
              <w:t>（2）危险废物转移联单应当根据危险废物管理计划中填报的危险废物转移等备案信息填写、运行。</w:t>
            </w:r>
          </w:p>
          <w:p>
            <w:pPr>
              <w:pStyle w:val="107"/>
              <w:ind w:firstLine="480"/>
              <w:rPr>
                <w:rFonts w:hint="eastAsia" w:eastAsia="宋体"/>
                <w:color w:val="auto"/>
                <w:lang w:val="en-US" w:eastAsia="zh-CN"/>
              </w:rPr>
            </w:pPr>
            <w:r>
              <w:rPr>
                <w:rFonts w:hint="default" w:eastAsia="宋体"/>
                <w:color w:val="auto"/>
                <w:lang w:val="en-US" w:eastAsia="zh-CN"/>
              </w:rPr>
              <w:t>（3）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pPr>
              <w:pStyle w:val="107"/>
              <w:ind w:firstLine="480"/>
              <w:rPr>
                <w:rFonts w:hint="eastAsia" w:eastAsia="宋体"/>
                <w:color w:val="auto"/>
                <w:lang w:val="en-US" w:eastAsia="zh-CN"/>
              </w:rPr>
            </w:pPr>
            <w:r>
              <w:rPr>
                <w:rFonts w:hint="default" w:eastAsia="宋体"/>
                <w:color w:val="auto"/>
                <w:lang w:val="en-US" w:eastAsia="zh-CN"/>
              </w:rPr>
              <w:t>使用同一车（船或者其他运输工具）一次为多个移出人转移危险废物的，每个移出人应当分别填写、运行危险废物转移联单。</w:t>
            </w:r>
          </w:p>
          <w:p>
            <w:pPr>
              <w:pStyle w:val="107"/>
              <w:ind w:firstLine="480"/>
              <w:rPr>
                <w:rFonts w:hint="eastAsia" w:eastAsia="宋体"/>
                <w:color w:val="auto"/>
                <w:lang w:val="en-US" w:eastAsia="zh-CN"/>
              </w:rPr>
            </w:pPr>
            <w:r>
              <w:rPr>
                <w:rFonts w:hint="default" w:eastAsia="宋体"/>
                <w:color w:val="auto"/>
                <w:lang w:val="en-US" w:eastAsia="zh-CN"/>
              </w:rPr>
              <w:t>（4）采用联运方式转移危险废物的，前一承运人和后一承运人应当明确运输交接的时间和地点。后一承运人应当核实危险废物转移联单确定的移出人信息、前一承运人信息及危险废物相关信息。</w:t>
            </w:r>
          </w:p>
          <w:p>
            <w:pPr>
              <w:pStyle w:val="107"/>
              <w:ind w:firstLine="480"/>
              <w:rPr>
                <w:rFonts w:hint="eastAsia" w:eastAsia="宋体"/>
                <w:color w:val="auto"/>
                <w:lang w:val="en-US" w:eastAsia="zh-CN"/>
              </w:rPr>
            </w:pPr>
            <w:r>
              <w:rPr>
                <w:rFonts w:hint="default" w:eastAsia="宋体"/>
                <w:color w:val="auto"/>
                <w:lang w:val="en-US" w:eastAsia="zh-CN"/>
              </w:rPr>
              <w:t>（5）接受人应当对运抵的危险废物进行核实验收，并在接受之日起五个工作日内通过信息系统确认接受。运抵的危险废物的名称、数量、特性、形态、包装方式与危险废物转移联单填写内容不符的，接受人应当及时告知移出人，视情况决定是否接受，同时向接受地生态环境主管部门报告。</w:t>
            </w:r>
          </w:p>
          <w:p>
            <w:pPr>
              <w:pStyle w:val="107"/>
              <w:ind w:firstLine="480"/>
              <w:rPr>
                <w:rFonts w:hint="default" w:eastAsia="宋体"/>
                <w:color w:val="auto"/>
                <w:lang w:val="en-US" w:eastAsia="zh-CN"/>
              </w:rPr>
            </w:pPr>
            <w:r>
              <w:rPr>
                <w:rFonts w:hint="default" w:eastAsia="宋体"/>
                <w:color w:val="auto"/>
                <w:lang w:val="en-US" w:eastAsia="zh-CN"/>
              </w:rPr>
              <w:t>（6）对不通过车（船或者其他运输工具），且无法按次对危险废物计量的其他方式转移危险废物的，移出人和接受人应当分别配备计量记录设备，将每天危险废物转移的种类、重量（数量）、形态和危险特性等信息纳入相关台账记录，并根据所在地设区的市级以上地方生态环境主管部门的要求填写、运行危险废物转移联单。</w:t>
            </w:r>
          </w:p>
          <w:p>
            <w:pPr>
              <w:pStyle w:val="107"/>
              <w:ind w:firstLine="480"/>
              <w:rPr>
                <w:rFonts w:hint="eastAsia" w:eastAsia="宋体"/>
                <w:color w:val="auto"/>
                <w:lang w:val="en-US" w:eastAsia="zh-CN"/>
              </w:rPr>
            </w:pPr>
            <w:r>
              <w:rPr>
                <w:rFonts w:hint="default" w:eastAsia="宋体"/>
                <w:color w:val="auto"/>
                <w:lang w:val="en-US" w:eastAsia="zh-CN"/>
              </w:rPr>
              <w:t>（7）危险废物电子转移联单数据应当在信息系统中至少保存十</w:t>
            </w:r>
            <w:r>
              <w:rPr>
                <w:rFonts w:hint="eastAsia" w:eastAsia="宋体"/>
                <w:color w:val="auto"/>
                <w:lang w:val="en-US" w:eastAsia="zh-CN"/>
              </w:rPr>
              <w:t>年。</w:t>
            </w:r>
            <w:r>
              <w:rPr>
                <w:rFonts w:hint="default" w:eastAsia="宋体"/>
                <w:color w:val="auto"/>
                <w:lang w:val="en-US" w:eastAsia="zh-CN"/>
              </w:rPr>
              <w:t>因特殊原因无法运行危险废物电子转移联单的，可以先使用纸质转移联单，并于转移活动完成后十个工作日内在信息系统中补录电子转移联单。</w:t>
            </w:r>
          </w:p>
          <w:p>
            <w:pPr>
              <w:pStyle w:val="107"/>
              <w:ind w:firstLine="480"/>
              <w:rPr>
                <w:rFonts w:hint="eastAsia" w:eastAsia="宋体"/>
                <w:color w:val="auto"/>
                <w:lang w:val="en-US" w:eastAsia="zh-CN"/>
              </w:rPr>
            </w:pPr>
            <w:r>
              <w:rPr>
                <w:rFonts w:hint="default" w:eastAsia="宋体"/>
                <w:color w:val="auto"/>
                <w:lang w:val="en-US" w:eastAsia="zh-CN"/>
              </w:rPr>
              <w:t>（8）有防鼠、防蚊蝇、防蟑螂的安全措施；防止渗漏和雨水冲刷；易于清洁和消毒；避免阳光直射；</w:t>
            </w:r>
          </w:p>
          <w:p>
            <w:pPr>
              <w:pStyle w:val="107"/>
              <w:ind w:firstLine="480"/>
              <w:rPr>
                <w:rFonts w:hint="eastAsia" w:eastAsia="宋体"/>
                <w:color w:val="auto"/>
                <w:lang w:val="en-US" w:eastAsia="zh-CN"/>
              </w:rPr>
            </w:pPr>
            <w:r>
              <w:rPr>
                <w:rFonts w:hint="default" w:eastAsia="宋体"/>
                <w:color w:val="auto"/>
                <w:lang w:val="en-US" w:eastAsia="zh-CN"/>
              </w:rPr>
              <w:t>（9）按照</w:t>
            </w:r>
            <w:r>
              <w:rPr>
                <w:rFonts w:hint="eastAsia" w:eastAsia="宋体"/>
                <w:color w:val="auto"/>
                <w:lang w:val="en-US" w:eastAsia="zh-CN"/>
              </w:rPr>
              <w:t>《</w:t>
            </w:r>
            <w:r>
              <w:rPr>
                <w:rFonts w:hint="default" w:eastAsia="宋体"/>
                <w:color w:val="auto"/>
                <w:lang w:val="en-US" w:eastAsia="zh-CN"/>
              </w:rPr>
              <w:t>环境保护图形标志固体废物贮存场</w:t>
            </w:r>
            <w:r>
              <w:rPr>
                <w:rFonts w:hint="eastAsia" w:eastAsia="宋体"/>
                <w:color w:val="auto"/>
                <w:lang w:val="en-US" w:eastAsia="zh-CN"/>
              </w:rPr>
              <w:t>》</w:t>
            </w:r>
            <w:r>
              <w:rPr>
                <w:rFonts w:hint="default" w:eastAsia="宋体"/>
                <w:color w:val="auto"/>
                <w:lang w:val="en-US" w:eastAsia="zh-CN"/>
              </w:rPr>
              <w:t>（GB15562.2-1995）附录A的规定在危险废物外包装设</w:t>
            </w:r>
            <w:r>
              <w:rPr>
                <w:rFonts w:hint="eastAsia" w:eastAsia="宋体"/>
                <w:color w:val="auto"/>
                <w:lang w:val="en-US" w:eastAsia="zh-CN"/>
              </w:rPr>
              <w:t>置</w:t>
            </w:r>
            <w:r>
              <w:rPr>
                <w:rFonts w:hint="default" w:eastAsia="宋体"/>
                <w:color w:val="auto"/>
                <w:lang w:val="en-US" w:eastAsia="zh-CN"/>
              </w:rPr>
              <w:t>警示标志；</w:t>
            </w:r>
          </w:p>
          <w:p>
            <w:pPr>
              <w:pStyle w:val="107"/>
              <w:ind w:firstLine="480"/>
              <w:rPr>
                <w:rFonts w:hint="default" w:eastAsia="宋体"/>
                <w:color w:val="auto"/>
                <w:lang w:val="en-US" w:eastAsia="zh-CN"/>
              </w:rPr>
            </w:pPr>
            <w:r>
              <w:rPr>
                <w:rFonts w:hint="default" w:eastAsia="宋体"/>
                <w:color w:val="auto"/>
                <w:lang w:val="en-US" w:eastAsia="zh-CN"/>
              </w:rPr>
              <w:t>（10）输路线应尽量避开敏感保护目标，避免穿越人口稠密区，远离人员活动区和生活垃圾存放场所，方便危险废物运送人员及运送工具、车辆的出入；运输人员要穿安全防护服。</w:t>
            </w:r>
          </w:p>
          <w:p>
            <w:pPr>
              <w:pStyle w:val="107"/>
              <w:ind w:firstLine="480"/>
              <w:rPr>
                <w:rFonts w:hint="eastAsia" w:eastAsia="宋体"/>
                <w:color w:val="auto"/>
                <w:lang w:val="en-US" w:eastAsia="zh-CN"/>
              </w:rPr>
            </w:pPr>
            <w:r>
              <w:rPr>
                <w:rFonts w:hint="default" w:eastAsia="宋体"/>
                <w:color w:val="auto"/>
                <w:lang w:val="en-US" w:eastAsia="zh-CN"/>
              </w:rPr>
              <w:t>（11）危险废物内部转运应参照</w:t>
            </w:r>
            <w:r>
              <w:rPr>
                <w:rFonts w:hint="eastAsia" w:eastAsia="宋体"/>
                <w:color w:val="auto"/>
                <w:lang w:val="en-US" w:eastAsia="zh-CN"/>
              </w:rPr>
              <w:t>《</w:t>
            </w:r>
            <w:r>
              <w:rPr>
                <w:rFonts w:hint="default" w:eastAsia="宋体"/>
                <w:color w:val="auto"/>
                <w:lang w:val="en-US" w:eastAsia="zh-CN"/>
              </w:rPr>
              <w:t>危险废物收集、贮存、运输技术规范</w:t>
            </w:r>
            <w:r>
              <w:rPr>
                <w:rFonts w:hint="eastAsia" w:eastAsia="宋体"/>
                <w:color w:val="auto"/>
                <w:lang w:val="en-US" w:eastAsia="zh-CN"/>
              </w:rPr>
              <w:t>》</w:t>
            </w:r>
            <w:r>
              <w:rPr>
                <w:rFonts w:hint="default" w:eastAsia="宋体"/>
                <w:color w:val="auto"/>
                <w:lang w:val="en-US" w:eastAsia="zh-CN"/>
              </w:rPr>
              <w:t>（HJ2025-2012）附录B填写</w:t>
            </w:r>
            <w:r>
              <w:rPr>
                <w:rFonts w:hint="eastAsia" w:eastAsia="宋体"/>
                <w:color w:val="auto"/>
                <w:lang w:val="en-US" w:eastAsia="zh-CN"/>
              </w:rPr>
              <w:t>《</w:t>
            </w:r>
            <w:r>
              <w:rPr>
                <w:rFonts w:hint="default" w:eastAsia="宋体"/>
                <w:color w:val="auto"/>
                <w:lang w:val="en-US" w:eastAsia="zh-CN"/>
              </w:rPr>
              <w:t>危险废物厂内转运记录表</w:t>
            </w:r>
            <w:r>
              <w:rPr>
                <w:rFonts w:hint="eastAsia" w:eastAsia="宋体"/>
                <w:color w:val="auto"/>
                <w:lang w:val="en-US" w:eastAsia="zh-CN"/>
              </w:rPr>
              <w:t>》</w:t>
            </w:r>
            <w:r>
              <w:rPr>
                <w:rFonts w:hint="default" w:eastAsia="宋体"/>
                <w:color w:val="auto"/>
                <w:lang w:val="en-US" w:eastAsia="zh-CN"/>
              </w:rPr>
              <w:t>，用专门车辆将危险废物运输至</w:t>
            </w:r>
            <w:r>
              <w:rPr>
                <w:rFonts w:hint="eastAsia" w:eastAsia="宋体"/>
                <w:color w:val="auto"/>
                <w:lang w:val="en-US" w:eastAsia="zh-CN"/>
              </w:rPr>
              <w:t>危废贮存库</w:t>
            </w:r>
            <w:r>
              <w:rPr>
                <w:rFonts w:hint="default" w:eastAsia="宋体"/>
                <w:color w:val="auto"/>
                <w:lang w:val="en-US" w:eastAsia="zh-CN"/>
              </w:rPr>
              <w:t>，车辆外部需有警示标志，避免在上班、下班、午休等人流较多的时段运输。危险废物内部转运结束后，应对转运路线进行检查和清理，确保无危险废物遗失在转运路线上。</w:t>
            </w:r>
          </w:p>
          <w:p>
            <w:pPr>
              <w:pStyle w:val="107"/>
              <w:ind w:firstLine="480"/>
              <w:rPr>
                <w:rFonts w:hint="eastAsia"/>
                <w:color w:val="auto"/>
                <w:lang w:val="en-US" w:eastAsia="zh-CN"/>
              </w:rPr>
            </w:pPr>
            <w:r>
              <w:rPr>
                <w:rFonts w:hint="default"/>
                <w:color w:val="auto"/>
                <w:lang w:val="en-US" w:eastAsia="zh-CN"/>
              </w:rPr>
              <w:t>通过采取上述措施，可以满足</w:t>
            </w:r>
            <w:r>
              <w:rPr>
                <w:rFonts w:hint="eastAsia"/>
                <w:color w:val="auto"/>
                <w:lang w:val="en-US" w:eastAsia="zh-CN"/>
              </w:rPr>
              <w:t>《</w:t>
            </w:r>
            <w:r>
              <w:rPr>
                <w:rFonts w:hint="default"/>
                <w:color w:val="auto"/>
                <w:lang w:val="en-US" w:eastAsia="zh-CN"/>
              </w:rPr>
              <w:t>危险废物收集、贮存、运输技术规范</w:t>
            </w:r>
            <w:r>
              <w:rPr>
                <w:rFonts w:hint="eastAsia"/>
                <w:color w:val="auto"/>
                <w:lang w:val="en-US" w:eastAsia="zh-CN"/>
              </w:rPr>
              <w:t>》</w:t>
            </w:r>
            <w:r>
              <w:rPr>
                <w:rFonts w:hint="default"/>
                <w:color w:val="auto"/>
                <w:lang w:val="en-US" w:eastAsia="zh-CN"/>
              </w:rPr>
              <w:t>（HJ2025-2012）及</w:t>
            </w:r>
            <w:r>
              <w:rPr>
                <w:rFonts w:hint="eastAsia"/>
                <w:color w:val="auto"/>
                <w:lang w:val="en-US" w:eastAsia="zh-CN"/>
              </w:rPr>
              <w:t>《</w:t>
            </w:r>
            <w:r>
              <w:rPr>
                <w:rFonts w:hint="default"/>
                <w:color w:val="auto"/>
                <w:lang w:val="en-US" w:eastAsia="zh-CN"/>
              </w:rPr>
              <w:t>危险废物转移管理办法</w:t>
            </w:r>
            <w:r>
              <w:rPr>
                <w:rFonts w:hint="eastAsia"/>
                <w:color w:val="auto"/>
                <w:lang w:val="en-US" w:eastAsia="zh-CN"/>
              </w:rPr>
              <w:t>》</w:t>
            </w:r>
            <w:r>
              <w:rPr>
                <w:rFonts w:hint="default"/>
                <w:color w:val="auto"/>
                <w:lang w:val="en-US" w:eastAsia="zh-CN"/>
              </w:rPr>
              <w:t>中相关规定。对周边环境敏感点影响较小，危险废物的转运具备可行性。</w:t>
            </w:r>
          </w:p>
          <w:p>
            <w:pPr>
              <w:pStyle w:val="82"/>
              <w:rPr>
                <w:color w:val="auto"/>
              </w:rPr>
            </w:pPr>
            <w:r>
              <w:rPr>
                <w:rFonts w:hint="eastAsia" w:ascii="Times New Roman" w:hAnsi="Times New Roman" w:eastAsia="宋体" w:cs="Times New Roman"/>
                <w:b w:val="0"/>
                <w:bCs w:val="0"/>
                <w:color w:val="auto"/>
                <w:kern w:val="2"/>
                <w:sz w:val="24"/>
                <w:szCs w:val="24"/>
                <w:u w:val="none"/>
                <w:lang w:val="en-US" w:eastAsia="zh-CN" w:bidi="ar-SA"/>
              </w:rPr>
              <w:t>综上所述，根据项目环境风险评价分析，主要的风险来自泄露和火灾爆炸事故。本环评要求企业必须加强安全管理，严格落实环评报告提出的风险防范措施和应急措施。经采取环评报告提出的风险防范措施和应急预案后，项目建成后全厂的环境风险在可控制和承受的范围之内。</w:t>
            </w:r>
            <w:r>
              <w:rPr>
                <w:color w:val="auto"/>
              </w:rPr>
              <w:t>八、环保投资概算</w:t>
            </w:r>
          </w:p>
          <w:p>
            <w:pPr>
              <w:pStyle w:val="75"/>
              <w:rPr>
                <w:color w:val="auto"/>
              </w:rPr>
            </w:pPr>
            <w:r>
              <w:rPr>
                <w:color w:val="auto"/>
              </w:rPr>
              <w:t>本项目环保投资估算见下表。</w:t>
            </w:r>
          </w:p>
          <w:p>
            <w:pPr>
              <w:pStyle w:val="76"/>
              <w:rPr>
                <w:color w:val="auto"/>
              </w:rPr>
            </w:pPr>
            <w:r>
              <w:rPr>
                <w:color w:val="auto"/>
              </w:rPr>
              <w:t>表4-</w:t>
            </w:r>
            <w:r>
              <w:rPr>
                <w:rFonts w:hint="eastAsia"/>
                <w:color w:val="auto"/>
                <w:lang w:val="en-US" w:eastAsia="zh-CN"/>
              </w:rPr>
              <w:t>15</w:t>
            </w:r>
            <w:r>
              <w:rPr>
                <w:color w:val="auto"/>
              </w:rPr>
              <w:t xml:space="preserve"> 环保投资一览表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60"/>
              <w:gridCol w:w="1280"/>
              <w:gridCol w:w="1558"/>
              <w:gridCol w:w="3116"/>
              <w:gridCol w:w="11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742" w:type="dxa"/>
                  <w:gridSpan w:val="2"/>
                  <w:vAlign w:val="center"/>
                </w:tcPr>
                <w:p>
                  <w:pPr>
                    <w:pStyle w:val="49"/>
                    <w:keepNext/>
                    <w:rPr>
                      <w:color w:val="auto"/>
                    </w:rPr>
                  </w:pPr>
                  <w:r>
                    <w:rPr>
                      <w:color w:val="auto"/>
                    </w:rPr>
                    <w:t>投资项目</w:t>
                  </w:r>
                </w:p>
              </w:tc>
              <w:tc>
                <w:tcPr>
                  <w:tcW w:w="1559" w:type="dxa"/>
                  <w:vAlign w:val="center"/>
                </w:tcPr>
                <w:p>
                  <w:pPr>
                    <w:pStyle w:val="49"/>
                    <w:keepNext/>
                    <w:rPr>
                      <w:color w:val="auto"/>
                    </w:rPr>
                  </w:pPr>
                  <w:r>
                    <w:rPr>
                      <w:color w:val="auto"/>
                    </w:rPr>
                    <w:t>污染源</w:t>
                  </w:r>
                </w:p>
              </w:tc>
              <w:tc>
                <w:tcPr>
                  <w:tcW w:w="3119" w:type="dxa"/>
                  <w:vAlign w:val="center"/>
                </w:tcPr>
                <w:p>
                  <w:pPr>
                    <w:pStyle w:val="49"/>
                    <w:keepNext/>
                    <w:rPr>
                      <w:color w:val="auto"/>
                    </w:rPr>
                  </w:pPr>
                  <w:r>
                    <w:rPr>
                      <w:color w:val="auto"/>
                    </w:rPr>
                    <w:t>具体措施</w:t>
                  </w:r>
                </w:p>
              </w:tc>
              <w:tc>
                <w:tcPr>
                  <w:tcW w:w="1101" w:type="dxa"/>
                  <w:vAlign w:val="center"/>
                </w:tcPr>
                <w:p>
                  <w:pPr>
                    <w:pStyle w:val="49"/>
                    <w:keepNext/>
                    <w:rPr>
                      <w:color w:val="auto"/>
                    </w:rPr>
                  </w:pPr>
                  <w:r>
                    <w:rPr>
                      <w:color w:val="auto"/>
                    </w:rPr>
                    <w:t>投资</w:t>
                  </w:r>
                </w:p>
                <w:p>
                  <w:pPr>
                    <w:pStyle w:val="49"/>
                    <w:keepNext/>
                    <w:rPr>
                      <w:color w:val="auto"/>
                    </w:rPr>
                  </w:pPr>
                  <w:r>
                    <w:rPr>
                      <w:color w:val="auto"/>
                    </w:rPr>
                    <w:t>（万元）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461" w:type="dxa"/>
                  <w:vMerge w:val="restart"/>
                  <w:tcBorders>
                    <w:right w:val="single" w:color="auto" w:sz="4" w:space="0"/>
                  </w:tcBorders>
                  <w:vAlign w:val="center"/>
                </w:tcPr>
                <w:p>
                  <w:pPr>
                    <w:pStyle w:val="49"/>
                    <w:keepNext/>
                    <w:rPr>
                      <w:color w:val="auto"/>
                    </w:rPr>
                  </w:pPr>
                  <w:r>
                    <w:rPr>
                      <w:color w:val="auto"/>
                    </w:rPr>
                    <w:t>运</w:t>
                  </w:r>
                </w:p>
                <w:p>
                  <w:pPr>
                    <w:pStyle w:val="49"/>
                    <w:keepNext/>
                    <w:rPr>
                      <w:color w:val="auto"/>
                    </w:rPr>
                  </w:pPr>
                  <w:r>
                    <w:rPr>
                      <w:color w:val="auto"/>
                    </w:rPr>
                    <w:t>营</w:t>
                  </w:r>
                </w:p>
                <w:p>
                  <w:pPr>
                    <w:pStyle w:val="49"/>
                    <w:keepNext/>
                    <w:rPr>
                      <w:color w:val="auto"/>
                    </w:rPr>
                  </w:pPr>
                  <w:r>
                    <w:rPr>
                      <w:color w:val="auto"/>
                    </w:rPr>
                    <w:t>期</w:t>
                  </w:r>
                </w:p>
              </w:tc>
              <w:tc>
                <w:tcPr>
                  <w:tcW w:w="1281" w:type="dxa"/>
                  <w:tcBorders>
                    <w:left w:val="single" w:color="auto" w:sz="4" w:space="0"/>
                  </w:tcBorders>
                  <w:vAlign w:val="center"/>
                </w:tcPr>
                <w:p>
                  <w:pPr>
                    <w:pStyle w:val="49"/>
                    <w:keepNext/>
                    <w:rPr>
                      <w:color w:val="auto"/>
                    </w:rPr>
                  </w:pPr>
                  <w:r>
                    <w:rPr>
                      <w:color w:val="auto"/>
                    </w:rPr>
                    <w:t>废气治理</w:t>
                  </w:r>
                </w:p>
              </w:tc>
              <w:tc>
                <w:tcPr>
                  <w:tcW w:w="1559" w:type="dxa"/>
                  <w:vAlign w:val="center"/>
                </w:tcPr>
                <w:p>
                  <w:pPr>
                    <w:pStyle w:val="49"/>
                    <w:keepNext/>
                    <w:rPr>
                      <w:color w:val="auto"/>
                    </w:rPr>
                  </w:pPr>
                  <w:r>
                    <w:rPr>
                      <w:color w:val="auto"/>
                    </w:rPr>
                    <w:t>切割工段</w:t>
                  </w:r>
                </w:p>
              </w:tc>
              <w:tc>
                <w:tcPr>
                  <w:tcW w:w="3119" w:type="dxa"/>
                  <w:vAlign w:val="center"/>
                </w:tcPr>
                <w:p>
                  <w:pPr>
                    <w:pStyle w:val="49"/>
                    <w:keepNext/>
                    <w:jc w:val="both"/>
                    <w:rPr>
                      <w:rFonts w:hint="default" w:eastAsia="宋体"/>
                      <w:color w:val="auto"/>
                      <w:lang w:val="en-US" w:eastAsia="zh-CN"/>
                    </w:rPr>
                  </w:pPr>
                  <w:r>
                    <w:rPr>
                      <w:color w:val="auto"/>
                    </w:rPr>
                    <w:t>移动式</w:t>
                  </w:r>
                  <w:r>
                    <w:rPr>
                      <w:rFonts w:hint="eastAsia"/>
                      <w:color w:val="auto"/>
                      <w:lang w:val="en-US" w:eastAsia="zh-CN"/>
                    </w:rPr>
                    <w:t>布袋除尘</w:t>
                  </w:r>
                  <w:r>
                    <w:rPr>
                      <w:color w:val="auto"/>
                    </w:rPr>
                    <w:t>器、</w:t>
                  </w:r>
                  <w:r>
                    <w:rPr>
                      <w:rFonts w:hint="eastAsia"/>
                      <w:color w:val="auto"/>
                    </w:rPr>
                    <w:t>集气罩</w:t>
                  </w:r>
                  <w:r>
                    <w:rPr>
                      <w:rFonts w:hint="eastAsia"/>
                      <w:color w:val="auto"/>
                      <w:lang w:eastAsia="zh-CN"/>
                    </w:rPr>
                    <w:t>、</w:t>
                  </w:r>
                  <w:r>
                    <w:rPr>
                      <w:rFonts w:hint="eastAsia"/>
                      <w:color w:val="auto"/>
                    </w:rPr>
                    <w:t>活性炭吸附装置</w:t>
                  </w:r>
                  <w:r>
                    <w:rPr>
                      <w:rFonts w:hint="eastAsia"/>
                      <w:color w:val="auto"/>
                      <w:lang w:eastAsia="zh-CN"/>
                    </w:rPr>
                    <w:t>、</w:t>
                  </w:r>
                  <w:r>
                    <w:rPr>
                      <w:rFonts w:hint="eastAsia"/>
                      <w:color w:val="auto"/>
                      <w:lang w:val="en-US" w:eastAsia="zh-CN"/>
                    </w:rPr>
                    <w:t>危险废物贮存容器密闭</w:t>
                  </w:r>
                </w:p>
              </w:tc>
              <w:tc>
                <w:tcPr>
                  <w:tcW w:w="1101" w:type="dxa"/>
                  <w:vAlign w:val="center"/>
                </w:tcPr>
                <w:p>
                  <w:pPr>
                    <w:pStyle w:val="49"/>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tcBorders>
                    <w:left w:val="single" w:color="auto" w:sz="4" w:space="0"/>
                  </w:tcBorders>
                  <w:vAlign w:val="center"/>
                </w:tcPr>
                <w:p>
                  <w:pPr>
                    <w:pStyle w:val="49"/>
                    <w:keepNext/>
                    <w:rPr>
                      <w:color w:val="auto"/>
                    </w:rPr>
                  </w:pPr>
                  <w:r>
                    <w:rPr>
                      <w:color w:val="auto"/>
                    </w:rPr>
                    <w:t>噪声治理</w:t>
                  </w:r>
                </w:p>
              </w:tc>
              <w:tc>
                <w:tcPr>
                  <w:tcW w:w="1559" w:type="dxa"/>
                  <w:vAlign w:val="center"/>
                </w:tcPr>
                <w:p>
                  <w:pPr>
                    <w:pStyle w:val="49"/>
                    <w:keepNext/>
                    <w:rPr>
                      <w:color w:val="auto"/>
                    </w:rPr>
                  </w:pPr>
                  <w:r>
                    <w:rPr>
                      <w:color w:val="auto"/>
                    </w:rPr>
                    <w:t>设备噪声</w:t>
                  </w:r>
                </w:p>
              </w:tc>
              <w:tc>
                <w:tcPr>
                  <w:tcW w:w="3119" w:type="dxa"/>
                  <w:vAlign w:val="center"/>
                </w:tcPr>
                <w:p>
                  <w:pPr>
                    <w:pStyle w:val="49"/>
                    <w:keepNext/>
                    <w:jc w:val="both"/>
                    <w:rPr>
                      <w:color w:val="auto"/>
                    </w:rPr>
                  </w:pPr>
                  <w:r>
                    <w:rPr>
                      <w:color w:val="auto"/>
                    </w:rPr>
                    <w:t>选用低噪声设备，隔声减振、车间采用隔声门窗等</w:t>
                  </w:r>
                </w:p>
              </w:tc>
              <w:tc>
                <w:tcPr>
                  <w:tcW w:w="1101" w:type="dxa"/>
                  <w:vAlign w:val="center"/>
                </w:tcPr>
                <w:p>
                  <w:pPr>
                    <w:pStyle w:val="49"/>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tcBorders>
                    <w:left w:val="single" w:color="auto" w:sz="4" w:space="0"/>
                  </w:tcBorders>
                  <w:vAlign w:val="center"/>
                </w:tcPr>
                <w:p>
                  <w:pPr>
                    <w:pStyle w:val="49"/>
                    <w:keepNext/>
                    <w:rPr>
                      <w:color w:val="auto"/>
                    </w:rPr>
                  </w:pPr>
                  <w:r>
                    <w:rPr>
                      <w:color w:val="auto"/>
                    </w:rPr>
                    <w:t>废水治理</w:t>
                  </w:r>
                </w:p>
              </w:tc>
              <w:tc>
                <w:tcPr>
                  <w:tcW w:w="1559" w:type="dxa"/>
                  <w:vAlign w:val="center"/>
                </w:tcPr>
                <w:p>
                  <w:pPr>
                    <w:pStyle w:val="49"/>
                    <w:keepNext/>
                    <w:rPr>
                      <w:rFonts w:hint="eastAsia" w:eastAsia="宋体"/>
                      <w:color w:val="auto"/>
                      <w:lang w:eastAsia="zh-CN"/>
                    </w:rPr>
                  </w:pPr>
                  <w:r>
                    <w:rPr>
                      <w:rFonts w:hint="eastAsia"/>
                      <w:color w:val="auto"/>
                      <w:lang w:val="en-US" w:eastAsia="zh-CN"/>
                    </w:rPr>
                    <w:t>生活污水</w:t>
                  </w:r>
                </w:p>
              </w:tc>
              <w:tc>
                <w:tcPr>
                  <w:tcW w:w="3119" w:type="dxa"/>
                  <w:vAlign w:val="center"/>
                </w:tcPr>
                <w:p>
                  <w:pPr>
                    <w:pStyle w:val="49"/>
                    <w:keepNext/>
                    <w:jc w:val="center"/>
                    <w:rPr>
                      <w:rFonts w:hint="eastAsia" w:eastAsia="宋体"/>
                      <w:color w:val="auto"/>
                      <w:lang w:eastAsia="zh-CN"/>
                    </w:rPr>
                  </w:pPr>
                  <w:r>
                    <w:rPr>
                      <w:rFonts w:hint="eastAsia"/>
                      <w:color w:val="auto"/>
                      <w:lang w:val="en-US" w:eastAsia="zh-CN"/>
                    </w:rPr>
                    <w:t>防渗旱厕</w:t>
                  </w:r>
                </w:p>
              </w:tc>
              <w:tc>
                <w:tcPr>
                  <w:tcW w:w="1101" w:type="dxa"/>
                  <w:vAlign w:val="center"/>
                </w:tcPr>
                <w:p>
                  <w:pPr>
                    <w:pStyle w:val="49"/>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461" w:type="dxa"/>
                  <w:vMerge w:val="continue"/>
                  <w:tcBorders>
                    <w:right w:val="single" w:color="auto" w:sz="4" w:space="0"/>
                  </w:tcBorders>
                  <w:vAlign w:val="center"/>
                </w:tcPr>
                <w:p>
                  <w:pPr>
                    <w:pStyle w:val="49"/>
                    <w:keepNext/>
                    <w:rPr>
                      <w:color w:val="auto"/>
                    </w:rPr>
                  </w:pPr>
                </w:p>
              </w:tc>
              <w:tc>
                <w:tcPr>
                  <w:tcW w:w="1281" w:type="dxa"/>
                  <w:vMerge w:val="restart"/>
                  <w:tcBorders>
                    <w:left w:val="single" w:color="auto" w:sz="4" w:space="0"/>
                  </w:tcBorders>
                  <w:vAlign w:val="center"/>
                </w:tcPr>
                <w:p>
                  <w:pPr>
                    <w:pStyle w:val="49"/>
                    <w:keepNext/>
                    <w:rPr>
                      <w:color w:val="auto"/>
                    </w:rPr>
                  </w:pPr>
                  <w:r>
                    <w:rPr>
                      <w:color w:val="auto"/>
                    </w:rPr>
                    <w:t>固废</w:t>
                  </w:r>
                </w:p>
                <w:p>
                  <w:pPr>
                    <w:pStyle w:val="49"/>
                    <w:keepNext/>
                    <w:rPr>
                      <w:color w:val="auto"/>
                    </w:rPr>
                  </w:pPr>
                  <w:r>
                    <w:rPr>
                      <w:color w:val="auto"/>
                    </w:rPr>
                    <w:t>治理</w:t>
                  </w:r>
                </w:p>
              </w:tc>
              <w:tc>
                <w:tcPr>
                  <w:tcW w:w="1559" w:type="dxa"/>
                  <w:vAlign w:val="center"/>
                </w:tcPr>
                <w:p>
                  <w:pPr>
                    <w:pStyle w:val="49"/>
                    <w:keepNext/>
                    <w:rPr>
                      <w:color w:val="auto"/>
                    </w:rPr>
                  </w:pPr>
                  <w:r>
                    <w:rPr>
                      <w:color w:val="auto"/>
                    </w:rPr>
                    <w:t>生活垃圾</w:t>
                  </w:r>
                </w:p>
              </w:tc>
              <w:tc>
                <w:tcPr>
                  <w:tcW w:w="3119" w:type="dxa"/>
                  <w:vAlign w:val="center"/>
                </w:tcPr>
                <w:p>
                  <w:pPr>
                    <w:pStyle w:val="49"/>
                    <w:keepNext/>
                    <w:rPr>
                      <w:color w:val="auto"/>
                    </w:rPr>
                  </w:pPr>
                  <w:r>
                    <w:rPr>
                      <w:color w:val="auto"/>
                    </w:rPr>
                    <w:t>设置生活垃圾收集箱</w:t>
                  </w:r>
                </w:p>
              </w:tc>
              <w:tc>
                <w:tcPr>
                  <w:tcW w:w="1101" w:type="dxa"/>
                  <w:vAlign w:val="center"/>
                </w:tcPr>
                <w:p>
                  <w:pPr>
                    <w:pStyle w:val="49"/>
                    <w:keepNext/>
                    <w:rPr>
                      <w:rFonts w:hint="default" w:eastAsia="宋体"/>
                      <w:color w:val="auto"/>
                      <w:lang w:val="en-US" w:eastAsia="zh-CN"/>
                    </w:rPr>
                  </w:pPr>
                  <w:r>
                    <w:rPr>
                      <w:rFonts w:hint="eastAsia"/>
                      <w:color w:val="auto"/>
                      <w:lang w:val="en-US" w:eastAsia="zh-CN"/>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vMerge w:val="continue"/>
                  <w:tcBorders>
                    <w:left w:val="single" w:color="auto" w:sz="4" w:space="0"/>
                  </w:tcBorders>
                  <w:vAlign w:val="center"/>
                </w:tcPr>
                <w:p>
                  <w:pPr>
                    <w:pStyle w:val="49"/>
                    <w:keepNext/>
                    <w:rPr>
                      <w:color w:val="auto"/>
                    </w:rPr>
                  </w:pPr>
                </w:p>
              </w:tc>
              <w:tc>
                <w:tcPr>
                  <w:tcW w:w="1559" w:type="dxa"/>
                  <w:vAlign w:val="center"/>
                </w:tcPr>
                <w:p>
                  <w:pPr>
                    <w:pStyle w:val="49"/>
                    <w:keepNext/>
                    <w:rPr>
                      <w:color w:val="auto"/>
                    </w:rPr>
                  </w:pPr>
                  <w:r>
                    <w:rPr>
                      <w:color w:val="auto"/>
                    </w:rPr>
                    <w:t>一般固体废物</w:t>
                  </w:r>
                </w:p>
              </w:tc>
              <w:tc>
                <w:tcPr>
                  <w:tcW w:w="3119" w:type="dxa"/>
                  <w:vAlign w:val="center"/>
                </w:tcPr>
                <w:p>
                  <w:pPr>
                    <w:pStyle w:val="49"/>
                    <w:keepNext/>
                    <w:rPr>
                      <w:color w:val="auto"/>
                    </w:rPr>
                  </w:pPr>
                  <w:r>
                    <w:rPr>
                      <w:color w:val="auto"/>
                    </w:rPr>
                    <w:t>存储装置</w:t>
                  </w:r>
                </w:p>
              </w:tc>
              <w:tc>
                <w:tcPr>
                  <w:tcW w:w="1101" w:type="dxa"/>
                  <w:vAlign w:val="center"/>
                </w:tcPr>
                <w:p>
                  <w:pPr>
                    <w:pStyle w:val="49"/>
                    <w:keepNext/>
                    <w:rPr>
                      <w:rFonts w:hint="default" w:eastAsia="宋体"/>
                      <w:color w:val="auto"/>
                      <w:lang w:val="en-US" w:eastAsia="zh-CN"/>
                    </w:rPr>
                  </w:pPr>
                  <w:r>
                    <w:rPr>
                      <w:rFonts w:hint="eastAsia"/>
                      <w:color w:val="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vMerge w:val="continue"/>
                  <w:tcBorders>
                    <w:left w:val="single" w:color="auto" w:sz="4" w:space="0"/>
                  </w:tcBorders>
                  <w:vAlign w:val="center"/>
                </w:tcPr>
                <w:p>
                  <w:pPr>
                    <w:pStyle w:val="49"/>
                    <w:keepNext/>
                    <w:rPr>
                      <w:color w:val="auto"/>
                    </w:rPr>
                  </w:pPr>
                </w:p>
              </w:tc>
              <w:tc>
                <w:tcPr>
                  <w:tcW w:w="1559" w:type="dxa"/>
                  <w:vAlign w:val="center"/>
                </w:tcPr>
                <w:p>
                  <w:pPr>
                    <w:pStyle w:val="49"/>
                    <w:keepNext/>
                    <w:rPr>
                      <w:color w:val="auto"/>
                    </w:rPr>
                  </w:pPr>
                  <w:r>
                    <w:rPr>
                      <w:color w:val="auto"/>
                    </w:rPr>
                    <w:t>危险废物</w:t>
                  </w:r>
                </w:p>
              </w:tc>
              <w:tc>
                <w:tcPr>
                  <w:tcW w:w="3119" w:type="dxa"/>
                  <w:vAlign w:val="center"/>
                </w:tcPr>
                <w:p>
                  <w:pPr>
                    <w:pStyle w:val="49"/>
                    <w:keepNext/>
                    <w:rPr>
                      <w:color w:val="auto"/>
                    </w:rPr>
                  </w:pPr>
                  <w:r>
                    <w:rPr>
                      <w:color w:val="auto"/>
                    </w:rPr>
                    <w:t>委托有资质单位处理</w:t>
                  </w:r>
                </w:p>
              </w:tc>
              <w:tc>
                <w:tcPr>
                  <w:tcW w:w="1101" w:type="dxa"/>
                  <w:vAlign w:val="center"/>
                </w:tcPr>
                <w:p>
                  <w:pPr>
                    <w:pStyle w:val="49"/>
                    <w:keepNext/>
                    <w:rPr>
                      <w:rFonts w:hint="default" w:eastAsia="宋体"/>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tcBorders>
                    <w:left w:val="single" w:color="auto" w:sz="4" w:space="0"/>
                  </w:tcBorders>
                  <w:vAlign w:val="center"/>
                </w:tcPr>
                <w:p>
                  <w:pPr>
                    <w:pStyle w:val="49"/>
                    <w:keepNext/>
                    <w:rPr>
                      <w:rFonts w:hint="eastAsia" w:eastAsia="宋体"/>
                      <w:color w:val="auto"/>
                      <w:lang w:eastAsia="zh-CN"/>
                    </w:rPr>
                  </w:pPr>
                  <w:r>
                    <w:rPr>
                      <w:rFonts w:hint="eastAsia"/>
                      <w:color w:val="auto"/>
                      <w:lang w:eastAsia="zh-CN"/>
                    </w:rPr>
                    <w:t>危险废物贮存库</w:t>
                  </w:r>
                </w:p>
              </w:tc>
              <w:tc>
                <w:tcPr>
                  <w:tcW w:w="4678" w:type="dxa"/>
                  <w:gridSpan w:val="2"/>
                  <w:vAlign w:val="center"/>
                </w:tcPr>
                <w:p>
                  <w:pPr>
                    <w:pStyle w:val="49"/>
                    <w:keepNext/>
                    <w:jc w:val="both"/>
                    <w:rPr>
                      <w:color w:val="auto"/>
                    </w:rPr>
                  </w:pPr>
                  <w:r>
                    <w:rPr>
                      <w:rFonts w:hint="eastAsia"/>
                      <w:bCs/>
                      <w:color w:val="auto"/>
                      <w:szCs w:val="21"/>
                    </w:rPr>
                    <w:t>设置泄漏液体收集装置、排风装置设施并配备活性炭吸附装置等。</w:t>
                  </w:r>
                </w:p>
              </w:tc>
              <w:tc>
                <w:tcPr>
                  <w:tcW w:w="1101" w:type="dxa"/>
                  <w:vMerge w:val="restart"/>
                  <w:vAlign w:val="center"/>
                </w:tcPr>
                <w:p>
                  <w:pPr>
                    <w:pStyle w:val="49"/>
                    <w:keepNext/>
                    <w:rPr>
                      <w:color w:val="auto"/>
                    </w:rPr>
                  </w:pPr>
                  <w:r>
                    <w:rPr>
                      <w:rFonts w:hint="eastAsia"/>
                      <w:color w:val="auto"/>
                      <w:lang w:val="en-US" w:eastAsia="zh-CN"/>
                    </w:rPr>
                    <w:t>1</w:t>
                  </w:r>
                  <w:r>
                    <w:rPr>
                      <w:color w:val="auto"/>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9"/>
                    <w:keepNext/>
                    <w:rPr>
                      <w:color w:val="auto"/>
                    </w:rPr>
                  </w:pPr>
                </w:p>
              </w:tc>
              <w:tc>
                <w:tcPr>
                  <w:tcW w:w="1281" w:type="dxa"/>
                  <w:tcBorders>
                    <w:left w:val="single" w:color="auto" w:sz="4" w:space="0"/>
                  </w:tcBorders>
                  <w:vAlign w:val="center"/>
                </w:tcPr>
                <w:p>
                  <w:pPr>
                    <w:pStyle w:val="49"/>
                    <w:keepNext/>
                    <w:rPr>
                      <w:color w:val="auto"/>
                    </w:rPr>
                  </w:pPr>
                  <w:r>
                    <w:rPr>
                      <w:color w:val="auto"/>
                    </w:rPr>
                    <w:t>防渗</w:t>
                  </w:r>
                </w:p>
              </w:tc>
              <w:tc>
                <w:tcPr>
                  <w:tcW w:w="4678" w:type="dxa"/>
                  <w:gridSpan w:val="2"/>
                  <w:vAlign w:val="center"/>
                </w:tcPr>
                <w:p>
                  <w:pPr>
                    <w:pStyle w:val="49"/>
                    <w:keepNext/>
                    <w:jc w:val="both"/>
                    <w:rPr>
                      <w:b/>
                      <w:bCs/>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w:t>
                  </w:r>
                  <w:r>
                    <w:rPr>
                      <w:rFonts w:hint="eastAsia"/>
                      <w:color w:val="auto"/>
                    </w:rPr>
                    <w:t>农机拆除成品半成品及零件贮存库</w:t>
                  </w:r>
                  <w:r>
                    <w:rPr>
                      <w:color w:val="auto"/>
                    </w:rPr>
                    <w:t>。采用防渗混凝土或HDPE膜进行防渗，其防渗技术要求可满足等效黏土防渗层Mb≥1.5m，K≤1×10</w:t>
                  </w:r>
                  <w:r>
                    <w:rPr>
                      <w:color w:val="auto"/>
                      <w:vertAlign w:val="superscript"/>
                    </w:rPr>
                    <w:t>-7</w:t>
                  </w:r>
                  <w:r>
                    <w:rPr>
                      <w:color w:val="auto"/>
                    </w:rPr>
                    <w:t>cm/s的要求。</w:t>
                  </w:r>
                  <w:r>
                    <w:rPr>
                      <w:rFonts w:hint="eastAsia" w:ascii="宋体" w:hAnsi="宋体" w:cs="宋体"/>
                      <w:color w:val="auto"/>
                    </w:rPr>
                    <w:t>③</w:t>
                  </w:r>
                  <w:r>
                    <w:rPr>
                      <w:color w:val="auto"/>
                    </w:rPr>
                    <w:t>简单防渗区：包括</w:t>
                  </w:r>
                  <w:r>
                    <w:rPr>
                      <w:rFonts w:hint="eastAsia"/>
                      <w:color w:val="auto"/>
                      <w:lang w:val="en-US" w:eastAsia="zh-CN"/>
                    </w:rPr>
                    <w:t>办公区、</w:t>
                  </w:r>
                  <w:r>
                    <w:rPr>
                      <w:color w:val="auto"/>
                    </w:rPr>
                    <w:t>厂区道路。进行一般地面水泥硬化。</w:t>
                  </w:r>
                </w:p>
              </w:tc>
              <w:tc>
                <w:tcPr>
                  <w:tcW w:w="1101" w:type="dxa"/>
                  <w:vMerge w:val="continue"/>
                  <w:vAlign w:val="center"/>
                </w:tcPr>
                <w:p>
                  <w:pPr>
                    <w:pStyle w:val="49"/>
                    <w:keepNext/>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461" w:type="dxa"/>
                  <w:vMerge w:val="continue"/>
                  <w:tcBorders>
                    <w:right w:val="single" w:color="auto" w:sz="4" w:space="0"/>
                  </w:tcBorders>
                  <w:vAlign w:val="center"/>
                </w:tcPr>
                <w:p>
                  <w:pPr>
                    <w:pStyle w:val="49"/>
                    <w:keepNext/>
                    <w:rPr>
                      <w:color w:val="auto"/>
                    </w:rPr>
                  </w:pPr>
                </w:p>
              </w:tc>
              <w:tc>
                <w:tcPr>
                  <w:tcW w:w="5959" w:type="dxa"/>
                  <w:gridSpan w:val="3"/>
                  <w:tcBorders>
                    <w:left w:val="single" w:color="auto" w:sz="4" w:space="0"/>
                  </w:tcBorders>
                  <w:vAlign w:val="center"/>
                </w:tcPr>
                <w:p>
                  <w:pPr>
                    <w:pStyle w:val="49"/>
                    <w:keepNext/>
                    <w:rPr>
                      <w:color w:val="auto"/>
                    </w:rPr>
                  </w:pPr>
                  <w:r>
                    <w:rPr>
                      <w:color w:val="auto"/>
                    </w:rPr>
                    <w:t>运行、管理、维护、</w:t>
                  </w:r>
                  <w:r>
                    <w:rPr>
                      <w:rFonts w:hint="eastAsia"/>
                      <w:color w:val="auto"/>
                      <w:lang w:val="en-US" w:eastAsia="zh-CN"/>
                    </w:rPr>
                    <w:t>环境管理、</w:t>
                  </w:r>
                  <w:r>
                    <w:rPr>
                      <w:color w:val="auto"/>
                    </w:rPr>
                    <w:t>验收、监测费</w:t>
                  </w:r>
                </w:p>
              </w:tc>
              <w:tc>
                <w:tcPr>
                  <w:tcW w:w="1101" w:type="dxa"/>
                  <w:vAlign w:val="center"/>
                </w:tcPr>
                <w:p>
                  <w:pPr>
                    <w:pStyle w:val="49"/>
                    <w:keepNext/>
                    <w:rPr>
                      <w:color w:val="auto"/>
                    </w:rPr>
                  </w:pPr>
                  <w:r>
                    <w:rPr>
                      <w:color w:val="auto"/>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9"/>
                    <w:keepNext/>
                    <w:rPr>
                      <w:color w:val="auto"/>
                    </w:rPr>
                  </w:pPr>
                  <w:r>
                    <w:rPr>
                      <w:color w:val="auto"/>
                    </w:rPr>
                    <w:t>环保投资合计</w:t>
                  </w:r>
                </w:p>
              </w:tc>
              <w:tc>
                <w:tcPr>
                  <w:tcW w:w="1101" w:type="dxa"/>
                  <w:vAlign w:val="center"/>
                </w:tcPr>
                <w:p>
                  <w:pPr>
                    <w:pStyle w:val="49"/>
                    <w:keepNext/>
                    <w:rPr>
                      <w:rFonts w:hint="default" w:eastAsia="宋体"/>
                      <w:color w:val="auto"/>
                      <w:kern w:val="0"/>
                      <w:lang w:val="en-US" w:eastAsia="zh-CN"/>
                    </w:rPr>
                  </w:pPr>
                  <w:r>
                    <w:rPr>
                      <w:rFonts w:hint="eastAsia"/>
                      <w:color w:val="auto"/>
                      <w:kern w:val="0"/>
                      <w:lang w:val="en-US" w:eastAsia="zh-CN"/>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9"/>
                    <w:keepNext/>
                    <w:rPr>
                      <w:color w:val="auto"/>
                    </w:rPr>
                  </w:pPr>
                  <w:r>
                    <w:rPr>
                      <w:color w:val="auto"/>
                    </w:rPr>
                    <w:t>总投资</w:t>
                  </w:r>
                </w:p>
              </w:tc>
              <w:tc>
                <w:tcPr>
                  <w:tcW w:w="1101" w:type="dxa"/>
                  <w:vAlign w:val="center"/>
                </w:tcPr>
                <w:p>
                  <w:pPr>
                    <w:pStyle w:val="49"/>
                    <w:keepNext/>
                    <w:rPr>
                      <w:rFonts w:hint="default" w:eastAsia="宋体"/>
                      <w:color w:val="auto"/>
                      <w:lang w:val="en-US" w:eastAsia="zh-CN"/>
                    </w:rPr>
                  </w:pPr>
                  <w:r>
                    <w:rPr>
                      <w:rFonts w:hint="eastAsia"/>
                      <w:color w:val="auto"/>
                      <w:lang w:val="en-US" w:eastAsia="zh-CN"/>
                    </w:rPr>
                    <w:t>3000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9"/>
                    <w:keepNext/>
                    <w:rPr>
                      <w:color w:val="auto"/>
                    </w:rPr>
                  </w:pPr>
                  <w:r>
                    <w:rPr>
                      <w:color w:val="auto"/>
                    </w:rPr>
                    <w:t>环保投资比</w:t>
                  </w:r>
                </w:p>
              </w:tc>
              <w:tc>
                <w:tcPr>
                  <w:tcW w:w="1101" w:type="dxa"/>
                  <w:vAlign w:val="center"/>
                </w:tcPr>
                <w:p>
                  <w:pPr>
                    <w:pStyle w:val="49"/>
                    <w:keepNext/>
                    <w:rPr>
                      <w:color w:val="auto"/>
                    </w:rPr>
                  </w:pPr>
                  <w:r>
                    <w:rPr>
                      <w:rFonts w:hint="eastAsia"/>
                      <w:color w:val="auto"/>
                      <w:lang w:val="en-US" w:eastAsia="zh-CN"/>
                    </w:rPr>
                    <w:t>0.4</w:t>
                  </w:r>
                  <w:r>
                    <w:rPr>
                      <w:color w:val="auto"/>
                    </w:rPr>
                    <w:t>%</w:t>
                  </w:r>
                </w:p>
              </w:tc>
            </w:tr>
          </w:tbl>
          <w:p>
            <w:pPr>
              <w:pStyle w:val="82"/>
              <w:rPr>
                <w:color w:val="auto"/>
              </w:rPr>
            </w:pPr>
            <w:r>
              <w:rPr>
                <w:rFonts w:hint="eastAsia"/>
                <w:color w:val="auto"/>
              </w:rPr>
              <w:t>九、</w:t>
            </w:r>
            <w:r>
              <w:rPr>
                <w:color w:val="auto"/>
              </w:rPr>
              <w:t>环境影响评价与排污许可制度衔接</w:t>
            </w:r>
          </w:p>
          <w:p>
            <w:pPr>
              <w:pStyle w:val="75"/>
              <w:rPr>
                <w:color w:val="auto"/>
              </w:rPr>
            </w:pPr>
            <w:r>
              <w:rPr>
                <w:color w:val="auto"/>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pPr>
              <w:pStyle w:val="75"/>
              <w:rPr>
                <w:rFonts w:hint="eastAsia"/>
                <w:color w:val="auto"/>
              </w:rPr>
            </w:pPr>
            <w:r>
              <w:rPr>
                <w:color w:val="auto"/>
              </w:rPr>
              <w:t>根据《固定污染源排污许可分类管理名录》（2019年版），本项目属于“</w:t>
            </w:r>
            <w:r>
              <w:rPr>
                <w:rFonts w:hint="eastAsia"/>
                <w:color w:val="auto"/>
              </w:rPr>
              <w:t>废弃资源综合利用业4</w:t>
            </w:r>
            <w:r>
              <w:rPr>
                <w:color w:val="auto"/>
              </w:rPr>
              <w:t>2”中“</w:t>
            </w:r>
            <w:r>
              <w:rPr>
                <w:rFonts w:hint="eastAsia"/>
                <w:color w:val="auto"/>
              </w:rPr>
              <w:t>金属废料和碎屑加工处理4</w:t>
            </w:r>
            <w:r>
              <w:rPr>
                <w:color w:val="auto"/>
              </w:rPr>
              <w:t>21，</w:t>
            </w:r>
            <w:r>
              <w:rPr>
                <w:rFonts w:hint="eastAsia"/>
                <w:color w:val="auto"/>
              </w:rPr>
              <w:t>废弃电器电子产品、废机动车、废电机、废电线电缆、废塑料、废船、含水洗工艺的其他废料和碎屑加工处理</w:t>
            </w:r>
            <w:r>
              <w:rPr>
                <w:color w:val="auto"/>
              </w:rPr>
              <w:t>”，需要进行排污许可证</w:t>
            </w:r>
            <w:r>
              <w:rPr>
                <w:rFonts w:hint="eastAsia"/>
                <w:color w:val="auto"/>
              </w:rPr>
              <w:t>简化</w:t>
            </w:r>
            <w:r>
              <w:rPr>
                <w:color w:val="auto"/>
              </w:rPr>
              <w:t>管理。</w:t>
            </w:r>
          </w:p>
        </w:tc>
      </w:tr>
    </w:tbl>
    <w:p>
      <w:pPr>
        <w:pStyle w:val="17"/>
        <w:outlineLvl w:val="0"/>
        <w:rPr>
          <w:rFonts w:ascii="Times New Roman" w:hAnsi="Times New Roman"/>
          <w:b/>
          <w:bCs/>
          <w:snapToGrid w:val="0"/>
          <w:color w:val="auto"/>
          <w:sz w:val="30"/>
          <w:szCs w:val="30"/>
        </w:rPr>
        <w:sectPr>
          <w:pgSz w:w="11906" w:h="16838"/>
          <w:pgMar w:top="1440" w:right="1800" w:bottom="1440" w:left="1800" w:header="851" w:footer="851" w:gutter="0"/>
          <w:cols w:space="720" w:num="1"/>
          <w:docGrid w:linePitch="312" w:charSpace="0"/>
        </w:sectPr>
      </w:pPr>
    </w:p>
    <w:p>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13" w:name="_Toc16302"/>
      <w:r>
        <w:rPr>
          <w:rFonts w:ascii="Times New Roman" w:hAnsi="Times New Roman"/>
          <w:b/>
          <w:bCs/>
          <w:snapToGrid w:val="0"/>
          <w:color w:val="auto"/>
          <w:sz w:val="30"/>
          <w:szCs w:val="30"/>
        </w:rPr>
        <w:t>五、</w:t>
      </w:r>
      <w:bookmarkStart w:id="14" w:name="_Hlk54167917"/>
      <w:r>
        <w:rPr>
          <w:rFonts w:ascii="Times New Roman" w:hAnsi="Times New Roman"/>
          <w:b/>
          <w:bCs/>
          <w:snapToGrid w:val="0"/>
          <w:color w:val="auto"/>
          <w:sz w:val="30"/>
          <w:szCs w:val="30"/>
        </w:rPr>
        <w:t>环境保护措施监督检查清单</w:t>
      </w:r>
      <w:bookmarkEnd w:id="13"/>
      <w:bookmarkEnd w:id="14"/>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698"/>
        <w:gridCol w:w="1129"/>
        <w:gridCol w:w="2267"/>
        <w:gridCol w:w="21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725" w:type="pct"/>
            <w:tcBorders>
              <w:tl2br w:val="single" w:color="auto" w:sz="4" w:space="0"/>
            </w:tcBorders>
            <w:vAlign w:val="center"/>
          </w:tcPr>
          <w:p>
            <w:pPr>
              <w:pStyle w:val="49"/>
              <w:ind w:firstLine="480"/>
              <w:jc w:val="right"/>
              <w:rPr>
                <w:b/>
                <w:bCs/>
                <w:color w:val="auto"/>
                <w:sz w:val="24"/>
              </w:rPr>
            </w:pPr>
            <w:r>
              <w:rPr>
                <w:b/>
                <w:bCs/>
                <w:color w:val="auto"/>
                <w:sz w:val="24"/>
              </w:rPr>
              <w:t>内容</w:t>
            </w:r>
          </w:p>
          <w:p>
            <w:pPr>
              <w:pStyle w:val="49"/>
              <w:ind w:firstLine="480"/>
              <w:jc w:val="right"/>
              <w:rPr>
                <w:b/>
                <w:bCs/>
                <w:color w:val="auto"/>
                <w:sz w:val="24"/>
              </w:rPr>
            </w:pPr>
          </w:p>
          <w:p>
            <w:pPr>
              <w:pStyle w:val="49"/>
              <w:jc w:val="both"/>
              <w:rPr>
                <w:b/>
                <w:bCs/>
                <w:color w:val="auto"/>
                <w:sz w:val="24"/>
              </w:rPr>
            </w:pPr>
            <w:r>
              <w:rPr>
                <w:b/>
                <w:bCs/>
                <w:color w:val="auto"/>
                <w:sz w:val="24"/>
              </w:rPr>
              <w:t>要素</w:t>
            </w:r>
          </w:p>
        </w:tc>
        <w:tc>
          <w:tcPr>
            <w:tcW w:w="996" w:type="pct"/>
            <w:vAlign w:val="center"/>
          </w:tcPr>
          <w:p>
            <w:pPr>
              <w:pStyle w:val="49"/>
              <w:rPr>
                <w:b/>
                <w:bCs/>
                <w:color w:val="auto"/>
                <w:sz w:val="24"/>
              </w:rPr>
            </w:pPr>
            <w:r>
              <w:rPr>
                <w:b/>
                <w:bCs/>
                <w:color w:val="auto"/>
                <w:sz w:val="24"/>
              </w:rPr>
              <w:t>排放口</w:t>
            </w:r>
          </w:p>
          <w:p>
            <w:pPr>
              <w:pStyle w:val="49"/>
              <w:rPr>
                <w:b/>
                <w:bCs/>
                <w:color w:val="auto"/>
                <w:sz w:val="24"/>
              </w:rPr>
            </w:pPr>
            <w:r>
              <w:rPr>
                <w:b/>
                <w:bCs/>
                <w:color w:val="auto"/>
                <w:sz w:val="24"/>
              </w:rPr>
              <w:t>(编号、名称)/污染源</w:t>
            </w:r>
          </w:p>
        </w:tc>
        <w:tc>
          <w:tcPr>
            <w:tcW w:w="662" w:type="pct"/>
            <w:vAlign w:val="center"/>
          </w:tcPr>
          <w:p>
            <w:pPr>
              <w:pStyle w:val="49"/>
              <w:rPr>
                <w:b/>
                <w:bCs/>
                <w:color w:val="auto"/>
                <w:sz w:val="24"/>
              </w:rPr>
            </w:pPr>
            <w:r>
              <w:rPr>
                <w:b/>
                <w:bCs/>
                <w:color w:val="auto"/>
                <w:sz w:val="24"/>
              </w:rPr>
              <w:t>污染物</w:t>
            </w:r>
          </w:p>
          <w:p>
            <w:pPr>
              <w:pStyle w:val="49"/>
              <w:rPr>
                <w:b/>
                <w:bCs/>
                <w:color w:val="auto"/>
                <w:sz w:val="24"/>
              </w:rPr>
            </w:pPr>
            <w:r>
              <w:rPr>
                <w:b/>
                <w:bCs/>
                <w:color w:val="auto"/>
                <w:sz w:val="24"/>
              </w:rPr>
              <w:t>项目</w:t>
            </w:r>
          </w:p>
        </w:tc>
        <w:tc>
          <w:tcPr>
            <w:tcW w:w="1330" w:type="pct"/>
            <w:vAlign w:val="center"/>
          </w:tcPr>
          <w:p>
            <w:pPr>
              <w:pStyle w:val="49"/>
              <w:rPr>
                <w:b/>
                <w:bCs/>
                <w:color w:val="auto"/>
                <w:sz w:val="24"/>
              </w:rPr>
            </w:pPr>
            <w:r>
              <w:rPr>
                <w:b/>
                <w:bCs/>
                <w:color w:val="auto"/>
                <w:sz w:val="24"/>
              </w:rPr>
              <w:t>环境保护措施</w:t>
            </w:r>
          </w:p>
        </w:tc>
        <w:tc>
          <w:tcPr>
            <w:tcW w:w="1286" w:type="pct"/>
            <w:vAlign w:val="center"/>
          </w:tcPr>
          <w:p>
            <w:pPr>
              <w:pStyle w:val="49"/>
              <w:rPr>
                <w:b/>
                <w:bCs/>
                <w:color w:val="auto"/>
                <w:sz w:val="24"/>
              </w:rPr>
            </w:pPr>
            <w:r>
              <w:rPr>
                <w:b/>
                <w:bCs/>
                <w:color w:val="auto"/>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4" w:hRule="atLeast"/>
          <w:jc w:val="center"/>
        </w:trPr>
        <w:tc>
          <w:tcPr>
            <w:tcW w:w="725" w:type="pct"/>
            <w:vMerge w:val="restart"/>
            <w:vAlign w:val="center"/>
          </w:tcPr>
          <w:p>
            <w:pPr>
              <w:pStyle w:val="49"/>
              <w:rPr>
                <w:color w:val="auto"/>
                <w:sz w:val="24"/>
              </w:rPr>
            </w:pPr>
            <w:r>
              <w:rPr>
                <w:rFonts w:ascii="Times New Roman" w:hAnsi="Times New Roman" w:eastAsia="宋体" w:cs="Times New Roman"/>
                <w:b/>
                <w:bCs/>
                <w:color w:val="auto"/>
                <w:sz w:val="24"/>
              </w:rPr>
              <w:t>大气环境</w:t>
            </w:r>
          </w:p>
        </w:tc>
        <w:tc>
          <w:tcPr>
            <w:tcW w:w="996" w:type="pct"/>
            <w:vAlign w:val="center"/>
          </w:tcPr>
          <w:p>
            <w:pPr>
              <w:pStyle w:val="49"/>
              <w:rPr>
                <w:color w:val="auto"/>
                <w:sz w:val="24"/>
              </w:rPr>
            </w:pPr>
            <w:r>
              <w:rPr>
                <w:color w:val="auto"/>
                <w:sz w:val="24"/>
              </w:rPr>
              <w:t>切割工段</w:t>
            </w:r>
          </w:p>
        </w:tc>
        <w:tc>
          <w:tcPr>
            <w:tcW w:w="662" w:type="pct"/>
            <w:vAlign w:val="center"/>
          </w:tcPr>
          <w:p>
            <w:pPr>
              <w:pStyle w:val="49"/>
              <w:rPr>
                <w:color w:val="auto"/>
                <w:sz w:val="24"/>
              </w:rPr>
            </w:pPr>
            <w:r>
              <w:rPr>
                <w:color w:val="auto"/>
                <w:sz w:val="24"/>
              </w:rPr>
              <w:t>颗粒物</w:t>
            </w:r>
          </w:p>
        </w:tc>
        <w:tc>
          <w:tcPr>
            <w:tcW w:w="1330" w:type="pct"/>
            <w:vAlign w:val="center"/>
          </w:tcPr>
          <w:p>
            <w:pPr>
              <w:pStyle w:val="49"/>
              <w:jc w:val="both"/>
              <w:rPr>
                <w:color w:val="auto"/>
                <w:sz w:val="24"/>
              </w:rPr>
            </w:pPr>
            <w:r>
              <w:rPr>
                <w:color w:val="auto"/>
                <w:sz w:val="24"/>
              </w:rPr>
              <w:t>本项目在全封闭拆解车间内切割工位设置移动式</w:t>
            </w:r>
            <w:r>
              <w:rPr>
                <w:rFonts w:hint="eastAsia"/>
                <w:color w:val="auto"/>
                <w:sz w:val="24"/>
                <w:lang w:val="en-US" w:eastAsia="zh-CN"/>
              </w:rPr>
              <w:t>布袋除尘</w:t>
            </w:r>
            <w:r>
              <w:rPr>
                <w:color w:val="auto"/>
                <w:sz w:val="24"/>
              </w:rPr>
              <w:t>器，除尘效率按99%计，净化处理后排出的气体经车间侧壁通风设施以无组织形式排放</w:t>
            </w:r>
          </w:p>
        </w:tc>
        <w:tc>
          <w:tcPr>
            <w:tcW w:w="1286" w:type="pct"/>
            <w:vAlign w:val="center"/>
          </w:tcPr>
          <w:p>
            <w:pPr>
              <w:pStyle w:val="49"/>
              <w:jc w:val="both"/>
              <w:rPr>
                <w:color w:val="auto"/>
                <w:sz w:val="24"/>
              </w:rPr>
            </w:pPr>
            <w:r>
              <w:rPr>
                <w:color w:val="auto"/>
                <w:sz w:val="24"/>
              </w:rPr>
              <w:t>无组织粉尘执行《大气污染物综合排放标准》（GB16297-1996）表2中无组织排放监控浓度限值要求。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725" w:type="pct"/>
            <w:vMerge w:val="continue"/>
            <w:vAlign w:val="center"/>
          </w:tcPr>
          <w:p>
            <w:pPr>
              <w:pStyle w:val="49"/>
              <w:rPr>
                <w:color w:val="auto"/>
                <w:sz w:val="24"/>
              </w:rPr>
            </w:pPr>
          </w:p>
        </w:tc>
        <w:tc>
          <w:tcPr>
            <w:tcW w:w="996" w:type="pct"/>
            <w:vAlign w:val="center"/>
          </w:tcPr>
          <w:p>
            <w:pPr>
              <w:pStyle w:val="49"/>
              <w:rPr>
                <w:rFonts w:ascii="Times New Roman" w:hAnsi="Times New Roman" w:eastAsia="宋体" w:cs="Times New Roman"/>
                <w:color w:val="auto"/>
                <w:kern w:val="2"/>
                <w:sz w:val="24"/>
                <w:szCs w:val="24"/>
                <w:lang w:val="en-US" w:eastAsia="zh-CN" w:bidi="ar-SA"/>
              </w:rPr>
            </w:pPr>
            <w:r>
              <w:rPr>
                <w:color w:val="auto"/>
                <w:sz w:val="24"/>
              </w:rPr>
              <w:t>排空油箱油品</w:t>
            </w:r>
          </w:p>
        </w:tc>
        <w:tc>
          <w:tcPr>
            <w:tcW w:w="662" w:type="pct"/>
            <w:vAlign w:val="center"/>
          </w:tcPr>
          <w:p>
            <w:pPr>
              <w:pStyle w:val="49"/>
              <w:rPr>
                <w:color w:val="auto"/>
                <w:sz w:val="24"/>
              </w:rPr>
            </w:pPr>
            <w:r>
              <w:rPr>
                <w:color w:val="auto"/>
                <w:sz w:val="24"/>
              </w:rPr>
              <w:t>非甲烷</w:t>
            </w:r>
          </w:p>
          <w:p>
            <w:pPr>
              <w:pStyle w:val="49"/>
              <w:rPr>
                <w:rFonts w:ascii="Times New Roman" w:hAnsi="Times New Roman" w:eastAsia="宋体" w:cs="Times New Roman"/>
                <w:color w:val="auto"/>
                <w:kern w:val="2"/>
                <w:sz w:val="24"/>
                <w:szCs w:val="24"/>
                <w:lang w:val="en-US" w:eastAsia="zh-CN" w:bidi="ar-SA"/>
              </w:rPr>
            </w:pPr>
            <w:r>
              <w:rPr>
                <w:color w:val="auto"/>
                <w:sz w:val="24"/>
              </w:rPr>
              <w:t>总烃</w:t>
            </w:r>
          </w:p>
        </w:tc>
        <w:tc>
          <w:tcPr>
            <w:tcW w:w="1330" w:type="pct"/>
            <w:vAlign w:val="center"/>
          </w:tcPr>
          <w:p>
            <w:pPr>
              <w:pStyle w:val="49"/>
              <w:jc w:val="both"/>
              <w:rPr>
                <w:rFonts w:ascii="Times New Roman" w:hAnsi="Times New Roman" w:eastAsia="宋体" w:cs="Times New Roman"/>
                <w:color w:val="auto"/>
                <w:kern w:val="2"/>
                <w:sz w:val="24"/>
                <w:szCs w:val="24"/>
                <w:lang w:val="en-US" w:eastAsia="zh-CN" w:bidi="ar-SA"/>
              </w:rPr>
            </w:pPr>
            <w:r>
              <w:rPr>
                <w:color w:val="auto"/>
                <w:sz w:val="24"/>
              </w:rPr>
              <w:t>采用</w:t>
            </w:r>
            <w:r>
              <w:rPr>
                <w:rFonts w:hint="eastAsia"/>
                <w:color w:val="auto"/>
                <w:sz w:val="24"/>
              </w:rPr>
              <w:t>集气罩+活性炭吸附装置（收集率80%，去除效率60%）</w:t>
            </w:r>
            <w:r>
              <w:rPr>
                <w:color w:val="auto"/>
                <w:sz w:val="24"/>
              </w:rPr>
              <w:t>，车间应设置抽排风系统进行车间换气，有机废气通过无组织方式排至室外</w:t>
            </w:r>
          </w:p>
        </w:tc>
        <w:tc>
          <w:tcPr>
            <w:tcW w:w="1286" w:type="pct"/>
            <w:vMerge w:val="restart"/>
            <w:vAlign w:val="center"/>
          </w:tcPr>
          <w:p>
            <w:pPr>
              <w:pStyle w:val="49"/>
              <w:jc w:val="both"/>
              <w:rPr>
                <w:rFonts w:ascii="Times New Roman" w:hAnsi="Times New Roman" w:eastAsia="宋体" w:cs="Times New Roman"/>
                <w:color w:val="auto"/>
                <w:kern w:val="2"/>
                <w:sz w:val="24"/>
                <w:szCs w:val="24"/>
                <w:lang w:val="en-US" w:eastAsia="zh-CN" w:bidi="ar-SA"/>
              </w:rPr>
            </w:pPr>
            <w:r>
              <w:rPr>
                <w:color w:val="auto"/>
                <w:sz w:val="24"/>
              </w:rPr>
              <w:t>无组织非甲烷总烃排放浓度执行《大气污染物综合排放标准》（GB16297-</w:t>
            </w:r>
            <w:r>
              <w:rPr>
                <w:rFonts w:hint="eastAsia"/>
                <w:color w:val="auto"/>
                <w:sz w:val="24"/>
                <w:lang w:val="en-US" w:eastAsia="zh-CN"/>
              </w:rPr>
              <w:t xml:space="preserve"> </w:t>
            </w:r>
            <w:r>
              <w:rPr>
                <w:color w:val="auto"/>
                <w:sz w:val="24"/>
              </w:rPr>
              <w:t>1996）表2中无组织排放监控浓度限值要求。非甲烷总烃厂房外监控点处1h平均浓度值和厂房外监控点处任意一次浓度值执行《挥发性有机物无组织排放控制标准》（GB37822-</w:t>
            </w:r>
            <w:r>
              <w:rPr>
                <w:rFonts w:hint="eastAsia"/>
                <w:color w:val="auto"/>
                <w:sz w:val="24"/>
                <w:lang w:val="en-US" w:eastAsia="zh-CN"/>
              </w:rPr>
              <w:t xml:space="preserve"> </w:t>
            </w:r>
            <w:r>
              <w:rPr>
                <w:color w:val="auto"/>
                <w:sz w:val="24"/>
              </w:rPr>
              <w:t>2019)表A.1厂区内VOCs无组织排放限值要求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25" w:type="pct"/>
            <w:vMerge w:val="continue"/>
            <w:vAlign w:val="center"/>
          </w:tcPr>
          <w:p>
            <w:pPr>
              <w:pStyle w:val="49"/>
              <w:rPr>
                <w:color w:val="auto"/>
                <w:sz w:val="24"/>
              </w:rPr>
            </w:pPr>
          </w:p>
        </w:tc>
        <w:tc>
          <w:tcPr>
            <w:tcW w:w="996" w:type="pct"/>
            <w:vAlign w:val="center"/>
          </w:tcPr>
          <w:p>
            <w:pPr>
              <w:pStyle w:val="49"/>
              <w:rPr>
                <w:rFonts w:hint="eastAsia"/>
                <w:color w:val="auto"/>
                <w:sz w:val="24"/>
              </w:rPr>
            </w:pPr>
            <w:r>
              <w:rPr>
                <w:rFonts w:hint="eastAsia"/>
                <w:color w:val="auto"/>
                <w:sz w:val="24"/>
              </w:rPr>
              <w:t>危废贮存库废</w:t>
            </w:r>
          </w:p>
          <w:p>
            <w:pPr>
              <w:pStyle w:val="49"/>
              <w:rPr>
                <w:color w:val="auto"/>
                <w:sz w:val="24"/>
              </w:rPr>
            </w:pPr>
            <w:r>
              <w:rPr>
                <w:rFonts w:hint="eastAsia"/>
                <w:color w:val="auto"/>
                <w:sz w:val="24"/>
              </w:rPr>
              <w:t>气</w:t>
            </w:r>
          </w:p>
        </w:tc>
        <w:tc>
          <w:tcPr>
            <w:tcW w:w="662" w:type="pct"/>
            <w:vAlign w:val="center"/>
          </w:tcPr>
          <w:p>
            <w:pPr>
              <w:pStyle w:val="49"/>
              <w:rPr>
                <w:color w:val="auto"/>
                <w:sz w:val="24"/>
              </w:rPr>
            </w:pPr>
            <w:r>
              <w:rPr>
                <w:color w:val="auto"/>
                <w:sz w:val="24"/>
              </w:rPr>
              <w:t>非甲烷</w:t>
            </w:r>
          </w:p>
          <w:p>
            <w:pPr>
              <w:pStyle w:val="49"/>
              <w:rPr>
                <w:rFonts w:ascii="Times New Roman" w:hAnsi="Times New Roman" w:eastAsia="宋体" w:cs="Times New Roman"/>
                <w:color w:val="auto"/>
                <w:kern w:val="2"/>
                <w:sz w:val="24"/>
                <w:szCs w:val="24"/>
                <w:lang w:val="en-US" w:eastAsia="zh-CN" w:bidi="ar-SA"/>
              </w:rPr>
            </w:pPr>
            <w:r>
              <w:rPr>
                <w:color w:val="auto"/>
                <w:sz w:val="24"/>
              </w:rPr>
              <w:t>总烃</w:t>
            </w:r>
          </w:p>
        </w:tc>
        <w:tc>
          <w:tcPr>
            <w:tcW w:w="1330" w:type="pct"/>
            <w:vAlign w:val="center"/>
          </w:tcPr>
          <w:p>
            <w:pPr>
              <w:pStyle w:val="49"/>
              <w:jc w:val="both"/>
              <w:rPr>
                <w:color w:val="auto"/>
                <w:sz w:val="24"/>
              </w:rPr>
            </w:pPr>
            <w:r>
              <w:rPr>
                <w:rFonts w:hint="eastAsia"/>
                <w:color w:val="auto"/>
                <w:sz w:val="24"/>
              </w:rPr>
              <w:t>危险废物采用密闭容器包装，控制挥发性有机气体的产生</w:t>
            </w:r>
          </w:p>
        </w:tc>
        <w:tc>
          <w:tcPr>
            <w:tcW w:w="1286" w:type="pct"/>
            <w:vMerge w:val="continue"/>
            <w:vAlign w:val="center"/>
          </w:tcPr>
          <w:p>
            <w:pPr>
              <w:pStyle w:val="49"/>
              <w:jc w:val="both"/>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Merge w:val="restart"/>
            <w:vAlign w:val="center"/>
          </w:tcPr>
          <w:p>
            <w:pPr>
              <w:pStyle w:val="49"/>
              <w:rPr>
                <w:b/>
                <w:bCs/>
                <w:color w:val="auto"/>
                <w:sz w:val="24"/>
              </w:rPr>
            </w:pPr>
            <w:r>
              <w:rPr>
                <w:b/>
                <w:bCs/>
                <w:color w:val="auto"/>
                <w:sz w:val="24"/>
              </w:rPr>
              <w:t>地表水</w:t>
            </w:r>
          </w:p>
          <w:p>
            <w:pPr>
              <w:pStyle w:val="49"/>
              <w:rPr>
                <w:b/>
                <w:bCs/>
                <w:color w:val="auto"/>
                <w:sz w:val="24"/>
              </w:rPr>
            </w:pPr>
            <w:r>
              <w:rPr>
                <w:b/>
                <w:bCs/>
                <w:color w:val="auto"/>
                <w:sz w:val="24"/>
              </w:rPr>
              <w:t>环境</w:t>
            </w:r>
          </w:p>
        </w:tc>
        <w:tc>
          <w:tcPr>
            <w:tcW w:w="996" w:type="pct"/>
            <w:vAlign w:val="center"/>
          </w:tcPr>
          <w:p>
            <w:pPr>
              <w:pStyle w:val="49"/>
              <w:rPr>
                <w:rFonts w:hint="eastAsia" w:eastAsia="宋体"/>
                <w:color w:val="auto"/>
                <w:sz w:val="24"/>
                <w:lang w:eastAsia="zh-CN"/>
              </w:rPr>
            </w:pPr>
            <w:r>
              <w:rPr>
                <w:rFonts w:hint="eastAsia"/>
                <w:color w:val="auto"/>
                <w:sz w:val="24"/>
                <w:lang w:val="en-US" w:eastAsia="zh-CN"/>
              </w:rPr>
              <w:t>生活污水</w:t>
            </w:r>
          </w:p>
        </w:tc>
        <w:tc>
          <w:tcPr>
            <w:tcW w:w="1129" w:type="dxa"/>
            <w:vAlign w:val="center"/>
          </w:tcPr>
          <w:p>
            <w:pPr>
              <w:pStyle w:val="49"/>
              <w:rPr>
                <w:color w:val="auto"/>
                <w:sz w:val="24"/>
              </w:rPr>
            </w:pPr>
            <w:r>
              <w:rPr>
                <w:color w:val="auto"/>
                <w:sz w:val="24"/>
              </w:rPr>
              <w:t>COD</w:t>
            </w:r>
          </w:p>
          <w:p>
            <w:pPr>
              <w:pStyle w:val="49"/>
              <w:rPr>
                <w:color w:val="auto"/>
                <w:sz w:val="24"/>
              </w:rPr>
            </w:pPr>
            <w:r>
              <w:rPr>
                <w:color w:val="auto"/>
                <w:sz w:val="24"/>
              </w:rPr>
              <w:t>SS</w:t>
            </w:r>
          </w:p>
          <w:p>
            <w:pPr>
              <w:pStyle w:val="49"/>
              <w:rPr>
                <w:rFonts w:hint="eastAsia" w:eastAsia="宋体"/>
                <w:color w:val="auto"/>
                <w:sz w:val="24"/>
                <w:lang w:eastAsia="zh-CN"/>
              </w:rPr>
            </w:pPr>
            <w:r>
              <w:rPr>
                <w:color w:val="auto"/>
                <w:sz w:val="24"/>
              </w:rPr>
              <w:t>氨氮</w:t>
            </w:r>
          </w:p>
        </w:tc>
        <w:tc>
          <w:tcPr>
            <w:tcW w:w="2267" w:type="dxa"/>
            <w:vAlign w:val="center"/>
          </w:tcPr>
          <w:p>
            <w:pPr>
              <w:pStyle w:val="49"/>
              <w:jc w:val="both"/>
              <w:rPr>
                <w:rFonts w:hint="eastAsia" w:eastAsia="宋体"/>
                <w:color w:val="auto"/>
                <w:sz w:val="24"/>
                <w:lang w:eastAsia="zh-CN"/>
              </w:rPr>
            </w:pPr>
            <w:r>
              <w:rPr>
                <w:color w:val="auto"/>
                <w:sz w:val="24"/>
              </w:rPr>
              <w:t>排入</w:t>
            </w:r>
            <w:r>
              <w:rPr>
                <w:rFonts w:hint="eastAsia"/>
                <w:color w:val="auto"/>
                <w:sz w:val="24"/>
                <w:lang w:val="en-US" w:eastAsia="zh-CN"/>
              </w:rPr>
              <w:t>市政管网</w:t>
            </w:r>
          </w:p>
        </w:tc>
        <w:tc>
          <w:tcPr>
            <w:tcW w:w="1286" w:type="pct"/>
            <w:vAlign w:val="center"/>
          </w:tcPr>
          <w:p>
            <w:pPr>
              <w:pStyle w:val="49"/>
              <w:jc w:val="center"/>
              <w:rPr>
                <w:rFonts w:hint="eastAsia" w:eastAsia="宋体"/>
                <w:color w:val="auto"/>
                <w:sz w:val="24"/>
                <w:lang w:val="en-US" w:eastAsia="zh-CN"/>
              </w:rPr>
            </w:pPr>
            <w:r>
              <w:rPr>
                <w:rFonts w:hint="eastAsia"/>
                <w:color w:val="auto"/>
                <w:sz w:val="24"/>
              </w:rPr>
              <w:t>《污水综合排放标准》（GB8978</w:t>
            </w:r>
            <w:r>
              <w:rPr>
                <w:rFonts w:hint="eastAsia"/>
                <w:color w:val="auto"/>
                <w:sz w:val="24"/>
                <w:lang w:val="en-US" w:eastAsia="zh-CN"/>
              </w:rPr>
              <w:t xml:space="preserve"> </w:t>
            </w:r>
            <w:r>
              <w:rPr>
                <w:rFonts w:hint="eastAsia"/>
                <w:color w:val="auto"/>
                <w:sz w:val="24"/>
              </w:rPr>
              <w:t>-1996）表4中三级标准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Merge w:val="continue"/>
            <w:vAlign w:val="center"/>
          </w:tcPr>
          <w:p>
            <w:pPr>
              <w:pStyle w:val="49"/>
              <w:rPr>
                <w:b/>
                <w:bCs/>
                <w:color w:val="auto"/>
                <w:sz w:val="24"/>
              </w:rPr>
            </w:pPr>
          </w:p>
        </w:tc>
        <w:tc>
          <w:tcPr>
            <w:tcW w:w="996" w:type="pct"/>
            <w:vAlign w:val="center"/>
          </w:tcPr>
          <w:p>
            <w:pPr>
              <w:pStyle w:val="49"/>
              <w:rPr>
                <w:rFonts w:hint="default"/>
                <w:color w:val="auto"/>
                <w:sz w:val="24"/>
                <w:lang w:val="en-US" w:eastAsia="zh-CN"/>
              </w:rPr>
            </w:pPr>
            <w:r>
              <w:rPr>
                <w:rFonts w:hint="eastAsia"/>
                <w:color w:val="auto"/>
                <w:sz w:val="24"/>
                <w:lang w:val="en-US" w:eastAsia="zh-CN"/>
              </w:rPr>
              <w:t>初期雨水</w:t>
            </w:r>
          </w:p>
        </w:tc>
        <w:tc>
          <w:tcPr>
            <w:tcW w:w="1129" w:type="dxa"/>
            <w:vAlign w:val="center"/>
          </w:tcPr>
          <w:p>
            <w:pPr>
              <w:pStyle w:val="49"/>
              <w:rPr>
                <w:color w:val="auto"/>
                <w:sz w:val="24"/>
              </w:rPr>
            </w:pPr>
            <w:r>
              <w:rPr>
                <w:color w:val="auto"/>
                <w:sz w:val="24"/>
              </w:rPr>
              <w:t>COD</w:t>
            </w:r>
          </w:p>
          <w:p>
            <w:pPr>
              <w:pStyle w:val="49"/>
              <w:rPr>
                <w:color w:val="auto"/>
                <w:sz w:val="24"/>
              </w:rPr>
            </w:pPr>
            <w:r>
              <w:rPr>
                <w:color w:val="auto"/>
                <w:sz w:val="24"/>
              </w:rPr>
              <w:t>SS</w:t>
            </w:r>
          </w:p>
          <w:p>
            <w:pPr>
              <w:pStyle w:val="49"/>
              <w:rPr>
                <w:rFonts w:hint="eastAsia"/>
                <w:color w:val="auto"/>
                <w:sz w:val="24"/>
                <w:lang w:val="en-US" w:eastAsia="zh-CN"/>
              </w:rPr>
            </w:pPr>
            <w:r>
              <w:rPr>
                <w:color w:val="auto"/>
                <w:sz w:val="24"/>
              </w:rPr>
              <w:t>石油类</w:t>
            </w:r>
          </w:p>
        </w:tc>
        <w:tc>
          <w:tcPr>
            <w:tcW w:w="2267" w:type="dxa"/>
            <w:vAlign w:val="center"/>
          </w:tcPr>
          <w:p>
            <w:pPr>
              <w:pStyle w:val="49"/>
              <w:jc w:val="both"/>
              <w:rPr>
                <w:rFonts w:hint="eastAsia"/>
                <w:color w:val="auto"/>
                <w:sz w:val="24"/>
                <w:lang w:val="en-US" w:eastAsia="zh-CN"/>
              </w:rPr>
            </w:pPr>
            <w:r>
              <w:rPr>
                <w:color w:val="auto"/>
                <w:sz w:val="24"/>
              </w:rPr>
              <w:t>经待拆车辆存放区四周排水沟汇入厂区1座</w:t>
            </w:r>
            <w:r>
              <w:rPr>
                <w:rFonts w:hint="eastAsia"/>
                <w:color w:val="auto"/>
                <w:sz w:val="24"/>
                <w:lang w:val="en-US" w:eastAsia="zh-CN"/>
              </w:rPr>
              <w:t>6</w:t>
            </w:r>
            <w:r>
              <w:rPr>
                <w:color w:val="auto"/>
                <w:sz w:val="24"/>
              </w:rPr>
              <w:t>0m</w:t>
            </w:r>
            <w:r>
              <w:rPr>
                <w:color w:val="auto"/>
                <w:sz w:val="24"/>
                <w:vertAlign w:val="superscript"/>
              </w:rPr>
              <w:t>3</w:t>
            </w:r>
            <w:r>
              <w:rPr>
                <w:color w:val="auto"/>
                <w:sz w:val="24"/>
              </w:rPr>
              <w:t>初期雨水收集池，经油水分离器隔油处理后，</w:t>
            </w:r>
            <w:r>
              <w:rPr>
                <w:rFonts w:hint="eastAsia"/>
                <w:color w:val="auto"/>
                <w:sz w:val="24"/>
                <w:lang w:val="en-US" w:eastAsia="zh-CN"/>
              </w:rPr>
              <w:t>用于厂区洒扫降尘</w:t>
            </w:r>
            <w:r>
              <w:rPr>
                <w:color w:val="auto"/>
                <w:sz w:val="24"/>
              </w:rPr>
              <w:t>。</w:t>
            </w:r>
          </w:p>
        </w:tc>
        <w:tc>
          <w:tcPr>
            <w:tcW w:w="1286" w:type="pct"/>
            <w:vAlign w:val="center"/>
          </w:tcPr>
          <w:p>
            <w:pPr>
              <w:pStyle w:val="49"/>
              <w:jc w:val="center"/>
              <w:rPr>
                <w:rFonts w:hint="default"/>
                <w:color w:val="auto"/>
                <w:sz w:val="24"/>
                <w:lang w:val="en-US" w:eastAsia="zh-CN"/>
              </w:rPr>
            </w:pPr>
            <w:r>
              <w:rPr>
                <w:rFonts w:hint="eastAsia"/>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Align w:val="center"/>
          </w:tcPr>
          <w:p>
            <w:pPr>
              <w:pStyle w:val="49"/>
              <w:rPr>
                <w:b/>
                <w:bCs/>
                <w:color w:val="auto"/>
                <w:sz w:val="24"/>
              </w:rPr>
            </w:pPr>
            <w:r>
              <w:rPr>
                <w:b/>
                <w:bCs/>
                <w:color w:val="auto"/>
                <w:sz w:val="24"/>
              </w:rPr>
              <w:t>声环境</w:t>
            </w:r>
          </w:p>
        </w:tc>
        <w:tc>
          <w:tcPr>
            <w:tcW w:w="996" w:type="pct"/>
            <w:vAlign w:val="center"/>
          </w:tcPr>
          <w:p>
            <w:pPr>
              <w:pStyle w:val="49"/>
              <w:rPr>
                <w:color w:val="auto"/>
                <w:sz w:val="24"/>
              </w:rPr>
            </w:pPr>
            <w:r>
              <w:rPr>
                <w:color w:val="auto"/>
                <w:sz w:val="24"/>
              </w:rPr>
              <w:t>生产设备</w:t>
            </w:r>
          </w:p>
        </w:tc>
        <w:tc>
          <w:tcPr>
            <w:tcW w:w="662" w:type="pct"/>
            <w:vAlign w:val="center"/>
          </w:tcPr>
          <w:p>
            <w:pPr>
              <w:pStyle w:val="49"/>
              <w:rPr>
                <w:color w:val="auto"/>
                <w:sz w:val="24"/>
              </w:rPr>
            </w:pPr>
            <w:r>
              <w:rPr>
                <w:color w:val="auto"/>
                <w:sz w:val="24"/>
              </w:rPr>
              <w:t>噪声</w:t>
            </w:r>
          </w:p>
        </w:tc>
        <w:tc>
          <w:tcPr>
            <w:tcW w:w="1330" w:type="pct"/>
            <w:vAlign w:val="center"/>
          </w:tcPr>
          <w:p>
            <w:pPr>
              <w:pStyle w:val="49"/>
              <w:jc w:val="both"/>
              <w:rPr>
                <w:color w:val="auto"/>
                <w:sz w:val="24"/>
              </w:rPr>
            </w:pPr>
            <w:r>
              <w:rPr>
                <w:color w:val="auto"/>
                <w:sz w:val="24"/>
              </w:rPr>
              <w:t>采取选用低噪声设备，通过厂房隔声、基础减振等措施，限制噪声向外传播。</w:t>
            </w:r>
          </w:p>
        </w:tc>
        <w:tc>
          <w:tcPr>
            <w:tcW w:w="1286" w:type="pct"/>
            <w:vAlign w:val="center"/>
          </w:tcPr>
          <w:p>
            <w:pPr>
              <w:pStyle w:val="49"/>
              <w:jc w:val="both"/>
              <w:rPr>
                <w:color w:val="auto"/>
                <w:sz w:val="24"/>
              </w:rPr>
            </w:pPr>
            <w:r>
              <w:rPr>
                <w:snapToGrid w:val="0"/>
                <w:color w:val="auto"/>
                <w:sz w:val="24"/>
              </w:rPr>
              <w:t>厂界噪声可满足《工业企业厂界环境噪声排放标准》（GB12348-2008）表1中2类（南侧、东侧、</w:t>
            </w:r>
            <w:r>
              <w:rPr>
                <w:rFonts w:hint="eastAsia"/>
                <w:snapToGrid w:val="0"/>
                <w:color w:val="auto"/>
                <w:sz w:val="24"/>
                <w:lang w:val="en-US" w:eastAsia="zh-CN"/>
              </w:rPr>
              <w:t>北</w:t>
            </w:r>
            <w:r>
              <w:rPr>
                <w:snapToGrid w:val="0"/>
                <w:color w:val="auto"/>
                <w:sz w:val="24"/>
              </w:rPr>
              <w:t>侧）、4类（</w:t>
            </w:r>
            <w:r>
              <w:rPr>
                <w:rFonts w:hint="eastAsia"/>
                <w:snapToGrid w:val="0"/>
                <w:color w:val="auto"/>
                <w:sz w:val="24"/>
                <w:lang w:val="en-US" w:eastAsia="zh-CN"/>
              </w:rPr>
              <w:t>西</w:t>
            </w:r>
            <w:r>
              <w:rPr>
                <w:snapToGrid w:val="0"/>
                <w:color w:val="auto"/>
                <w:sz w:val="24"/>
              </w:rPr>
              <w:t>侧）标准的要求。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3" w:hRule="atLeast"/>
          <w:jc w:val="center"/>
        </w:trPr>
        <w:tc>
          <w:tcPr>
            <w:tcW w:w="725" w:type="pct"/>
            <w:vAlign w:val="center"/>
          </w:tcPr>
          <w:p>
            <w:pPr>
              <w:pStyle w:val="49"/>
              <w:rPr>
                <w:b/>
                <w:bCs/>
                <w:color w:val="auto"/>
                <w:sz w:val="24"/>
              </w:rPr>
            </w:pPr>
            <w:r>
              <w:rPr>
                <w:b/>
                <w:bCs/>
                <w:color w:val="auto"/>
                <w:sz w:val="24"/>
              </w:rPr>
              <w:t>固体废物</w:t>
            </w:r>
          </w:p>
        </w:tc>
        <w:tc>
          <w:tcPr>
            <w:tcW w:w="4274" w:type="pct"/>
            <w:gridSpan w:val="4"/>
            <w:vAlign w:val="center"/>
          </w:tcPr>
          <w:p>
            <w:pPr>
              <w:pStyle w:val="49"/>
              <w:jc w:val="both"/>
              <w:rPr>
                <w:color w:val="auto"/>
                <w:sz w:val="24"/>
              </w:rPr>
            </w:pPr>
            <w:r>
              <w:rPr>
                <w:color w:val="auto"/>
                <w:sz w:val="24"/>
              </w:rPr>
              <w:t>（1）生活垃圾：集中收集，由市政部门统一清运；</w:t>
            </w:r>
          </w:p>
          <w:p>
            <w:pPr>
              <w:pStyle w:val="49"/>
              <w:jc w:val="both"/>
              <w:rPr>
                <w:color w:val="auto"/>
                <w:sz w:val="24"/>
              </w:rPr>
            </w:pPr>
            <w:r>
              <w:rPr>
                <w:color w:val="auto"/>
                <w:sz w:val="24"/>
              </w:rPr>
              <w:t>（2）一般固体废物：</w:t>
            </w:r>
          </w:p>
          <w:p>
            <w:pPr>
              <w:pStyle w:val="49"/>
              <w:jc w:val="both"/>
              <w:rPr>
                <w:color w:val="auto"/>
                <w:sz w:val="24"/>
              </w:rPr>
            </w:pPr>
            <w:r>
              <w:rPr>
                <w:rFonts w:hint="eastAsia" w:ascii="宋体" w:hAnsi="宋体" w:cs="宋体"/>
                <w:color w:val="auto"/>
                <w:sz w:val="24"/>
              </w:rPr>
              <w:t>①</w:t>
            </w:r>
            <w:r>
              <w:rPr>
                <w:rFonts w:hint="eastAsia"/>
                <w:color w:val="auto"/>
                <w:sz w:val="24"/>
                <w:lang w:eastAsia="zh-CN"/>
              </w:rPr>
              <w:t>移动式布袋除尘器</w:t>
            </w:r>
            <w:r>
              <w:rPr>
                <w:color w:val="auto"/>
                <w:sz w:val="24"/>
              </w:rPr>
              <w:t>收尘：集中收集，外售综合利用；</w:t>
            </w:r>
          </w:p>
          <w:p>
            <w:pPr>
              <w:pStyle w:val="49"/>
              <w:jc w:val="both"/>
              <w:rPr>
                <w:color w:val="auto"/>
                <w:sz w:val="24"/>
              </w:rPr>
            </w:pPr>
            <w:r>
              <w:rPr>
                <w:rFonts w:hint="eastAsia" w:ascii="宋体" w:hAnsi="宋体" w:cs="宋体"/>
                <w:color w:val="auto"/>
                <w:sz w:val="24"/>
              </w:rPr>
              <w:t>②</w:t>
            </w:r>
            <w:r>
              <w:rPr>
                <w:color w:val="auto"/>
                <w:sz w:val="24"/>
              </w:rPr>
              <w:t>废电子电器部件：集中收集，交由有废弃电子产品处理资格的企业进行处置；</w:t>
            </w:r>
          </w:p>
          <w:p>
            <w:pPr>
              <w:pStyle w:val="49"/>
              <w:jc w:val="both"/>
              <w:rPr>
                <w:color w:val="auto"/>
                <w:sz w:val="24"/>
              </w:rPr>
            </w:pPr>
            <w:r>
              <w:rPr>
                <w:rFonts w:hint="eastAsia" w:ascii="宋体" w:hAnsi="宋体" w:cs="宋体"/>
                <w:color w:val="auto"/>
                <w:sz w:val="24"/>
              </w:rPr>
              <w:t>③</w:t>
            </w:r>
            <w:r>
              <w:rPr>
                <w:rFonts w:hint="eastAsia"/>
                <w:color w:val="auto"/>
                <w:sz w:val="24"/>
                <w:lang w:eastAsia="zh-CN"/>
              </w:rPr>
              <w:t>其他固体废物</w:t>
            </w:r>
            <w:r>
              <w:rPr>
                <w:color w:val="auto"/>
                <w:sz w:val="24"/>
              </w:rPr>
              <w:t>：集中收集，</w:t>
            </w:r>
            <w:r>
              <w:rPr>
                <w:rFonts w:hint="eastAsia"/>
                <w:color w:val="auto"/>
                <w:sz w:val="24"/>
                <w:lang w:val="en-US" w:eastAsia="zh-CN"/>
              </w:rPr>
              <w:t>外售综合利用</w:t>
            </w:r>
            <w:r>
              <w:rPr>
                <w:rFonts w:hint="eastAsia"/>
                <w:color w:val="auto"/>
                <w:sz w:val="24"/>
              </w:rPr>
              <w:t>。</w:t>
            </w:r>
          </w:p>
          <w:p>
            <w:pPr>
              <w:pStyle w:val="49"/>
              <w:jc w:val="both"/>
              <w:rPr>
                <w:rFonts w:hint="eastAsia" w:eastAsia="宋体"/>
                <w:color w:val="auto"/>
                <w:sz w:val="24"/>
                <w:lang w:val="en-US" w:eastAsia="zh-CN"/>
              </w:rPr>
            </w:pPr>
            <w:r>
              <w:rPr>
                <w:rFonts w:hint="eastAsia"/>
                <w:color w:val="auto"/>
                <w:sz w:val="24"/>
              </w:rPr>
              <w:t>④</w:t>
            </w:r>
            <w:r>
              <w:rPr>
                <w:rFonts w:hint="eastAsia"/>
                <w:color w:val="auto"/>
                <w:sz w:val="24"/>
                <w:lang w:val="en-US" w:eastAsia="zh-CN"/>
              </w:rPr>
              <w:t>泥土：</w:t>
            </w:r>
            <w:r>
              <w:rPr>
                <w:color w:val="auto"/>
                <w:sz w:val="24"/>
              </w:rPr>
              <w:t>集中收集，</w:t>
            </w:r>
            <w:r>
              <w:rPr>
                <w:rFonts w:hint="eastAsia"/>
                <w:color w:val="auto"/>
                <w:sz w:val="24"/>
                <w:lang w:val="en-US" w:eastAsia="zh-CN"/>
              </w:rPr>
              <w:t>外售给苗圃综合利用</w:t>
            </w:r>
            <w:r>
              <w:rPr>
                <w:rFonts w:hint="eastAsia"/>
                <w:color w:val="auto"/>
                <w:sz w:val="24"/>
              </w:rPr>
              <w:t>。</w:t>
            </w:r>
          </w:p>
          <w:p>
            <w:pPr>
              <w:pStyle w:val="49"/>
              <w:jc w:val="both"/>
              <w:rPr>
                <w:color w:val="auto"/>
                <w:sz w:val="24"/>
              </w:rPr>
            </w:pPr>
            <w:r>
              <w:rPr>
                <w:color w:val="auto"/>
                <w:sz w:val="24"/>
              </w:rPr>
              <w:t>（3）危险废物：分类暂存于</w:t>
            </w:r>
            <w:r>
              <w:rPr>
                <w:rFonts w:hint="eastAsia"/>
                <w:color w:val="auto"/>
                <w:sz w:val="24"/>
                <w:lang w:eastAsia="zh-CN"/>
              </w:rPr>
              <w:t>危险废物贮存库</w:t>
            </w:r>
            <w:r>
              <w:rPr>
                <w:color w:val="auto"/>
                <w:sz w:val="24"/>
              </w:rPr>
              <w:t>专用容器中，定期交由有资质单位回收处置。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pPr>
              <w:pStyle w:val="49"/>
              <w:rPr>
                <w:b/>
                <w:bCs/>
                <w:color w:val="auto"/>
                <w:sz w:val="24"/>
              </w:rPr>
            </w:pPr>
            <w:r>
              <w:rPr>
                <w:b/>
                <w:bCs/>
                <w:color w:val="auto"/>
                <w:sz w:val="24"/>
              </w:rPr>
              <w:t>土壤及地下水污染防治措施</w:t>
            </w:r>
          </w:p>
        </w:tc>
        <w:tc>
          <w:tcPr>
            <w:tcW w:w="4274" w:type="pct"/>
            <w:gridSpan w:val="4"/>
            <w:vAlign w:val="center"/>
          </w:tcPr>
          <w:p>
            <w:pPr>
              <w:pStyle w:val="49"/>
              <w:jc w:val="both"/>
              <w:rPr>
                <w:bCs/>
                <w:color w:val="auto"/>
                <w:sz w:val="24"/>
                <w:szCs w:val="32"/>
              </w:rPr>
            </w:pPr>
            <w:r>
              <w:rPr>
                <w:rFonts w:hint="eastAsia" w:ascii="宋体" w:hAnsi="宋体" w:cs="宋体"/>
                <w:color w:val="auto"/>
                <w:sz w:val="24"/>
                <w:szCs w:val="32"/>
              </w:rPr>
              <w:t>①</w:t>
            </w:r>
            <w:r>
              <w:rPr>
                <w:color w:val="auto"/>
                <w:sz w:val="24"/>
                <w:szCs w:val="32"/>
              </w:rPr>
              <w:t>重点防渗区：包括</w:t>
            </w:r>
            <w:r>
              <w:rPr>
                <w:rFonts w:hint="eastAsia"/>
                <w:color w:val="auto"/>
                <w:sz w:val="24"/>
                <w:szCs w:val="32"/>
                <w:lang w:eastAsia="zh-CN"/>
              </w:rPr>
              <w:t>危险废物贮存库</w:t>
            </w:r>
            <w:r>
              <w:rPr>
                <w:color w:val="auto"/>
                <w:sz w:val="24"/>
                <w:szCs w:val="32"/>
              </w:rPr>
              <w:t>。采取抗渗钢纤维混凝土或高密度聚乙烯膜(HDPE)进行防渗，防渗技术要求达到等效黏土防渗层Mb≥6.0m，K≤1×10</w:t>
            </w:r>
            <w:r>
              <w:rPr>
                <w:color w:val="auto"/>
                <w:sz w:val="24"/>
                <w:szCs w:val="32"/>
                <w:vertAlign w:val="superscript"/>
              </w:rPr>
              <w:t>-7</w:t>
            </w:r>
            <w:r>
              <w:rPr>
                <w:color w:val="auto"/>
                <w:sz w:val="24"/>
                <w:szCs w:val="32"/>
              </w:rPr>
              <w:t>cm/s的要求；</w:t>
            </w:r>
            <w:r>
              <w:rPr>
                <w:rFonts w:hint="eastAsia"/>
                <w:color w:val="auto"/>
                <w:sz w:val="24"/>
                <w:szCs w:val="32"/>
                <w:lang w:eastAsia="zh-CN"/>
              </w:rPr>
              <w:t>危险废物贮存库</w:t>
            </w:r>
            <w:r>
              <w:rPr>
                <w:bCs/>
                <w:color w:val="auto"/>
                <w:sz w:val="24"/>
                <w:szCs w:val="32"/>
              </w:rPr>
              <w:t>建设严格按照</w:t>
            </w:r>
            <w:r>
              <w:rPr>
                <w:rFonts w:hint="eastAsia"/>
                <w:bCs/>
                <w:color w:val="auto"/>
                <w:sz w:val="24"/>
                <w:szCs w:val="32"/>
                <w:lang w:eastAsia="zh-CN"/>
              </w:rPr>
              <w:t>《危险废物贮存污染控制标准》（GB18597-2023）</w:t>
            </w:r>
            <w:r>
              <w:rPr>
                <w:bCs/>
                <w:color w:val="auto"/>
                <w:sz w:val="24"/>
                <w:szCs w:val="32"/>
              </w:rPr>
              <w:t>中相关规定进行设置，地面防渗、</w:t>
            </w:r>
            <w:r>
              <w:rPr>
                <w:rFonts w:hint="eastAsia"/>
                <w:bCs/>
                <w:color w:val="auto"/>
                <w:sz w:val="24"/>
                <w:szCs w:val="32"/>
                <w:lang w:eastAsia="zh-CN"/>
              </w:rPr>
              <w:t>裙脚</w:t>
            </w:r>
            <w:r>
              <w:rPr>
                <w:bCs/>
                <w:color w:val="auto"/>
                <w:sz w:val="24"/>
                <w:szCs w:val="32"/>
              </w:rPr>
              <w:t>防渗，防渗层为至少1米厚粘土层（渗透系数≤10</w:t>
            </w:r>
            <w:r>
              <w:rPr>
                <w:bCs/>
                <w:color w:val="auto"/>
                <w:sz w:val="24"/>
                <w:szCs w:val="32"/>
                <w:vertAlign w:val="superscript"/>
              </w:rPr>
              <w:t>-7</w:t>
            </w:r>
            <w:r>
              <w:rPr>
                <w:bCs/>
                <w:color w:val="auto"/>
                <w:sz w:val="24"/>
                <w:szCs w:val="32"/>
              </w:rPr>
              <w:t>cm/s），或2mm厚高密度聚乙烯</w:t>
            </w:r>
            <w:r>
              <w:rPr>
                <w:rFonts w:hint="eastAsia"/>
                <w:bCs/>
                <w:color w:val="auto"/>
                <w:sz w:val="24"/>
                <w:szCs w:val="32"/>
              </w:rPr>
              <w:t>膜等人工防渗材料</w:t>
            </w:r>
            <w:r>
              <w:rPr>
                <w:rFonts w:hint="eastAsia"/>
                <w:bCs/>
                <w:color w:val="auto"/>
                <w:sz w:val="24"/>
                <w:szCs w:val="32"/>
                <w:lang w:eastAsia="zh-CN"/>
              </w:rPr>
              <w:t>（</w:t>
            </w:r>
            <w:r>
              <w:rPr>
                <w:bCs/>
                <w:color w:val="auto"/>
                <w:sz w:val="24"/>
                <w:szCs w:val="32"/>
              </w:rPr>
              <w:t>渗透系数≤10</w:t>
            </w:r>
            <w:r>
              <w:rPr>
                <w:bCs/>
                <w:color w:val="auto"/>
                <w:sz w:val="24"/>
                <w:szCs w:val="32"/>
                <w:vertAlign w:val="superscript"/>
              </w:rPr>
              <w:t>-10</w:t>
            </w:r>
            <w:r>
              <w:rPr>
                <w:bCs/>
                <w:color w:val="auto"/>
                <w:sz w:val="24"/>
                <w:szCs w:val="32"/>
              </w:rPr>
              <w:t>cm/s</w:t>
            </w:r>
            <w:r>
              <w:rPr>
                <w:rFonts w:hint="eastAsia"/>
                <w:bCs/>
                <w:color w:val="auto"/>
                <w:sz w:val="24"/>
                <w:szCs w:val="32"/>
                <w:lang w:eastAsia="zh-CN"/>
              </w:rPr>
              <w:t>）</w:t>
            </w:r>
            <w:r>
              <w:rPr>
                <w:bCs/>
                <w:color w:val="auto"/>
                <w:sz w:val="24"/>
                <w:szCs w:val="32"/>
              </w:rPr>
              <w:t>。</w:t>
            </w:r>
          </w:p>
          <w:p>
            <w:pPr>
              <w:pStyle w:val="49"/>
              <w:jc w:val="both"/>
              <w:rPr>
                <w:color w:val="auto"/>
                <w:sz w:val="24"/>
                <w:szCs w:val="32"/>
              </w:rPr>
            </w:pPr>
            <w:r>
              <w:rPr>
                <w:rFonts w:hint="eastAsia" w:ascii="宋体" w:hAnsi="宋体" w:cs="宋体"/>
                <w:color w:val="auto"/>
                <w:sz w:val="24"/>
                <w:szCs w:val="32"/>
              </w:rPr>
              <w:t>②</w:t>
            </w:r>
            <w:r>
              <w:rPr>
                <w:color w:val="auto"/>
                <w:sz w:val="24"/>
                <w:szCs w:val="32"/>
              </w:rPr>
              <w:t>一般防渗区：包括拆解车间、待拆车辆贮存场地、</w:t>
            </w:r>
            <w:r>
              <w:rPr>
                <w:rFonts w:hint="eastAsia"/>
                <w:color w:val="auto"/>
                <w:sz w:val="24"/>
                <w:szCs w:val="32"/>
              </w:rPr>
              <w:t>农机拆除成品半成品及零件贮存库</w:t>
            </w:r>
            <w:r>
              <w:rPr>
                <w:color w:val="auto"/>
                <w:sz w:val="24"/>
                <w:szCs w:val="32"/>
              </w:rPr>
              <w:t>。采用防渗混凝土或HDPE膜进行防渗，其防渗技术要求可满足等效黏土防渗层Mb≥1.5m，K≤1×10</w:t>
            </w:r>
            <w:r>
              <w:rPr>
                <w:color w:val="auto"/>
                <w:sz w:val="24"/>
                <w:szCs w:val="32"/>
                <w:vertAlign w:val="superscript"/>
              </w:rPr>
              <w:t>-7</w:t>
            </w:r>
            <w:r>
              <w:rPr>
                <w:color w:val="auto"/>
                <w:sz w:val="24"/>
                <w:szCs w:val="32"/>
              </w:rPr>
              <w:t>cm/s的要求。</w:t>
            </w:r>
          </w:p>
          <w:p>
            <w:pPr>
              <w:pStyle w:val="49"/>
              <w:jc w:val="both"/>
              <w:rPr>
                <w:color w:val="auto"/>
                <w:sz w:val="24"/>
              </w:rPr>
            </w:pPr>
            <w:r>
              <w:rPr>
                <w:rFonts w:hint="eastAsia" w:ascii="宋体" w:hAnsi="宋体" w:cs="宋体"/>
                <w:color w:val="auto"/>
                <w:sz w:val="24"/>
                <w:szCs w:val="32"/>
              </w:rPr>
              <w:t>③</w:t>
            </w:r>
            <w:r>
              <w:rPr>
                <w:color w:val="auto"/>
                <w:sz w:val="24"/>
                <w:szCs w:val="32"/>
              </w:rPr>
              <w:t>简单防渗区：包括</w:t>
            </w:r>
            <w:r>
              <w:rPr>
                <w:rFonts w:hint="eastAsia"/>
                <w:color w:val="auto"/>
                <w:sz w:val="24"/>
                <w:szCs w:val="32"/>
                <w:lang w:val="en-US" w:eastAsia="zh-CN"/>
              </w:rPr>
              <w:t>办公区、</w:t>
            </w:r>
            <w:r>
              <w:rPr>
                <w:color w:val="auto"/>
                <w:sz w:val="24"/>
                <w:szCs w:val="32"/>
              </w:rPr>
              <w:t>厂区道路。进行一般地面水泥硬化。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25" w:type="pct"/>
            <w:vAlign w:val="center"/>
          </w:tcPr>
          <w:p>
            <w:pPr>
              <w:pStyle w:val="49"/>
              <w:rPr>
                <w:b/>
                <w:bCs/>
                <w:color w:val="auto"/>
                <w:sz w:val="24"/>
              </w:rPr>
            </w:pPr>
            <w:r>
              <w:rPr>
                <w:b/>
                <w:bCs/>
                <w:color w:val="auto"/>
                <w:sz w:val="24"/>
              </w:rPr>
              <w:t>生态保护措施</w:t>
            </w:r>
          </w:p>
        </w:tc>
        <w:tc>
          <w:tcPr>
            <w:tcW w:w="4274" w:type="pct"/>
            <w:gridSpan w:val="4"/>
            <w:vAlign w:val="center"/>
          </w:tcPr>
          <w:p>
            <w:pPr>
              <w:pStyle w:val="49"/>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pPr>
              <w:pStyle w:val="49"/>
              <w:rPr>
                <w:b/>
                <w:bCs/>
                <w:color w:val="auto"/>
                <w:spacing w:val="-8"/>
                <w:sz w:val="24"/>
              </w:rPr>
            </w:pPr>
            <w:r>
              <w:rPr>
                <w:b/>
                <w:bCs/>
                <w:color w:val="auto"/>
                <w:spacing w:val="-8"/>
                <w:sz w:val="24"/>
              </w:rPr>
              <w:t>环境风险</w:t>
            </w:r>
          </w:p>
          <w:p>
            <w:pPr>
              <w:pStyle w:val="49"/>
              <w:rPr>
                <w:b/>
                <w:bCs/>
                <w:color w:val="auto"/>
                <w:spacing w:val="-8"/>
                <w:sz w:val="24"/>
              </w:rPr>
            </w:pPr>
            <w:r>
              <w:rPr>
                <w:b/>
                <w:bCs/>
                <w:color w:val="auto"/>
                <w:spacing w:val="-8"/>
                <w:sz w:val="24"/>
              </w:rPr>
              <w:t>防范措施</w:t>
            </w:r>
          </w:p>
        </w:tc>
        <w:tc>
          <w:tcPr>
            <w:tcW w:w="4274" w:type="pct"/>
            <w:gridSpan w:val="4"/>
            <w:vAlign w:val="center"/>
          </w:tcPr>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①拆解车间内严禁明火，严禁在未排空废油液的情况下进行油箱拆解。</w:t>
            </w:r>
          </w:p>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②每年对灭火器材、设施进行检查，如有损坏或压力不足应及时维修更新。检测内容、</w:t>
            </w:r>
          </w:p>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时间、人员应有记录保存。安全检测应根据设备的安全性、危险性设定检测频次。在消防器材、设施放置处，安排相应的管理者负责。</w:t>
            </w:r>
          </w:p>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③强化安全生产管理，必须制订岗位责任制，将责任落实到部门和个人严格遵守操作规程，严格遵守《化学危险品管理条例》及国家、地方关于易燃、易爆、有毒有害物料的  储运使用安全规定。</w:t>
            </w:r>
          </w:p>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④建立健全环保及安全管理部门，该部门应加强监督检查，按规定监测厂内外空气及水体中的有毒有害物质，及时发现，立即处理，避免污染。</w:t>
            </w:r>
          </w:p>
          <w:p>
            <w:pPr>
              <w:pStyle w:val="49"/>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⑤建立事故应急预案，成立事故应急处理小组，由车间安全负责人担任事故应急小组组长，一旦发火灾等事故，应立即启动事故应急预案，并向有关环境管理部门汇报情况，协助环境管理部门进行应急监测等工作；</w:t>
            </w:r>
          </w:p>
          <w:p>
            <w:pPr>
              <w:pStyle w:val="49"/>
              <w:jc w:val="both"/>
              <w:rPr>
                <w:color w:val="auto"/>
              </w:rPr>
            </w:pPr>
            <w:r>
              <w:rPr>
                <w:rFonts w:hint="eastAsia" w:ascii="Times New Roman" w:hAnsi="Times New Roman" w:eastAsia="宋体" w:cs="Times New Roman"/>
                <w:bCs/>
                <w:color w:val="auto"/>
                <w:sz w:val="24"/>
                <w:szCs w:val="32"/>
              </w:rPr>
              <w:t>⑥在易燃原料贮存地点与使用易燃原料的设备处设立安全标志或涂刷相应的安全色。地面进行防腐防渗，并加强管理与维护，杜绝出现跑、冒、滴、漏现象。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25" w:type="pct"/>
            <w:vAlign w:val="center"/>
          </w:tcPr>
          <w:p>
            <w:pPr>
              <w:pStyle w:val="49"/>
              <w:rPr>
                <w:b/>
                <w:bCs/>
                <w:color w:val="auto"/>
                <w:spacing w:val="-8"/>
                <w:sz w:val="24"/>
              </w:rPr>
            </w:pPr>
            <w:r>
              <w:rPr>
                <w:b/>
                <w:bCs/>
                <w:color w:val="auto"/>
                <w:spacing w:val="-8"/>
                <w:sz w:val="24"/>
              </w:rPr>
              <w:t>其他环境</w:t>
            </w:r>
          </w:p>
          <w:p>
            <w:pPr>
              <w:pStyle w:val="49"/>
              <w:rPr>
                <w:b/>
                <w:bCs/>
                <w:color w:val="auto"/>
                <w:spacing w:val="-8"/>
                <w:sz w:val="24"/>
              </w:rPr>
            </w:pPr>
            <w:r>
              <w:rPr>
                <w:b/>
                <w:bCs/>
                <w:color w:val="auto"/>
                <w:spacing w:val="-8"/>
                <w:sz w:val="24"/>
              </w:rPr>
              <w:t>管理要求</w:t>
            </w:r>
          </w:p>
        </w:tc>
        <w:tc>
          <w:tcPr>
            <w:tcW w:w="4274" w:type="pct"/>
            <w:gridSpan w:val="4"/>
            <w:vAlign w:val="center"/>
          </w:tcPr>
          <w:p>
            <w:pPr>
              <w:pStyle w:val="49"/>
              <w:jc w:val="both"/>
              <w:rPr>
                <w:color w:val="auto"/>
                <w:sz w:val="24"/>
              </w:rPr>
            </w:pPr>
            <w:r>
              <w:rPr>
                <w:rFonts w:hint="eastAsia" w:ascii="宋体" w:hAnsi="宋体" w:eastAsia="宋体" w:cs="宋体"/>
                <w:color w:val="auto"/>
                <w:sz w:val="24"/>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施要做到定期检查，制定检查方案与实施计划，严防出故障，对三废处理装置要定期检修，以确保污染物达标排放。</w:t>
            </w:r>
          </w:p>
        </w:tc>
      </w:tr>
    </w:tbl>
    <w:p>
      <w:pPr>
        <w:pStyle w:val="17"/>
        <w:adjustRightInd w:val="0"/>
        <w:snapToGrid w:val="0"/>
        <w:spacing w:before="0" w:beforeAutospacing="0" w:after="0" w:afterAutospacing="0"/>
        <w:outlineLvl w:val="0"/>
        <w:rPr>
          <w:rFonts w:ascii="Times New Roman" w:hAnsi="Times New Roman"/>
          <w:b/>
          <w:bCs/>
          <w:snapToGrid w:val="0"/>
          <w:color w:val="auto"/>
          <w:sz w:val="30"/>
          <w:szCs w:val="30"/>
        </w:rPr>
      </w:pPr>
      <w:r>
        <w:rPr>
          <w:rFonts w:ascii="Times New Roman" w:hAnsi="Times New Roman"/>
          <w:snapToGrid w:val="0"/>
          <w:color w:val="auto"/>
        </w:rPr>
        <w:br w:type="page"/>
      </w:r>
      <w:bookmarkStart w:id="15" w:name="_Toc31332"/>
      <w:r>
        <w:rPr>
          <w:rFonts w:ascii="Times New Roman" w:hAnsi="Times New Roman"/>
          <w:b/>
          <w:bCs/>
          <w:snapToGrid w:val="0"/>
          <w:color w:val="auto"/>
          <w:sz w:val="30"/>
          <w:szCs w:val="30"/>
        </w:rPr>
        <w:t>六、结论</w:t>
      </w:r>
      <w:bookmarkEnd w:id="15"/>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pPr>
              <w:pStyle w:val="75"/>
              <w:rPr>
                <w:color w:val="auto"/>
              </w:rPr>
            </w:pPr>
            <w:r>
              <w:rPr>
                <w:color w:val="auto"/>
              </w:rPr>
              <w:t>通过本项目所在地环境现状调查、污染源分析、环境影响分析可知，本项目选址合理，项目符合国将产业政策及相关规划要求，符合国家环境保护相关政策法规要求，项目运行期产生的废水、废气、噪声、固废等采取有效措施后，均能满足国家相关排放标准的要求，企业在生产过程中在充分落实本环评提出的各项污染防治对策前提下，认真做好“三同时”及日常环保管理工作，从环保角度出发，本项目建设可行。</w:t>
            </w: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rPr>
                <w:rFonts w:ascii="Times New Roman"/>
                <w:color w:val="auto"/>
              </w:rPr>
            </w:pPr>
          </w:p>
          <w:p>
            <w:pPr>
              <w:pStyle w:val="28"/>
              <w:jc w:val="both"/>
              <w:rPr>
                <w:rFonts w:ascii="Times New Roman"/>
                <w:color w:val="auto"/>
              </w:rPr>
            </w:pPr>
          </w:p>
        </w:tc>
      </w:tr>
    </w:tbl>
    <w:p>
      <w:pPr>
        <w:rPr>
          <w:color w:val="auto"/>
        </w:rPr>
        <w:sectPr>
          <w:pgSz w:w="11906" w:h="16838"/>
          <w:pgMar w:top="1440" w:right="1800" w:bottom="1440" w:left="1800" w:header="851" w:footer="851" w:gutter="0"/>
          <w:cols w:space="720" w:num="1"/>
          <w:docGrid w:linePitch="312" w:charSpace="0"/>
        </w:sectPr>
      </w:pPr>
    </w:p>
    <w:p>
      <w:pPr>
        <w:pStyle w:val="17"/>
        <w:adjustRightInd w:val="0"/>
        <w:snapToGrid w:val="0"/>
        <w:spacing w:before="0" w:beforeAutospacing="0" w:after="0" w:afterAutospacing="0"/>
        <w:jc w:val="center"/>
        <w:outlineLvl w:val="0"/>
        <w:rPr>
          <w:rFonts w:ascii="Times New Roman" w:hAnsi="Times New Roman"/>
          <w:snapToGrid w:val="0"/>
          <w:color w:val="auto"/>
          <w:sz w:val="38"/>
          <w:szCs w:val="38"/>
        </w:rPr>
      </w:pPr>
      <w:bookmarkStart w:id="16" w:name="_Toc25197"/>
      <w:r>
        <w:rPr>
          <w:rFonts w:ascii="Times New Roman" w:hAnsi="Times New Roman"/>
          <w:snapToGrid w:val="0"/>
          <w:color w:val="auto"/>
          <w:sz w:val="38"/>
          <w:szCs w:val="38"/>
        </w:rPr>
        <w:t>建设项目污染物排放量汇总表</w:t>
      </w:r>
      <w:bookmarkEnd w:id="16"/>
    </w:p>
    <w:tbl>
      <w:tblPr>
        <w:tblStyle w:val="20"/>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022"/>
        <w:gridCol w:w="1701"/>
        <w:gridCol w:w="1276"/>
        <w:gridCol w:w="1701"/>
        <w:gridCol w:w="1559"/>
        <w:gridCol w:w="1521"/>
        <w:gridCol w:w="1701"/>
        <w:gridCol w:w="1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83" w:type="dxa"/>
            <w:tcBorders>
              <w:tl2br w:val="single" w:color="auto" w:sz="4" w:space="0"/>
            </w:tcBorders>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jc w:val="right"/>
              <w:textAlignment w:val="auto"/>
              <w:rPr>
                <w:snapToGrid w:val="0"/>
                <w:color w:val="auto"/>
                <w:sz w:val="21"/>
                <w:szCs w:val="21"/>
              </w:rPr>
            </w:pPr>
            <w:r>
              <w:rPr>
                <w:snapToGrid w:val="0"/>
                <w:color w:val="auto"/>
                <w:sz w:val="21"/>
                <w:szCs w:val="21"/>
              </w:rPr>
              <w:t>项目</w:t>
            </w:r>
          </w:p>
          <w:p>
            <w:pPr>
              <w:pStyle w:val="49"/>
              <w:keepNext w:val="0"/>
              <w:keepLines w:val="0"/>
              <w:pageBreakBefore w:val="0"/>
              <w:widowControl w:val="0"/>
              <w:kinsoku/>
              <w:wordWrap/>
              <w:overflowPunct/>
              <w:topLinePunct w:val="0"/>
              <w:autoSpaceDE/>
              <w:autoSpaceDN/>
              <w:bidi w:val="0"/>
              <w:adjustRightInd/>
              <w:snapToGrid/>
              <w:spacing w:line="240" w:lineRule="auto"/>
              <w:jc w:val="left"/>
              <w:textAlignment w:val="auto"/>
              <w:rPr>
                <w:snapToGrid w:val="0"/>
                <w:color w:val="auto"/>
                <w:sz w:val="21"/>
                <w:szCs w:val="21"/>
              </w:rPr>
            </w:pPr>
            <w:r>
              <w:rPr>
                <w:snapToGrid w:val="0"/>
                <w:color w:val="auto"/>
                <w:sz w:val="21"/>
                <w:szCs w:val="21"/>
              </w:rPr>
              <w:t>分类</w:t>
            </w:r>
          </w:p>
        </w:tc>
        <w:tc>
          <w:tcPr>
            <w:tcW w:w="2022"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污染物名称</w:t>
            </w:r>
          </w:p>
        </w:tc>
        <w:tc>
          <w:tcPr>
            <w:tcW w:w="1701"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现有工程</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1 \* GB3 \* MERGEFORMAT </w:instrText>
            </w:r>
            <w:r>
              <w:rPr>
                <w:snapToGrid w:val="0"/>
                <w:color w:val="auto"/>
                <w:sz w:val="21"/>
                <w:szCs w:val="21"/>
              </w:rPr>
              <w:fldChar w:fldCharType="separate"/>
            </w:r>
            <w:r>
              <w:rPr>
                <w:rFonts w:hint="eastAsia" w:ascii="宋体" w:hAnsi="宋体" w:cs="宋体"/>
                <w:color w:val="auto"/>
                <w:sz w:val="21"/>
                <w:szCs w:val="21"/>
              </w:rPr>
              <w:t>①</w:t>
            </w:r>
            <w:r>
              <w:rPr>
                <w:snapToGrid w:val="0"/>
                <w:color w:val="auto"/>
                <w:sz w:val="21"/>
                <w:szCs w:val="21"/>
              </w:rPr>
              <w:fldChar w:fldCharType="end"/>
            </w:r>
          </w:p>
        </w:tc>
        <w:tc>
          <w:tcPr>
            <w:tcW w:w="1276"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现有工程</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许可排放量</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fldChar w:fldCharType="begin"/>
            </w:r>
            <w:r>
              <w:rPr>
                <w:snapToGrid w:val="0"/>
                <w:color w:val="auto"/>
                <w:sz w:val="21"/>
                <w:szCs w:val="21"/>
              </w:rPr>
              <w:instrText xml:space="preserve"> = 2 \* GB3 \* MERGEFORMAT </w:instrText>
            </w:r>
            <w:r>
              <w:rPr>
                <w:snapToGrid w:val="0"/>
                <w:color w:val="auto"/>
                <w:sz w:val="21"/>
                <w:szCs w:val="21"/>
              </w:rPr>
              <w:fldChar w:fldCharType="separate"/>
            </w:r>
            <w:r>
              <w:rPr>
                <w:rFonts w:hint="eastAsia" w:ascii="宋体" w:hAnsi="宋体" w:cs="宋体"/>
                <w:snapToGrid w:val="0"/>
                <w:color w:val="auto"/>
                <w:sz w:val="21"/>
                <w:szCs w:val="21"/>
              </w:rPr>
              <w:t>②</w:t>
            </w:r>
            <w:r>
              <w:rPr>
                <w:snapToGrid w:val="0"/>
                <w:color w:val="auto"/>
                <w:sz w:val="21"/>
                <w:szCs w:val="21"/>
              </w:rPr>
              <w:fldChar w:fldCharType="end"/>
            </w:r>
          </w:p>
        </w:tc>
        <w:tc>
          <w:tcPr>
            <w:tcW w:w="1701"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在建工程</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3 \* GB3 \* MERGEFORMAT </w:instrText>
            </w:r>
            <w:r>
              <w:rPr>
                <w:snapToGrid w:val="0"/>
                <w:color w:val="auto"/>
                <w:sz w:val="21"/>
                <w:szCs w:val="21"/>
              </w:rPr>
              <w:fldChar w:fldCharType="separate"/>
            </w:r>
            <w:r>
              <w:rPr>
                <w:rFonts w:hint="eastAsia" w:ascii="宋体" w:hAnsi="宋体" w:cs="宋体"/>
                <w:color w:val="auto"/>
                <w:sz w:val="21"/>
                <w:szCs w:val="21"/>
              </w:rPr>
              <w:t>③</w:t>
            </w:r>
            <w:r>
              <w:rPr>
                <w:snapToGrid w:val="0"/>
                <w:color w:val="auto"/>
                <w:sz w:val="21"/>
                <w:szCs w:val="21"/>
              </w:rPr>
              <w:fldChar w:fldCharType="end"/>
            </w:r>
          </w:p>
        </w:tc>
        <w:tc>
          <w:tcPr>
            <w:tcW w:w="1559"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本项目</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4 \* GB3 \* MERGEFORMAT </w:instrText>
            </w:r>
            <w:r>
              <w:rPr>
                <w:snapToGrid w:val="0"/>
                <w:color w:val="auto"/>
                <w:sz w:val="21"/>
                <w:szCs w:val="21"/>
              </w:rPr>
              <w:fldChar w:fldCharType="separate"/>
            </w:r>
            <w:r>
              <w:rPr>
                <w:rFonts w:hint="eastAsia" w:ascii="宋体" w:hAnsi="宋体" w:cs="宋体"/>
                <w:color w:val="auto"/>
                <w:sz w:val="21"/>
                <w:szCs w:val="21"/>
              </w:rPr>
              <w:t>④</w:t>
            </w:r>
            <w:r>
              <w:rPr>
                <w:snapToGrid w:val="0"/>
                <w:color w:val="auto"/>
                <w:sz w:val="21"/>
                <w:szCs w:val="21"/>
              </w:rPr>
              <w:fldChar w:fldCharType="end"/>
            </w:r>
          </w:p>
        </w:tc>
        <w:tc>
          <w:tcPr>
            <w:tcW w:w="1521"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以新带老削减量</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（新建项目不填）</w:t>
            </w:r>
            <w:r>
              <w:rPr>
                <w:snapToGrid w:val="0"/>
                <w:color w:val="auto"/>
                <w:spacing w:val="-16"/>
                <w:sz w:val="21"/>
                <w:szCs w:val="21"/>
              </w:rPr>
              <w:fldChar w:fldCharType="begin"/>
            </w:r>
            <w:r>
              <w:rPr>
                <w:snapToGrid w:val="0"/>
                <w:color w:val="auto"/>
                <w:spacing w:val="-16"/>
                <w:sz w:val="21"/>
                <w:szCs w:val="21"/>
              </w:rPr>
              <w:instrText xml:space="preserve"> = 5 \* GB3 \* MERGEFORMAT </w:instrText>
            </w:r>
            <w:r>
              <w:rPr>
                <w:snapToGrid w:val="0"/>
                <w:color w:val="auto"/>
                <w:spacing w:val="-16"/>
                <w:sz w:val="21"/>
                <w:szCs w:val="21"/>
              </w:rPr>
              <w:fldChar w:fldCharType="separate"/>
            </w:r>
            <w:r>
              <w:rPr>
                <w:rFonts w:hint="eastAsia" w:ascii="宋体" w:hAnsi="宋体" w:cs="宋体"/>
                <w:color w:val="auto"/>
                <w:sz w:val="21"/>
                <w:szCs w:val="21"/>
              </w:rPr>
              <w:t>⑤</w:t>
            </w:r>
            <w:r>
              <w:rPr>
                <w:snapToGrid w:val="0"/>
                <w:color w:val="auto"/>
                <w:spacing w:val="-16"/>
                <w:sz w:val="21"/>
                <w:szCs w:val="21"/>
              </w:rPr>
              <w:fldChar w:fldCharType="end"/>
            </w:r>
          </w:p>
        </w:tc>
        <w:tc>
          <w:tcPr>
            <w:tcW w:w="1701"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本项目建成后</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全厂排放量（固体废物产生量）</w:t>
            </w:r>
            <w:r>
              <w:rPr>
                <w:snapToGrid w:val="0"/>
                <w:color w:val="auto"/>
                <w:spacing w:val="-16"/>
                <w:sz w:val="21"/>
                <w:szCs w:val="21"/>
              </w:rPr>
              <w:fldChar w:fldCharType="begin"/>
            </w:r>
            <w:r>
              <w:rPr>
                <w:snapToGrid w:val="0"/>
                <w:color w:val="auto"/>
                <w:spacing w:val="-16"/>
                <w:sz w:val="21"/>
                <w:szCs w:val="21"/>
              </w:rPr>
              <w:instrText xml:space="preserve"> = 6 \* GB3 \* MERGEFORMAT </w:instrText>
            </w:r>
            <w:r>
              <w:rPr>
                <w:snapToGrid w:val="0"/>
                <w:color w:val="auto"/>
                <w:spacing w:val="-16"/>
                <w:sz w:val="21"/>
                <w:szCs w:val="21"/>
              </w:rPr>
              <w:fldChar w:fldCharType="separate"/>
            </w:r>
            <w:r>
              <w:rPr>
                <w:rFonts w:hint="eastAsia" w:ascii="宋体" w:hAnsi="宋体" w:cs="宋体"/>
                <w:color w:val="auto"/>
                <w:sz w:val="21"/>
                <w:szCs w:val="21"/>
              </w:rPr>
              <w:t>⑥</w:t>
            </w:r>
            <w:r>
              <w:rPr>
                <w:snapToGrid w:val="0"/>
                <w:color w:val="auto"/>
                <w:spacing w:val="-16"/>
                <w:sz w:val="21"/>
                <w:szCs w:val="21"/>
              </w:rPr>
              <w:fldChar w:fldCharType="end"/>
            </w:r>
          </w:p>
        </w:tc>
        <w:tc>
          <w:tcPr>
            <w:tcW w:w="1324" w:type="dxa"/>
            <w:tcMar>
              <w:left w:w="28" w:type="dxa"/>
              <w:right w:w="28" w:type="dxa"/>
            </w:tcMar>
            <w:vAlign w:val="center"/>
          </w:tcPr>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变化量</w:t>
            </w:r>
          </w:p>
          <w:p>
            <w:pPr>
              <w:pStyle w:val="49"/>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fldChar w:fldCharType="begin"/>
            </w:r>
            <w:r>
              <w:rPr>
                <w:snapToGrid w:val="0"/>
                <w:color w:val="auto"/>
                <w:sz w:val="21"/>
                <w:szCs w:val="21"/>
              </w:rPr>
              <w:instrText xml:space="preserve"> = 7 \* GB3 \* MERGEFORMAT </w:instrText>
            </w:r>
            <w:r>
              <w:rPr>
                <w:snapToGrid w:val="0"/>
                <w:color w:val="auto"/>
                <w:sz w:val="21"/>
                <w:szCs w:val="21"/>
              </w:rPr>
              <w:fldChar w:fldCharType="separate"/>
            </w:r>
            <w:r>
              <w:rPr>
                <w:rFonts w:hint="eastAsia" w:ascii="宋体" w:hAnsi="宋体" w:cs="宋体"/>
                <w:color w:val="auto"/>
                <w:sz w:val="21"/>
                <w:szCs w:val="21"/>
              </w:rPr>
              <w:t>⑦</w:t>
            </w:r>
            <w:r>
              <w:rPr>
                <w:snapToGrid w:val="0"/>
                <w:color w:val="auto"/>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pPr>
              <w:pStyle w:val="49"/>
              <w:rPr>
                <w:snapToGrid w:val="0"/>
                <w:color w:val="auto"/>
                <w:sz w:val="24"/>
              </w:rPr>
            </w:pPr>
            <w:r>
              <w:rPr>
                <w:snapToGrid w:val="0"/>
                <w:color w:val="auto"/>
                <w:sz w:val="24"/>
              </w:rPr>
              <w:t>废气</w:t>
            </w:r>
          </w:p>
        </w:tc>
        <w:tc>
          <w:tcPr>
            <w:tcW w:w="2022" w:type="dxa"/>
            <w:vAlign w:val="center"/>
          </w:tcPr>
          <w:p>
            <w:pPr>
              <w:pStyle w:val="49"/>
              <w:rPr>
                <w:snapToGrid w:val="0"/>
                <w:color w:val="auto"/>
                <w:sz w:val="24"/>
              </w:rPr>
            </w:pPr>
            <w:r>
              <w:rPr>
                <w:snapToGrid w:val="0"/>
                <w:color w:val="auto"/>
                <w:sz w:val="24"/>
              </w:rPr>
              <w:t>颗粒物</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jc w:val="center"/>
              <w:rPr>
                <w:color w:val="auto"/>
                <w:kern w:val="0"/>
                <w:sz w:val="24"/>
              </w:rPr>
            </w:pPr>
            <w:r>
              <w:rPr>
                <w:color w:val="auto"/>
                <w:kern w:val="0"/>
                <w:sz w:val="24"/>
              </w:rPr>
              <w:t>0.000</w:t>
            </w:r>
            <w:r>
              <w:rPr>
                <w:rFonts w:hint="eastAsia"/>
                <w:color w:val="auto"/>
                <w:kern w:val="0"/>
                <w:sz w:val="24"/>
                <w:lang w:val="en-US" w:eastAsia="zh-CN"/>
              </w:rPr>
              <w:t>1</w:t>
            </w:r>
            <w:r>
              <w:rPr>
                <w:color w:val="auto"/>
                <w:kern w:val="0"/>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0.000</w:t>
            </w:r>
            <w:r>
              <w:rPr>
                <w:rFonts w:hint="eastAsia"/>
                <w:color w:val="auto"/>
                <w:kern w:val="0"/>
                <w:sz w:val="24"/>
                <w:lang w:val="en-US" w:eastAsia="zh-CN"/>
              </w:rPr>
              <w:t>1</w:t>
            </w:r>
            <w:r>
              <w:rPr>
                <w:color w:val="auto"/>
                <w:kern w:val="0"/>
                <w:sz w:val="24"/>
              </w:rPr>
              <w:t>t/a</w:t>
            </w:r>
          </w:p>
        </w:tc>
        <w:tc>
          <w:tcPr>
            <w:tcW w:w="1324"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0.000</w:t>
            </w:r>
            <w:r>
              <w:rPr>
                <w:rFonts w:hint="eastAsia"/>
                <w:color w:val="auto"/>
                <w:kern w:val="0"/>
                <w:sz w:val="24"/>
                <w:lang w:val="en-US" w:eastAsia="zh-CN"/>
              </w:rPr>
              <w:t>1</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rPr>
                <w:snapToGrid w:val="0"/>
                <w:color w:val="auto"/>
                <w:sz w:val="24"/>
              </w:rPr>
            </w:pPr>
            <w:r>
              <w:rPr>
                <w:snapToGrid w:val="0"/>
                <w:color w:val="auto"/>
                <w:sz w:val="24"/>
              </w:rPr>
              <w:t>非甲烷总烃</w:t>
            </w:r>
          </w:p>
        </w:tc>
        <w:tc>
          <w:tcPr>
            <w:tcW w:w="1701" w:type="dxa"/>
            <w:vAlign w:val="center"/>
          </w:tcPr>
          <w:p>
            <w:pPr>
              <w:pStyle w:val="49"/>
              <w:keepNext w:val="0"/>
              <w:keepLines w:val="0"/>
              <w:pageBreakBefore w:val="0"/>
              <w:widowControl w:val="0"/>
              <w:kinsoku/>
              <w:wordWrap/>
              <w:overflowPunct/>
              <w:topLinePunct w:val="0"/>
              <w:autoSpaceDE/>
              <w:autoSpaceDN/>
              <w:bidi w:val="0"/>
              <w:adjustRightInd/>
              <w:snapToGrid/>
              <w:spacing w:line="216" w:lineRule="auto"/>
              <w:textAlignment w:val="auto"/>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jc w:val="center"/>
              <w:rPr>
                <w:color w:val="auto"/>
                <w:kern w:val="0"/>
                <w:sz w:val="24"/>
              </w:rPr>
            </w:pPr>
            <w:r>
              <w:rPr>
                <w:color w:val="auto"/>
                <w:kern w:val="0"/>
                <w:sz w:val="24"/>
              </w:rPr>
              <w:t>0.</w:t>
            </w:r>
            <w:r>
              <w:rPr>
                <w:rFonts w:hint="eastAsia"/>
                <w:color w:val="auto"/>
                <w:kern w:val="0"/>
                <w:sz w:val="24"/>
                <w:lang w:val="en-US" w:eastAsia="zh-CN"/>
              </w:rPr>
              <w:t>12</w:t>
            </w:r>
            <w:r>
              <w:rPr>
                <w:color w:val="auto"/>
                <w:kern w:val="0"/>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w:t>
            </w:r>
            <w:r>
              <w:rPr>
                <w:rFonts w:hint="eastAsia"/>
                <w:color w:val="auto"/>
                <w:kern w:val="0"/>
                <w:sz w:val="24"/>
                <w:lang w:val="en-US" w:eastAsia="zh-CN"/>
              </w:rPr>
              <w:t>12</w:t>
            </w:r>
            <w:r>
              <w:rPr>
                <w:color w:val="auto"/>
                <w:kern w:val="0"/>
                <w:sz w:val="24"/>
              </w:rPr>
              <w:t>t/a</w:t>
            </w:r>
          </w:p>
        </w:tc>
        <w:tc>
          <w:tcPr>
            <w:tcW w:w="1324"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w:t>
            </w:r>
            <w:r>
              <w:rPr>
                <w:rFonts w:hint="eastAsia"/>
                <w:color w:val="auto"/>
                <w:kern w:val="0"/>
                <w:sz w:val="24"/>
                <w:lang w:val="en-US" w:eastAsia="zh-CN"/>
              </w:rPr>
              <w:t>12</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restart"/>
            <w:vAlign w:val="center"/>
          </w:tcPr>
          <w:p>
            <w:pPr>
              <w:pStyle w:val="49"/>
              <w:rPr>
                <w:snapToGrid w:val="0"/>
                <w:color w:val="auto"/>
                <w:sz w:val="24"/>
              </w:rPr>
            </w:pPr>
            <w:r>
              <w:rPr>
                <w:snapToGrid w:val="0"/>
                <w:color w:val="auto"/>
                <w:sz w:val="24"/>
              </w:rPr>
              <w:t>废水</w:t>
            </w:r>
          </w:p>
        </w:tc>
        <w:tc>
          <w:tcPr>
            <w:tcW w:w="2022" w:type="dxa"/>
            <w:vAlign w:val="center"/>
          </w:tcPr>
          <w:p>
            <w:pPr>
              <w:pStyle w:val="49"/>
              <w:rPr>
                <w:snapToGrid w:val="0"/>
                <w:color w:val="auto"/>
                <w:sz w:val="24"/>
              </w:rPr>
            </w:pPr>
            <w:r>
              <w:rPr>
                <w:snapToGrid w:val="0"/>
                <w:color w:val="auto"/>
                <w:sz w:val="24"/>
              </w:rPr>
              <w:t>COD</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widowControl/>
              <w:jc w:val="center"/>
              <w:rPr>
                <w:color w:val="auto"/>
                <w:kern w:val="0"/>
                <w:sz w:val="24"/>
              </w:rPr>
            </w:pPr>
            <w:r>
              <w:rPr>
                <w:rFonts w:hint="eastAsia"/>
                <w:color w:val="auto"/>
                <w:kern w:val="0"/>
                <w:sz w:val="24"/>
                <w:lang w:val="en-US" w:eastAsia="zh-CN"/>
              </w:rPr>
              <w:t>0.03</w:t>
            </w:r>
            <w:r>
              <w:rPr>
                <w:color w:val="auto"/>
                <w:kern w:val="0"/>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widowControl/>
              <w:jc w:val="center"/>
              <w:rPr>
                <w:rFonts w:ascii="Times New Roman" w:hAnsi="Times New Roman" w:eastAsia="宋体" w:cs="Times New Roman"/>
                <w:color w:val="auto"/>
                <w:kern w:val="0"/>
                <w:sz w:val="24"/>
                <w:szCs w:val="24"/>
                <w:lang w:val="en-US" w:eastAsia="zh-CN" w:bidi="ar-SA"/>
              </w:rPr>
            </w:pPr>
            <w:r>
              <w:rPr>
                <w:rFonts w:hint="eastAsia"/>
                <w:color w:val="auto"/>
                <w:kern w:val="0"/>
                <w:sz w:val="24"/>
                <w:lang w:val="en-US" w:eastAsia="zh-CN"/>
              </w:rPr>
              <w:t>0.03</w:t>
            </w:r>
            <w:r>
              <w:rPr>
                <w:color w:val="auto"/>
                <w:kern w:val="0"/>
                <w:sz w:val="24"/>
              </w:rPr>
              <w:t>t/a</w:t>
            </w:r>
          </w:p>
        </w:tc>
        <w:tc>
          <w:tcPr>
            <w:tcW w:w="1324" w:type="dxa"/>
            <w:vAlign w:val="center"/>
          </w:tcPr>
          <w:p>
            <w:pPr>
              <w:widowControl/>
              <w:jc w:val="center"/>
              <w:rPr>
                <w:rFonts w:ascii="Times New Roman" w:hAnsi="Times New Roman" w:eastAsia="宋体" w:cs="Times New Roman"/>
                <w:color w:val="auto"/>
                <w:kern w:val="0"/>
                <w:sz w:val="24"/>
                <w:szCs w:val="24"/>
                <w:lang w:val="en-US" w:eastAsia="zh-CN" w:bidi="ar-SA"/>
              </w:rPr>
            </w:pPr>
            <w:r>
              <w:rPr>
                <w:rFonts w:hint="eastAsia"/>
                <w:color w:val="auto"/>
                <w:kern w:val="0"/>
                <w:sz w:val="24"/>
                <w:lang w:val="en-US" w:eastAsia="zh-CN"/>
              </w:rPr>
              <w:t>0.03</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rPr>
                <w:rFonts w:hint="eastAsia" w:eastAsia="宋体"/>
                <w:snapToGrid w:val="0"/>
                <w:color w:val="auto"/>
                <w:sz w:val="24"/>
                <w:lang w:val="en-US" w:eastAsia="zh-CN"/>
              </w:rPr>
            </w:pPr>
            <w:r>
              <w:rPr>
                <w:rFonts w:hint="eastAsia"/>
                <w:snapToGrid w:val="0"/>
                <w:color w:val="auto"/>
                <w:sz w:val="24"/>
                <w:lang w:val="en-US" w:eastAsia="zh-CN"/>
              </w:rPr>
              <w:t>氨氮</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widowControl/>
              <w:jc w:val="center"/>
              <w:rPr>
                <w:rFonts w:hint="default" w:eastAsia="宋体"/>
                <w:color w:val="auto"/>
                <w:sz w:val="24"/>
                <w:lang w:val="en-US" w:eastAsia="zh-CN"/>
              </w:rPr>
            </w:pPr>
            <w:r>
              <w:rPr>
                <w:rFonts w:hint="eastAsia"/>
                <w:color w:val="auto"/>
                <w:sz w:val="24"/>
                <w:lang w:val="en-US" w:eastAsia="zh-CN"/>
              </w:rPr>
              <w:t>0.003t/a</w:t>
            </w:r>
          </w:p>
        </w:tc>
        <w:tc>
          <w:tcPr>
            <w:tcW w:w="1521" w:type="dxa"/>
            <w:vAlign w:val="center"/>
          </w:tcPr>
          <w:p>
            <w:pPr>
              <w:pStyle w:val="49"/>
              <w:rPr>
                <w:snapToGrid w:val="0"/>
                <w:color w:val="auto"/>
                <w:sz w:val="24"/>
              </w:rPr>
            </w:pPr>
          </w:p>
        </w:tc>
        <w:tc>
          <w:tcPr>
            <w:tcW w:w="1701" w:type="dxa"/>
            <w:vAlign w:val="center"/>
          </w:tcPr>
          <w:p>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0.003t/a</w:t>
            </w:r>
          </w:p>
        </w:tc>
        <w:tc>
          <w:tcPr>
            <w:tcW w:w="1324" w:type="dxa"/>
            <w:vAlign w:val="center"/>
          </w:tcPr>
          <w:p>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0.003t/a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983" w:type="dxa"/>
            <w:vMerge w:val="restart"/>
            <w:vAlign w:val="center"/>
          </w:tcPr>
          <w:p>
            <w:pPr>
              <w:pStyle w:val="49"/>
              <w:rPr>
                <w:snapToGrid w:val="0"/>
                <w:color w:val="auto"/>
                <w:sz w:val="24"/>
              </w:rPr>
            </w:pPr>
            <w:r>
              <w:rPr>
                <w:snapToGrid w:val="0"/>
                <w:color w:val="auto"/>
                <w:sz w:val="24"/>
              </w:rPr>
              <w:t>一般工业固体废物</w:t>
            </w:r>
          </w:p>
        </w:tc>
        <w:tc>
          <w:tcPr>
            <w:tcW w:w="2022" w:type="dxa"/>
            <w:vAlign w:val="center"/>
          </w:tcPr>
          <w:p>
            <w:pPr>
              <w:pStyle w:val="49"/>
              <w:jc w:val="center"/>
              <w:rPr>
                <w:color w:val="auto"/>
                <w:sz w:val="24"/>
              </w:rPr>
            </w:pPr>
            <w:r>
              <w:rPr>
                <w:rFonts w:hint="eastAsia"/>
                <w:color w:val="auto"/>
                <w:sz w:val="24"/>
                <w:lang w:eastAsia="zh-CN"/>
              </w:rPr>
              <w:t>移动式布袋除尘器</w:t>
            </w:r>
            <w:r>
              <w:rPr>
                <w:color w:val="auto"/>
                <w:sz w:val="24"/>
              </w:rPr>
              <w:t>收尘</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pStyle w:val="49"/>
              <w:rPr>
                <w:snapToGrid w:val="0"/>
                <w:color w:val="auto"/>
                <w:sz w:val="24"/>
                <w:highlight w:val="green"/>
              </w:rPr>
            </w:pPr>
            <w:r>
              <w:rPr>
                <w:color w:val="auto"/>
                <w:sz w:val="24"/>
              </w:rPr>
              <w:t>0.0</w:t>
            </w:r>
            <w:r>
              <w:rPr>
                <w:rFonts w:hint="eastAsia"/>
                <w:color w:val="auto"/>
                <w:sz w:val="24"/>
                <w:lang w:val="en-US" w:eastAsia="zh-CN"/>
              </w:rPr>
              <w:t>099</w:t>
            </w:r>
            <w:r>
              <w:rPr>
                <w:color w:val="auto"/>
                <w:sz w:val="24"/>
              </w:rPr>
              <w:t>t/a</w:t>
            </w:r>
          </w:p>
        </w:tc>
        <w:tc>
          <w:tcPr>
            <w:tcW w:w="1521" w:type="dxa"/>
            <w:vAlign w:val="center"/>
          </w:tcPr>
          <w:p>
            <w:pPr>
              <w:pStyle w:val="49"/>
              <w:rPr>
                <w:snapToGrid w:val="0"/>
                <w:color w:val="auto"/>
                <w:sz w:val="24"/>
                <w:highlight w:val="green"/>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099</w:t>
            </w:r>
            <w:r>
              <w:rPr>
                <w:color w:val="auto"/>
                <w:sz w:val="24"/>
              </w:rPr>
              <w:t>t/a</w:t>
            </w:r>
          </w:p>
        </w:tc>
        <w:tc>
          <w:tcPr>
            <w:tcW w:w="1324" w:type="dxa"/>
            <w:vAlign w:val="center"/>
          </w:tcPr>
          <w:p>
            <w:pPr>
              <w:pStyle w:val="49"/>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099</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jc w:val="center"/>
              <w:rPr>
                <w:color w:val="auto"/>
                <w:sz w:val="24"/>
              </w:rPr>
            </w:pPr>
            <w:r>
              <w:rPr>
                <w:color w:val="auto"/>
                <w:sz w:val="24"/>
              </w:rPr>
              <w:t>废电子电器部件</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pStyle w:val="49"/>
              <w:rPr>
                <w:snapToGrid w:val="0"/>
                <w:color w:val="auto"/>
                <w:sz w:val="24"/>
              </w:rPr>
            </w:pPr>
            <w:r>
              <w:rPr>
                <w:rFonts w:hint="eastAsia"/>
                <w:snapToGrid w:val="0"/>
                <w:color w:val="auto"/>
                <w:sz w:val="24"/>
                <w:lang w:val="en-US" w:eastAsia="zh-CN"/>
              </w:rPr>
              <w:t>15</w:t>
            </w:r>
            <w:r>
              <w:rPr>
                <w:snapToGrid w:val="0"/>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15</w:t>
            </w:r>
            <w:r>
              <w:rPr>
                <w:snapToGrid w:val="0"/>
                <w:color w:val="auto"/>
                <w:sz w:val="24"/>
              </w:rPr>
              <w:t>t/a</w:t>
            </w:r>
          </w:p>
        </w:tc>
        <w:tc>
          <w:tcPr>
            <w:tcW w:w="1324" w:type="dxa"/>
            <w:vAlign w:val="center"/>
          </w:tcPr>
          <w:p>
            <w:pPr>
              <w:pStyle w:val="49"/>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15</w:t>
            </w:r>
            <w:r>
              <w:rPr>
                <w:snapToGrid w:val="0"/>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jc w:val="center"/>
              <w:rPr>
                <w:rFonts w:hint="eastAsia" w:eastAsia="宋体"/>
                <w:color w:val="auto"/>
                <w:sz w:val="24"/>
                <w:lang w:val="en-US" w:eastAsia="zh-CN"/>
              </w:rPr>
            </w:pPr>
            <w:r>
              <w:rPr>
                <w:rFonts w:hint="eastAsia"/>
                <w:color w:val="auto"/>
                <w:sz w:val="24"/>
                <w:lang w:val="en-US" w:eastAsia="zh-CN"/>
              </w:rPr>
              <w:t>泥土</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pStyle w:val="49"/>
              <w:rPr>
                <w:rFonts w:hint="default"/>
                <w:snapToGrid w:val="0"/>
                <w:color w:val="auto"/>
                <w:sz w:val="24"/>
                <w:lang w:val="en-US" w:eastAsia="zh-CN"/>
              </w:rPr>
            </w:pPr>
            <w:r>
              <w:rPr>
                <w:rFonts w:hint="eastAsia"/>
                <w:snapToGrid w:val="0"/>
                <w:color w:val="auto"/>
                <w:sz w:val="24"/>
                <w:lang w:val="en-US" w:eastAsia="zh-CN"/>
              </w:rPr>
              <w:t>1t/a</w:t>
            </w:r>
          </w:p>
        </w:tc>
        <w:tc>
          <w:tcPr>
            <w:tcW w:w="152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hint="eastAsia"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1t/a</w:t>
            </w:r>
          </w:p>
        </w:tc>
        <w:tc>
          <w:tcPr>
            <w:tcW w:w="1324" w:type="dxa"/>
            <w:vAlign w:val="center"/>
          </w:tcPr>
          <w:p>
            <w:pPr>
              <w:pStyle w:val="49"/>
              <w:rPr>
                <w:rFonts w:hint="eastAsia"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jc w:val="center"/>
              <w:rPr>
                <w:rFonts w:hint="eastAsia" w:eastAsia="宋体"/>
                <w:color w:val="auto"/>
                <w:sz w:val="24"/>
                <w:lang w:eastAsia="zh-CN"/>
              </w:rPr>
            </w:pPr>
            <w:r>
              <w:rPr>
                <w:rFonts w:hint="eastAsia"/>
                <w:color w:val="auto"/>
                <w:sz w:val="24"/>
                <w:lang w:eastAsia="zh-CN"/>
              </w:rPr>
              <w:t>其他固体废物</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pStyle w:val="49"/>
              <w:rPr>
                <w:snapToGrid w:val="0"/>
                <w:color w:val="auto"/>
                <w:sz w:val="24"/>
              </w:rPr>
            </w:pPr>
            <w:r>
              <w:rPr>
                <w:rFonts w:hint="eastAsia"/>
                <w:snapToGrid w:val="0"/>
                <w:color w:val="auto"/>
                <w:sz w:val="24"/>
                <w:lang w:val="en-US" w:eastAsia="zh-CN"/>
              </w:rPr>
              <w:t>96</w:t>
            </w:r>
            <w:r>
              <w:rPr>
                <w:snapToGrid w:val="0"/>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96</w:t>
            </w:r>
            <w:r>
              <w:rPr>
                <w:snapToGrid w:val="0"/>
                <w:color w:val="auto"/>
                <w:sz w:val="24"/>
              </w:rPr>
              <w:t>t/a</w:t>
            </w:r>
          </w:p>
        </w:tc>
        <w:tc>
          <w:tcPr>
            <w:tcW w:w="1324" w:type="dxa"/>
            <w:vAlign w:val="center"/>
          </w:tcPr>
          <w:p>
            <w:pPr>
              <w:pStyle w:val="49"/>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96</w:t>
            </w:r>
            <w:r>
              <w:rPr>
                <w:snapToGrid w:val="0"/>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pPr>
              <w:pStyle w:val="49"/>
              <w:rPr>
                <w:snapToGrid w:val="0"/>
                <w:color w:val="auto"/>
                <w:sz w:val="24"/>
              </w:rPr>
            </w:pPr>
            <w:r>
              <w:rPr>
                <w:snapToGrid w:val="0"/>
                <w:color w:val="auto"/>
                <w:sz w:val="24"/>
              </w:rPr>
              <w:t>危险</w:t>
            </w:r>
          </w:p>
          <w:p>
            <w:pPr>
              <w:pStyle w:val="49"/>
              <w:rPr>
                <w:snapToGrid w:val="0"/>
                <w:color w:val="auto"/>
                <w:sz w:val="24"/>
              </w:rPr>
            </w:pPr>
            <w:r>
              <w:rPr>
                <w:snapToGrid w:val="0"/>
                <w:color w:val="auto"/>
                <w:sz w:val="24"/>
              </w:rPr>
              <w:t>废物</w:t>
            </w:r>
          </w:p>
        </w:tc>
        <w:tc>
          <w:tcPr>
            <w:tcW w:w="2022" w:type="dxa"/>
            <w:vAlign w:val="center"/>
          </w:tcPr>
          <w:p>
            <w:pPr>
              <w:spacing w:line="260" w:lineRule="exact"/>
              <w:jc w:val="center"/>
              <w:rPr>
                <w:bCs/>
                <w:color w:val="auto"/>
                <w:sz w:val="24"/>
              </w:rPr>
            </w:pPr>
            <w:r>
              <w:rPr>
                <w:bCs/>
                <w:color w:val="auto"/>
                <w:kern w:val="0"/>
                <w:sz w:val="24"/>
              </w:rPr>
              <w:t>废蓄电池</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spacing w:line="260" w:lineRule="exact"/>
              <w:jc w:val="center"/>
              <w:rPr>
                <w:color w:val="auto"/>
                <w:sz w:val="24"/>
              </w:rPr>
            </w:pPr>
            <w:r>
              <w:rPr>
                <w:rFonts w:hint="eastAsia"/>
                <w:color w:val="auto"/>
                <w:sz w:val="24"/>
                <w:lang w:val="en-US" w:eastAsia="zh-CN"/>
              </w:rPr>
              <w:t>22.5</w:t>
            </w:r>
            <w:r>
              <w:rPr>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22.5</w:t>
            </w:r>
            <w:r>
              <w:rPr>
                <w:color w:val="auto"/>
                <w:sz w:val="24"/>
              </w:rPr>
              <w:t>t/a</w:t>
            </w:r>
          </w:p>
        </w:tc>
        <w:tc>
          <w:tcPr>
            <w:tcW w:w="1324"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22.5</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pPr>
              <w:pStyle w:val="49"/>
              <w:rPr>
                <w:snapToGrid w:val="0"/>
                <w:color w:val="auto"/>
                <w:sz w:val="24"/>
              </w:rPr>
            </w:pPr>
          </w:p>
        </w:tc>
        <w:tc>
          <w:tcPr>
            <w:tcW w:w="2022" w:type="dxa"/>
            <w:vAlign w:val="center"/>
          </w:tcPr>
          <w:p>
            <w:pPr>
              <w:widowControl/>
              <w:jc w:val="center"/>
              <w:rPr>
                <w:bCs/>
                <w:color w:val="auto"/>
                <w:kern w:val="0"/>
                <w:sz w:val="24"/>
              </w:rPr>
            </w:pPr>
            <w:r>
              <w:rPr>
                <w:bCs/>
                <w:color w:val="auto"/>
                <w:kern w:val="0"/>
                <w:sz w:val="24"/>
              </w:rPr>
              <w:t>废油液（柴油、机油及油水分离装置浮油和油泥）</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widowControl/>
              <w:jc w:val="center"/>
              <w:textAlignment w:val="center"/>
              <w:rPr>
                <w:color w:val="auto"/>
                <w:sz w:val="24"/>
              </w:rPr>
            </w:pPr>
            <w:r>
              <w:rPr>
                <w:rFonts w:hint="eastAsia"/>
                <w:color w:val="auto"/>
                <w:sz w:val="24"/>
                <w:lang w:val="en-US" w:eastAsia="zh-CN"/>
              </w:rPr>
              <w:t>33</w:t>
            </w:r>
            <w:r>
              <w:rPr>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33</w:t>
            </w:r>
            <w:r>
              <w:rPr>
                <w:color w:val="auto"/>
                <w:sz w:val="24"/>
              </w:rPr>
              <w:t>t/a</w:t>
            </w:r>
          </w:p>
        </w:tc>
        <w:tc>
          <w:tcPr>
            <w:tcW w:w="1324"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33</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widowControl/>
              <w:jc w:val="center"/>
              <w:rPr>
                <w:bCs/>
                <w:color w:val="auto"/>
                <w:kern w:val="0"/>
                <w:sz w:val="24"/>
              </w:rPr>
            </w:pPr>
            <w:r>
              <w:rPr>
                <w:bCs/>
                <w:color w:val="auto"/>
                <w:kern w:val="0"/>
                <w:sz w:val="24"/>
              </w:rPr>
              <w:t>废电容器</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widowControl/>
              <w:jc w:val="center"/>
              <w:textAlignment w:val="center"/>
              <w:rPr>
                <w:color w:val="auto"/>
                <w:sz w:val="24"/>
              </w:rPr>
            </w:pPr>
            <w:r>
              <w:rPr>
                <w:color w:val="auto"/>
                <w:sz w:val="24"/>
              </w:rPr>
              <w:t>0.</w:t>
            </w:r>
            <w:r>
              <w:rPr>
                <w:rFonts w:hint="eastAsia"/>
                <w:color w:val="auto"/>
                <w:sz w:val="24"/>
                <w:lang w:val="en-US" w:eastAsia="zh-CN"/>
              </w:rPr>
              <w:t>6</w:t>
            </w:r>
            <w:r>
              <w:rPr>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color w:val="auto"/>
                <w:sz w:val="24"/>
              </w:rPr>
              <w:t>0.</w:t>
            </w:r>
            <w:r>
              <w:rPr>
                <w:rFonts w:hint="eastAsia"/>
                <w:color w:val="auto"/>
                <w:sz w:val="24"/>
                <w:lang w:val="en-US" w:eastAsia="zh-CN"/>
              </w:rPr>
              <w:t>6</w:t>
            </w:r>
            <w:r>
              <w:rPr>
                <w:color w:val="auto"/>
                <w:sz w:val="24"/>
              </w:rPr>
              <w:t>t/a</w:t>
            </w:r>
          </w:p>
        </w:tc>
        <w:tc>
          <w:tcPr>
            <w:tcW w:w="1324"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color w:val="auto"/>
                <w:sz w:val="24"/>
              </w:rPr>
              <w:t>0.</w:t>
            </w:r>
            <w:r>
              <w:rPr>
                <w:rFonts w:hint="eastAsia"/>
                <w:color w:val="auto"/>
                <w:sz w:val="24"/>
                <w:lang w:val="en-US" w:eastAsia="zh-CN"/>
              </w:rPr>
              <w:t>6</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widowControl/>
              <w:jc w:val="center"/>
              <w:rPr>
                <w:bCs/>
                <w:color w:val="auto"/>
                <w:kern w:val="0"/>
                <w:sz w:val="24"/>
              </w:rPr>
            </w:pPr>
            <w:r>
              <w:rPr>
                <w:bCs/>
                <w:color w:val="auto"/>
                <w:kern w:val="0"/>
                <w:sz w:val="24"/>
              </w:rPr>
              <w:t>废防冻液</w:t>
            </w:r>
          </w:p>
        </w:tc>
        <w:tc>
          <w:tcPr>
            <w:tcW w:w="1701" w:type="dxa"/>
            <w:vAlign w:val="center"/>
          </w:tcPr>
          <w:p>
            <w:pPr>
              <w:pStyle w:val="49"/>
              <w:rPr>
                <w:snapToGrid w:val="0"/>
                <w:color w:val="auto"/>
                <w:sz w:val="24"/>
              </w:rPr>
            </w:pPr>
            <w:r>
              <w:rPr>
                <w:snapToGrid w:val="0"/>
                <w:color w:val="auto"/>
                <w:sz w:val="24"/>
              </w:rPr>
              <w:t>/</w:t>
            </w:r>
          </w:p>
        </w:tc>
        <w:tc>
          <w:tcPr>
            <w:tcW w:w="1276" w:type="dxa"/>
            <w:vAlign w:val="center"/>
          </w:tcPr>
          <w:p>
            <w:pPr>
              <w:pStyle w:val="49"/>
              <w:rPr>
                <w:snapToGrid w:val="0"/>
                <w:color w:val="auto"/>
                <w:sz w:val="24"/>
              </w:rPr>
            </w:pPr>
            <w:r>
              <w:rPr>
                <w:snapToGrid w:val="0"/>
                <w:color w:val="auto"/>
                <w:sz w:val="24"/>
              </w:rPr>
              <w:t>/</w:t>
            </w:r>
          </w:p>
        </w:tc>
        <w:tc>
          <w:tcPr>
            <w:tcW w:w="1701" w:type="dxa"/>
            <w:vAlign w:val="center"/>
          </w:tcPr>
          <w:p>
            <w:pPr>
              <w:pStyle w:val="49"/>
              <w:rPr>
                <w:snapToGrid w:val="0"/>
                <w:color w:val="auto"/>
                <w:sz w:val="24"/>
              </w:rPr>
            </w:pPr>
            <w:r>
              <w:rPr>
                <w:snapToGrid w:val="0"/>
                <w:color w:val="auto"/>
                <w:sz w:val="24"/>
              </w:rPr>
              <w:t>/</w:t>
            </w:r>
          </w:p>
        </w:tc>
        <w:tc>
          <w:tcPr>
            <w:tcW w:w="1559" w:type="dxa"/>
            <w:vAlign w:val="center"/>
          </w:tcPr>
          <w:p>
            <w:pPr>
              <w:spacing w:line="260" w:lineRule="exact"/>
              <w:jc w:val="center"/>
              <w:rPr>
                <w:color w:val="auto"/>
                <w:sz w:val="24"/>
              </w:rPr>
            </w:pPr>
            <w:r>
              <w:rPr>
                <w:rFonts w:hint="eastAsia"/>
                <w:color w:val="auto"/>
                <w:sz w:val="24"/>
                <w:lang w:val="en-US" w:eastAsia="zh-CN"/>
              </w:rPr>
              <w:t>1.5</w:t>
            </w:r>
            <w:r>
              <w:rPr>
                <w:color w:val="auto"/>
                <w:sz w:val="24"/>
              </w:rPr>
              <w:t>t/a</w:t>
            </w:r>
          </w:p>
        </w:tc>
        <w:tc>
          <w:tcPr>
            <w:tcW w:w="1521" w:type="dxa"/>
            <w:vAlign w:val="center"/>
          </w:tcPr>
          <w:p>
            <w:pPr>
              <w:pStyle w:val="49"/>
              <w:rPr>
                <w:snapToGrid w:val="0"/>
                <w:color w:val="auto"/>
                <w:sz w:val="24"/>
              </w:rPr>
            </w:pPr>
            <w:r>
              <w:rPr>
                <w:snapToGrid w:val="0"/>
                <w:color w:val="auto"/>
                <w:sz w:val="24"/>
              </w:rPr>
              <w:t>/</w:t>
            </w:r>
          </w:p>
        </w:tc>
        <w:tc>
          <w:tcPr>
            <w:tcW w:w="1701"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1.5</w:t>
            </w:r>
            <w:r>
              <w:rPr>
                <w:color w:val="auto"/>
                <w:sz w:val="24"/>
              </w:rPr>
              <w:t>t/a</w:t>
            </w:r>
          </w:p>
        </w:tc>
        <w:tc>
          <w:tcPr>
            <w:tcW w:w="1324"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1.5</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jc w:val="center"/>
              <w:rPr>
                <w:rFonts w:ascii="Times New Roman" w:hAnsi="Times New Roman" w:eastAsia="宋体" w:cs="Times New Roman"/>
                <w:color w:val="auto"/>
                <w:kern w:val="2"/>
                <w:sz w:val="24"/>
                <w:szCs w:val="24"/>
                <w:lang w:val="en-US" w:eastAsia="zh-CN" w:bidi="ar-SA"/>
              </w:rPr>
            </w:pPr>
            <w:r>
              <w:rPr>
                <w:bCs/>
                <w:color w:val="auto"/>
                <w:kern w:val="0"/>
                <w:sz w:val="24"/>
              </w:rPr>
              <w:t>沾有油污的手套、抹布、废墩布</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pStyle w:val="49"/>
              <w:rPr>
                <w:rFonts w:hint="eastAsia" w:ascii="Times New Roman" w:hAnsi="Times New Roman" w:eastAsia="宋体" w:cs="Times New Roman"/>
                <w:snapToGrid w:val="0"/>
                <w:color w:val="auto"/>
                <w:kern w:val="2"/>
                <w:sz w:val="24"/>
                <w:szCs w:val="24"/>
                <w:lang w:val="en-US" w:eastAsia="zh-CN" w:bidi="ar-SA"/>
              </w:rPr>
            </w:pPr>
            <w:r>
              <w:rPr>
                <w:bCs/>
                <w:color w:val="auto"/>
                <w:sz w:val="24"/>
              </w:rPr>
              <w:t>0.01t/a</w:t>
            </w:r>
          </w:p>
        </w:tc>
        <w:tc>
          <w:tcPr>
            <w:tcW w:w="152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hint="eastAsia" w:ascii="Times New Roman" w:hAnsi="Times New Roman" w:eastAsia="宋体" w:cs="Times New Roman"/>
                <w:snapToGrid w:val="0"/>
                <w:color w:val="auto"/>
                <w:kern w:val="2"/>
                <w:sz w:val="24"/>
                <w:szCs w:val="24"/>
                <w:lang w:val="en-US" w:eastAsia="zh-CN" w:bidi="ar-SA"/>
              </w:rPr>
            </w:pPr>
            <w:r>
              <w:rPr>
                <w:bCs/>
                <w:color w:val="auto"/>
                <w:sz w:val="24"/>
              </w:rPr>
              <w:t>0.01t/a</w:t>
            </w:r>
          </w:p>
        </w:tc>
        <w:tc>
          <w:tcPr>
            <w:tcW w:w="1324" w:type="dxa"/>
            <w:vAlign w:val="center"/>
          </w:tcPr>
          <w:p>
            <w:pPr>
              <w:pStyle w:val="49"/>
              <w:rPr>
                <w:rFonts w:hint="eastAsia" w:ascii="Times New Roman" w:hAnsi="Times New Roman" w:eastAsia="宋体" w:cs="Times New Roman"/>
                <w:snapToGrid w:val="0"/>
                <w:color w:val="auto"/>
                <w:kern w:val="2"/>
                <w:sz w:val="24"/>
                <w:szCs w:val="24"/>
                <w:lang w:val="en-US" w:eastAsia="zh-CN" w:bidi="ar-SA"/>
              </w:rPr>
            </w:pPr>
            <w:r>
              <w:rPr>
                <w:bCs/>
                <w:color w:val="auto"/>
                <w:sz w:val="24"/>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pStyle w:val="49"/>
              <w:jc w:val="center"/>
              <w:rPr>
                <w:rFonts w:hint="default" w:eastAsia="宋体"/>
                <w:bCs/>
                <w:color w:val="auto"/>
                <w:kern w:val="0"/>
                <w:sz w:val="24"/>
                <w:lang w:val="en-US" w:eastAsia="zh-CN"/>
              </w:rPr>
            </w:pPr>
            <w:r>
              <w:rPr>
                <w:rFonts w:hint="eastAsia"/>
                <w:bCs/>
                <w:color w:val="auto"/>
                <w:kern w:val="0"/>
                <w:sz w:val="24"/>
                <w:lang w:val="en-US" w:eastAsia="zh-CN"/>
              </w:rPr>
              <w:t>石棉废物</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pStyle w:val="49"/>
              <w:rPr>
                <w:rFonts w:hint="default" w:eastAsia="宋体"/>
                <w:bCs/>
                <w:color w:val="auto"/>
                <w:sz w:val="24"/>
                <w:lang w:val="en-US" w:eastAsia="zh-CN"/>
              </w:rPr>
            </w:pPr>
            <w:r>
              <w:rPr>
                <w:rFonts w:hint="eastAsia"/>
                <w:bCs/>
                <w:color w:val="auto"/>
                <w:sz w:val="24"/>
                <w:lang w:val="en-US" w:eastAsia="zh-CN"/>
              </w:rPr>
              <w:t>0.6t/a</w:t>
            </w:r>
          </w:p>
        </w:tc>
        <w:tc>
          <w:tcPr>
            <w:tcW w:w="152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hint="default" w:ascii="Times New Roman" w:hAnsi="Times New Roman" w:eastAsia="宋体" w:cs="Times New Roman"/>
                <w:bCs/>
                <w:color w:val="auto"/>
                <w:kern w:val="2"/>
                <w:sz w:val="24"/>
                <w:szCs w:val="24"/>
                <w:lang w:val="en-US" w:eastAsia="zh-CN" w:bidi="ar-SA"/>
              </w:rPr>
            </w:pPr>
            <w:r>
              <w:rPr>
                <w:rFonts w:hint="eastAsia"/>
                <w:bCs/>
                <w:color w:val="auto"/>
                <w:sz w:val="24"/>
                <w:lang w:val="en-US" w:eastAsia="zh-CN"/>
              </w:rPr>
              <w:t>0.6t/a</w:t>
            </w:r>
          </w:p>
        </w:tc>
        <w:tc>
          <w:tcPr>
            <w:tcW w:w="1324" w:type="dxa"/>
            <w:vAlign w:val="center"/>
          </w:tcPr>
          <w:p>
            <w:pPr>
              <w:pStyle w:val="49"/>
              <w:rPr>
                <w:rFonts w:hint="default" w:ascii="Times New Roman" w:hAnsi="Times New Roman" w:eastAsia="宋体" w:cs="Times New Roman"/>
                <w:bCs/>
                <w:color w:val="auto"/>
                <w:kern w:val="2"/>
                <w:sz w:val="24"/>
                <w:szCs w:val="24"/>
                <w:lang w:val="en-US" w:eastAsia="zh-CN" w:bidi="ar-SA"/>
              </w:rPr>
            </w:pPr>
            <w:r>
              <w:rPr>
                <w:rFonts w:hint="eastAsia"/>
                <w:bCs/>
                <w:color w:val="auto"/>
                <w:sz w:val="24"/>
                <w:lang w:val="en-US" w:eastAsia="zh-CN"/>
              </w:rPr>
              <w:t>0.6t/a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9"/>
              <w:rPr>
                <w:snapToGrid w:val="0"/>
                <w:color w:val="auto"/>
                <w:sz w:val="24"/>
              </w:rPr>
            </w:pPr>
          </w:p>
        </w:tc>
        <w:tc>
          <w:tcPr>
            <w:tcW w:w="2022" w:type="dxa"/>
            <w:vAlign w:val="center"/>
          </w:tcPr>
          <w:p>
            <w:pPr>
              <w:widowControl/>
              <w:jc w:val="center"/>
              <w:rPr>
                <w:rFonts w:hint="eastAsia" w:eastAsia="宋体"/>
                <w:bCs/>
                <w:color w:val="auto"/>
                <w:kern w:val="0"/>
                <w:sz w:val="24"/>
                <w:highlight w:val="none"/>
                <w:lang w:val="en-US" w:eastAsia="zh-CN"/>
              </w:rPr>
            </w:pPr>
            <w:r>
              <w:rPr>
                <w:rFonts w:hint="eastAsia"/>
                <w:bCs/>
                <w:color w:val="auto"/>
                <w:kern w:val="0"/>
                <w:sz w:val="24"/>
                <w:highlight w:val="none"/>
                <w:lang w:val="en-US" w:eastAsia="zh-CN"/>
              </w:rPr>
              <w:t>废活性炭</w:t>
            </w:r>
          </w:p>
        </w:tc>
        <w:tc>
          <w:tcPr>
            <w:tcW w:w="1701" w:type="dxa"/>
            <w:vAlign w:val="center"/>
          </w:tcPr>
          <w:p>
            <w:pPr>
              <w:pStyle w:val="49"/>
              <w:rPr>
                <w:rFonts w:ascii="Times New Roman" w:hAnsi="Times New Roman" w:eastAsia="宋体" w:cs="Times New Roman"/>
                <w:snapToGrid w:val="0"/>
                <w:color w:val="auto"/>
                <w:kern w:val="2"/>
                <w:sz w:val="24"/>
                <w:szCs w:val="24"/>
                <w:highlight w:val="none"/>
                <w:lang w:val="en-US" w:eastAsia="zh-CN" w:bidi="ar-SA"/>
              </w:rPr>
            </w:pPr>
            <w:r>
              <w:rPr>
                <w:snapToGrid w:val="0"/>
                <w:color w:val="auto"/>
                <w:sz w:val="24"/>
                <w:highlight w:val="none"/>
              </w:rPr>
              <w:t>/</w:t>
            </w:r>
          </w:p>
        </w:tc>
        <w:tc>
          <w:tcPr>
            <w:tcW w:w="1276"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spacing w:line="260" w:lineRule="exact"/>
              <w:jc w:val="center"/>
              <w:rPr>
                <w:rFonts w:hint="default"/>
                <w:color w:val="auto"/>
                <w:sz w:val="24"/>
                <w:lang w:val="en-US" w:eastAsia="zh-CN"/>
              </w:rPr>
            </w:pPr>
            <w:r>
              <w:rPr>
                <w:rFonts w:hint="eastAsia"/>
                <w:color w:val="auto"/>
                <w:sz w:val="24"/>
                <w:lang w:val="en-US" w:eastAsia="zh-CN"/>
              </w:rPr>
              <w:t>1t/a</w:t>
            </w:r>
          </w:p>
        </w:tc>
        <w:tc>
          <w:tcPr>
            <w:tcW w:w="1521" w:type="dxa"/>
            <w:vAlign w:val="center"/>
          </w:tcPr>
          <w:p>
            <w:pPr>
              <w:pStyle w:val="49"/>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spacing w:line="260" w:lineRule="exact"/>
              <w:jc w:val="center"/>
              <w:rPr>
                <w:rFonts w:hint="eastAsia" w:ascii="Times New Roman" w:hAnsi="Times New Roman" w:eastAsia="宋体" w:cs="Times New Roman"/>
                <w:color w:val="auto"/>
                <w:kern w:val="2"/>
                <w:sz w:val="24"/>
                <w:szCs w:val="24"/>
                <w:lang w:val="en-US" w:eastAsia="zh-CN" w:bidi="ar-SA"/>
              </w:rPr>
            </w:pPr>
            <w:r>
              <w:rPr>
                <w:rFonts w:hint="eastAsia"/>
                <w:color w:val="auto"/>
                <w:sz w:val="24"/>
                <w:lang w:val="en-US" w:eastAsia="zh-CN"/>
              </w:rPr>
              <w:t>1t/a</w:t>
            </w:r>
          </w:p>
        </w:tc>
        <w:tc>
          <w:tcPr>
            <w:tcW w:w="1324" w:type="dxa"/>
            <w:vAlign w:val="center"/>
          </w:tcPr>
          <w:p>
            <w:pPr>
              <w:spacing w:line="260" w:lineRule="exact"/>
              <w:jc w:val="center"/>
              <w:rPr>
                <w:rFonts w:hint="eastAsia" w:ascii="Times New Roman" w:hAnsi="Times New Roman" w:eastAsia="宋体" w:cs="Times New Roman"/>
                <w:color w:val="auto"/>
                <w:kern w:val="2"/>
                <w:sz w:val="24"/>
                <w:szCs w:val="24"/>
                <w:lang w:val="en-US" w:eastAsia="zh-CN" w:bidi="ar-SA"/>
              </w:rPr>
            </w:pPr>
            <w:r>
              <w:rPr>
                <w:rFonts w:hint="eastAsia"/>
                <w:color w:val="auto"/>
                <w:sz w:val="24"/>
                <w:lang w:val="en-US" w:eastAsia="zh-CN"/>
              </w:rPr>
              <w:t>1t/a</w:t>
            </w:r>
          </w:p>
        </w:tc>
      </w:tr>
    </w:tbl>
    <w:p>
      <w:pPr>
        <w:pStyle w:val="38"/>
        <w:spacing w:before="192" w:beforeLines="80" w:after="24"/>
        <w:ind w:firstLine="420"/>
        <w:jc w:val="left"/>
        <w:rPr>
          <w:color w:val="auto"/>
        </w:rPr>
        <w:sectPr>
          <w:pgSz w:w="16838" w:h="11906" w:orient="landscape"/>
          <w:pgMar w:top="1701" w:right="1531" w:bottom="1701" w:left="1531" w:header="851" w:footer="851" w:gutter="0"/>
          <w:cols w:space="720" w:num="1"/>
          <w:docGrid w:linePitch="312" w:charSpace="0"/>
        </w:sectPr>
      </w:pPr>
      <w:r>
        <w:rPr>
          <w:rFonts w:ascii="Times New Roman"/>
          <w:snapToGrid w:val="0"/>
          <w:color w:val="auto"/>
          <w:kern w:val="21"/>
          <w:sz w:val="24"/>
          <w:szCs w:val="24"/>
        </w:rPr>
        <w:t>注：</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3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③</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4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④</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5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⑤</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7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⑦</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p>
    <w:p>
      <w:pPr>
        <w:pStyle w:val="60"/>
        <w:rPr>
          <w:rFonts w:hint="eastAsia" w:ascii="Times New Roman" w:hAnsi="Times New Roman" w:eastAsia="宋体" w:cs="Times New Roman"/>
          <w:color w:val="auto"/>
        </w:rPr>
      </w:pPr>
      <w:bookmarkStart w:id="17" w:name="_Toc20607"/>
      <w:r>
        <w:rPr>
          <w:rFonts w:hint="eastAsia" w:ascii="Times New Roman" w:hAnsi="Times New Roman" w:eastAsia="宋体" w:cs="Times New Roman"/>
          <w:color w:val="auto"/>
        </w:rPr>
        <w:t>附件</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rPr>
        <w:t>：营业执照</w:t>
      </w:r>
      <w:bookmarkEnd w:id="17"/>
    </w:p>
    <w:p>
      <w:pPr>
        <w:pStyle w:val="59"/>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auto"/>
          <w:lang w:eastAsia="zh-CN"/>
        </w:rPr>
      </w:pPr>
      <w:r>
        <w:rPr>
          <w:color w:val="auto"/>
        </w:rPr>
        <w:drawing>
          <wp:inline distT="0" distB="0" distL="114300" distR="114300">
            <wp:extent cx="8747760" cy="4918075"/>
            <wp:effectExtent l="0" t="0" r="15240" b="1587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15"/>
                    <a:stretch>
                      <a:fillRect/>
                    </a:stretch>
                  </pic:blipFill>
                  <pic:spPr>
                    <a:xfrm>
                      <a:off x="0" y="0"/>
                      <a:ext cx="8747760" cy="4918075"/>
                    </a:xfrm>
                    <a:prstGeom prst="rect">
                      <a:avLst/>
                    </a:prstGeom>
                    <a:noFill/>
                    <a:ln>
                      <a:noFill/>
                    </a:ln>
                  </pic:spPr>
                </pic:pic>
              </a:graphicData>
            </a:graphic>
          </wp:inline>
        </w:drawing>
      </w:r>
    </w:p>
    <w:p>
      <w:pPr>
        <w:pStyle w:val="54"/>
        <w:ind w:firstLine="0" w:firstLineChars="0"/>
        <w:jc w:val="center"/>
        <w:rPr>
          <w:color w:val="auto"/>
        </w:rPr>
        <w:sectPr>
          <w:pgSz w:w="16838" w:h="11906" w:orient="landscape"/>
          <w:pgMar w:top="1701" w:right="1531" w:bottom="1701" w:left="1531" w:header="851" w:footer="851" w:gutter="0"/>
          <w:cols w:space="720" w:num="1"/>
          <w:docGrid w:linePitch="312" w:charSpace="0"/>
        </w:sectPr>
      </w:pPr>
    </w:p>
    <w:p>
      <w:pPr>
        <w:pStyle w:val="60"/>
        <w:rPr>
          <w:color w:val="auto"/>
        </w:rPr>
      </w:pPr>
      <w:bookmarkStart w:id="18" w:name="_Toc1973"/>
      <w:r>
        <w:rPr>
          <w:rFonts w:hint="eastAsia"/>
          <w:color w:val="auto"/>
        </w:rPr>
        <w:t>附件</w:t>
      </w:r>
      <w:r>
        <w:rPr>
          <w:rFonts w:hint="eastAsia"/>
          <w:color w:val="auto"/>
          <w:lang w:val="en-US" w:eastAsia="zh-CN"/>
        </w:rPr>
        <w:t>2</w:t>
      </w:r>
      <w:r>
        <w:rPr>
          <w:rFonts w:hint="eastAsia"/>
          <w:color w:val="auto"/>
        </w:rPr>
        <w:t>：租赁协议</w:t>
      </w:r>
      <w:bookmarkEnd w:id="18"/>
    </w:p>
    <w:p>
      <w:pPr>
        <w:jc w:val="center"/>
        <w:rPr>
          <w:rFonts w:hint="eastAsia" w:eastAsia="宋体"/>
          <w:color w:val="auto"/>
          <w:lang w:eastAsia="zh-CN"/>
        </w:rPr>
      </w:pPr>
      <w:r>
        <w:rPr>
          <w:rFonts w:hint="eastAsia" w:eastAsia="宋体"/>
          <w:color w:val="auto"/>
          <w:lang w:eastAsia="zh-CN"/>
        </w:rPr>
        <w:drawing>
          <wp:inline distT="0" distB="0" distL="114300" distR="114300">
            <wp:extent cx="4917440" cy="8145145"/>
            <wp:effectExtent l="0" t="0" r="16510" b="8255"/>
            <wp:docPr id="1" name="图片 1" descr="d302a7b8b024efea60389bf8f99b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302a7b8b024efea60389bf8f99baa3"/>
                    <pic:cNvPicPr>
                      <a:picLocks noChangeAspect="1"/>
                    </pic:cNvPicPr>
                  </pic:nvPicPr>
                  <pic:blipFill>
                    <a:blip r:embed="rId16"/>
                    <a:stretch>
                      <a:fillRect/>
                    </a:stretch>
                  </pic:blipFill>
                  <pic:spPr>
                    <a:xfrm>
                      <a:off x="0" y="0"/>
                      <a:ext cx="4917440" cy="8145145"/>
                    </a:xfrm>
                    <a:prstGeom prst="rect">
                      <a:avLst/>
                    </a:prstGeom>
                  </pic:spPr>
                </pic:pic>
              </a:graphicData>
            </a:graphic>
          </wp:inline>
        </w:drawing>
      </w:r>
    </w:p>
    <w:p>
      <w:pPr>
        <w:jc w:val="center"/>
        <w:rPr>
          <w:rFonts w:hint="eastAsia" w:eastAsia="宋体"/>
          <w:color w:val="auto"/>
          <w:lang w:eastAsia="zh-CN"/>
        </w:rPr>
        <w:sectPr>
          <w:footerReference r:id="rId6" w:type="default"/>
          <w:pgSz w:w="11906" w:h="16838"/>
          <w:pgMar w:top="1531" w:right="1701" w:bottom="1531" w:left="1701" w:header="851" w:footer="851" w:gutter="0"/>
          <w:cols w:space="720" w:num="1"/>
          <w:docGrid w:linePitch="312" w:charSpace="0"/>
        </w:sectPr>
      </w:pPr>
      <w:r>
        <w:rPr>
          <w:rFonts w:hint="eastAsia" w:eastAsia="宋体"/>
          <w:color w:val="auto"/>
          <w:lang w:eastAsia="zh-CN"/>
        </w:rPr>
        <w:drawing>
          <wp:inline distT="0" distB="0" distL="114300" distR="114300">
            <wp:extent cx="5016500" cy="8733155"/>
            <wp:effectExtent l="0" t="0" r="12700" b="10795"/>
            <wp:docPr id="3" name="图片 3" descr="8eb48c213be9f94da70c39b4f214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eb48c213be9f94da70c39b4f21411b"/>
                    <pic:cNvPicPr>
                      <a:picLocks noChangeAspect="1"/>
                    </pic:cNvPicPr>
                  </pic:nvPicPr>
                  <pic:blipFill>
                    <a:blip r:embed="rId17"/>
                    <a:stretch>
                      <a:fillRect/>
                    </a:stretch>
                  </pic:blipFill>
                  <pic:spPr>
                    <a:xfrm>
                      <a:off x="0" y="0"/>
                      <a:ext cx="5016500" cy="8733155"/>
                    </a:xfrm>
                    <a:prstGeom prst="rect">
                      <a:avLst/>
                    </a:prstGeom>
                  </pic:spPr>
                </pic:pic>
              </a:graphicData>
            </a:graphic>
          </wp:inline>
        </w:drawing>
      </w:r>
    </w:p>
    <w:p>
      <w:pPr>
        <w:pStyle w:val="60"/>
        <w:rPr>
          <w:color w:val="auto"/>
        </w:rPr>
      </w:pPr>
      <w:bookmarkStart w:id="19" w:name="_Toc16898"/>
      <w:r>
        <w:rPr>
          <w:color w:val="auto"/>
        </w:rPr>
        <w:t>附件</w:t>
      </w:r>
      <w:r>
        <w:rPr>
          <w:rFonts w:hint="eastAsia"/>
          <w:color w:val="auto"/>
          <w:lang w:val="en-US" w:eastAsia="zh-CN"/>
        </w:rPr>
        <w:t>3</w:t>
      </w:r>
      <w:r>
        <w:rPr>
          <w:color w:val="auto"/>
        </w:rPr>
        <w:t>：</w:t>
      </w:r>
      <w:r>
        <w:rPr>
          <w:rFonts w:hint="eastAsia"/>
          <w:color w:val="auto"/>
          <w:lang w:val="en-US" w:eastAsia="zh-CN"/>
        </w:rPr>
        <w:t>本项目</w:t>
      </w:r>
      <w:r>
        <w:rPr>
          <w:color w:val="auto"/>
        </w:rPr>
        <w:t>监测报告</w:t>
      </w:r>
      <w:bookmarkEnd w:id="19"/>
    </w:p>
    <w:p>
      <w:pPr>
        <w:pStyle w:val="54"/>
        <w:ind w:firstLine="0" w:firstLineChars="0"/>
        <w:rPr>
          <w:snapToGrid w:val="0"/>
          <w:color w:val="auto"/>
        </w:rPr>
      </w:pPr>
    </w:p>
    <w:p>
      <w:pPr>
        <w:pStyle w:val="54"/>
        <w:ind w:firstLine="0" w:firstLineChars="0"/>
        <w:rPr>
          <w:snapToGrid w:val="0"/>
          <w:color w:val="auto"/>
        </w:rPr>
      </w:pPr>
      <w:r>
        <w:rPr>
          <w:color w:val="auto"/>
        </w:rPr>
        <w:drawing>
          <wp:inline distT="0" distB="0" distL="114300" distR="114300">
            <wp:extent cx="5394960" cy="7458710"/>
            <wp:effectExtent l="0" t="0" r="15240" b="8890"/>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18"/>
                    <a:stretch>
                      <a:fillRect/>
                    </a:stretch>
                  </pic:blipFill>
                  <pic:spPr>
                    <a:xfrm>
                      <a:off x="0" y="0"/>
                      <a:ext cx="5394960" cy="7458710"/>
                    </a:xfrm>
                    <a:prstGeom prst="rect">
                      <a:avLst/>
                    </a:prstGeom>
                    <a:noFill/>
                    <a:ln>
                      <a:noFill/>
                    </a:ln>
                  </pic:spPr>
                </pic:pic>
              </a:graphicData>
            </a:graphic>
          </wp:inline>
        </w:drawing>
      </w:r>
      <w:r>
        <w:rPr>
          <w:color w:val="auto"/>
        </w:rPr>
        <w:drawing>
          <wp:inline distT="0" distB="0" distL="114300" distR="114300">
            <wp:extent cx="5398770" cy="7507605"/>
            <wp:effectExtent l="0" t="0" r="11430" b="1714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19"/>
                    <a:stretch>
                      <a:fillRect/>
                    </a:stretch>
                  </pic:blipFill>
                  <pic:spPr>
                    <a:xfrm>
                      <a:off x="0" y="0"/>
                      <a:ext cx="5398770" cy="7507605"/>
                    </a:xfrm>
                    <a:prstGeom prst="rect">
                      <a:avLst/>
                    </a:prstGeom>
                    <a:noFill/>
                    <a:ln>
                      <a:noFill/>
                    </a:ln>
                  </pic:spPr>
                </pic:pic>
              </a:graphicData>
            </a:graphic>
          </wp:inline>
        </w:drawing>
      </w:r>
      <w:r>
        <w:rPr>
          <w:color w:val="auto"/>
        </w:rPr>
        <w:drawing>
          <wp:inline distT="0" distB="0" distL="114300" distR="114300">
            <wp:extent cx="5395595" cy="7374255"/>
            <wp:effectExtent l="0" t="0" r="14605" b="1714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20"/>
                    <a:stretch>
                      <a:fillRect/>
                    </a:stretch>
                  </pic:blipFill>
                  <pic:spPr>
                    <a:xfrm>
                      <a:off x="0" y="0"/>
                      <a:ext cx="5395595" cy="7374255"/>
                    </a:xfrm>
                    <a:prstGeom prst="rect">
                      <a:avLst/>
                    </a:prstGeom>
                    <a:noFill/>
                    <a:ln>
                      <a:noFill/>
                    </a:ln>
                  </pic:spPr>
                </pic:pic>
              </a:graphicData>
            </a:graphic>
          </wp:inline>
        </w:drawing>
      </w:r>
      <w:r>
        <w:rPr>
          <w:color w:val="auto"/>
        </w:rPr>
        <w:drawing>
          <wp:inline distT="0" distB="0" distL="114300" distR="114300">
            <wp:extent cx="5396865" cy="7426960"/>
            <wp:effectExtent l="0" t="0" r="13335" b="254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1"/>
                    <a:stretch>
                      <a:fillRect/>
                    </a:stretch>
                  </pic:blipFill>
                  <pic:spPr>
                    <a:xfrm>
                      <a:off x="0" y="0"/>
                      <a:ext cx="5396865" cy="7426960"/>
                    </a:xfrm>
                    <a:prstGeom prst="rect">
                      <a:avLst/>
                    </a:prstGeom>
                    <a:noFill/>
                    <a:ln>
                      <a:noFill/>
                    </a:ln>
                  </pic:spPr>
                </pic:pic>
              </a:graphicData>
            </a:graphic>
          </wp:inline>
        </w:drawing>
      </w:r>
    </w:p>
    <w:p>
      <w:pPr>
        <w:pStyle w:val="54"/>
        <w:ind w:firstLine="0" w:firstLineChars="0"/>
        <w:rPr>
          <w:snapToGrid w:val="0"/>
          <w:color w:val="auto"/>
        </w:rPr>
      </w:pPr>
    </w:p>
    <w:p>
      <w:pPr>
        <w:pStyle w:val="60"/>
        <w:rPr>
          <w:color w:val="auto"/>
        </w:rPr>
        <w:sectPr>
          <w:pgSz w:w="11906" w:h="16838"/>
          <w:pgMar w:top="1531" w:right="1701" w:bottom="1531" w:left="1701" w:header="851" w:footer="851" w:gutter="0"/>
          <w:cols w:space="720" w:num="1"/>
          <w:docGrid w:linePitch="312" w:charSpace="0"/>
        </w:sectPr>
      </w:pPr>
    </w:p>
    <w:p>
      <w:pPr>
        <w:pStyle w:val="60"/>
        <w:rPr>
          <w:color w:val="auto"/>
        </w:rPr>
      </w:pPr>
      <w:bookmarkStart w:id="20" w:name="_Toc1727"/>
      <w:r>
        <w:rPr>
          <w:color w:val="auto"/>
        </w:rPr>
        <w:t>附件</w:t>
      </w:r>
      <w:r>
        <w:rPr>
          <w:rFonts w:hint="eastAsia"/>
          <w:color w:val="auto"/>
          <w:lang w:val="en-US" w:eastAsia="zh-CN"/>
        </w:rPr>
        <w:t>4</w:t>
      </w:r>
      <w:r>
        <w:rPr>
          <w:color w:val="auto"/>
        </w:rPr>
        <w:t>：废水源强引用监测报告</w:t>
      </w:r>
      <w:bookmarkEnd w:id="20"/>
    </w:p>
    <w:p>
      <w:pPr>
        <w:pStyle w:val="54"/>
        <w:ind w:firstLine="0" w:firstLineChars="0"/>
        <w:rPr>
          <w:snapToGrid w:val="0"/>
          <w:color w:val="auto"/>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auto"/>
          <w:kern w:val="0"/>
          <w:lang w:bidi="ar"/>
        </w:rPr>
        <w:fldChar w:fldCharType="separate"/>
      </w:r>
      <w:r>
        <w:rPr>
          <w:color w:val="auto"/>
          <w:kern w:val="0"/>
          <w:lang w:bidi="ar"/>
        </w:rPr>
        <w:pict>
          <v:shape id="_x0000_i1026" o:spt="75" type="#_x0000_t75" style="height:587.5pt;width:436.25pt;" filled="f" o:preferrelative="t" stroked="f" coordsize="21600,21600">
            <v:path/>
            <v:fill on="f" focussize="0,0"/>
            <v:stroke on="f" joinstyle="miter"/>
            <v:imagedata r:id="rId22" r:href="rId23"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snapToGrid w:val="0"/>
          <w:color w:val="auto"/>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auto"/>
          <w:kern w:val="0"/>
          <w:lang w:bidi="ar"/>
        </w:rPr>
        <w:fldChar w:fldCharType="separate"/>
      </w:r>
      <w:r>
        <w:rPr>
          <w:color w:val="auto"/>
          <w:kern w:val="0"/>
          <w:lang w:bidi="ar"/>
        </w:rPr>
        <w:pict>
          <v:shape id="_x0000_i1027" o:spt="75" type="#_x0000_t75" style="height:597.2pt;width:442.9pt;" filled="f" o:preferrelative="t" stroked="f" coordsize="21600,21600">
            <v:path/>
            <v:fill on="f" focussize="0,0"/>
            <v:stroke on="f" joinstyle="miter"/>
            <v:imagedata r:id="rId24" r:href="rId25"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snapToGrid w:val="0"/>
          <w:color w:val="auto"/>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auto"/>
          <w:kern w:val="0"/>
          <w:lang w:bidi="ar"/>
        </w:rPr>
        <w:fldChar w:fldCharType="separate"/>
      </w:r>
      <w:r>
        <w:rPr>
          <w:color w:val="auto"/>
          <w:kern w:val="0"/>
          <w:lang w:bidi="ar"/>
        </w:rPr>
        <w:pict>
          <v:shape id="_x0000_i1028" o:spt="75" type="#_x0000_t75" style="height:597.2pt;width:442.9pt;" filled="f" o:preferrelative="t" stroked="f" coordsize="21600,21600">
            <v:path/>
            <v:fill on="f" focussize="0,0"/>
            <v:stroke on="f" joinstyle="miter"/>
            <v:imagedata r:id="rId26" r:href="rId27"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auto"/>
          <w:kern w:val="0"/>
          <w:lang w:bidi="ar"/>
        </w:rPr>
        <w:fldChar w:fldCharType="separate"/>
      </w:r>
      <w:r>
        <w:rPr>
          <w:color w:val="auto"/>
          <w:kern w:val="0"/>
          <w:lang w:bidi="ar"/>
        </w:rPr>
        <w:pict>
          <v:shape id="_x0000_i1029" o:spt="75" type="#_x0000_t75" style="height:595.95pt;width:442.9pt;" filled="f" o:preferrelative="t" stroked="f" coordsize="21600,21600">
            <v:path/>
            <v:fill on="f" focussize="0,0"/>
            <v:stroke on="f" joinstyle="miter"/>
            <v:imagedata r:id="rId28" r:href="rId29"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auto"/>
          <w:kern w:val="0"/>
          <w:lang w:bidi="ar"/>
        </w:rPr>
        <w:fldChar w:fldCharType="separate"/>
      </w:r>
      <w:r>
        <w:rPr>
          <w:color w:val="auto"/>
          <w:kern w:val="0"/>
          <w:lang w:bidi="ar"/>
        </w:rPr>
        <w:pict>
          <v:shape id="_x0000_i1030" o:spt="75" type="#_x0000_t75" style="height:597.8pt;width:442.9pt;" filled="f" o:preferrelative="t" stroked="f" coordsize="21600,21600">
            <v:path/>
            <v:fill on="f" focussize="0,0"/>
            <v:stroke on="f" joinstyle="miter"/>
            <v:imagedata r:id="rId30" r:href="rId31"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auto"/>
          <w:kern w:val="0"/>
          <w:lang w:bidi="ar"/>
        </w:rPr>
        <w:fldChar w:fldCharType="separate"/>
      </w:r>
      <w:r>
        <w:rPr>
          <w:color w:val="auto"/>
          <w:kern w:val="0"/>
          <w:lang w:bidi="ar"/>
        </w:rPr>
        <w:pict>
          <v:shape id="_x0000_i1031" o:spt="75" type="#_x0000_t75" style="height:597.8pt;width:442.9pt;" filled="f" o:preferrelative="t" stroked="f" coordsize="21600,21600">
            <v:path/>
            <v:fill on="f" focussize="0,0"/>
            <v:stroke on="f" joinstyle="miter"/>
            <v:imagedata r:id="rId32" r:href="rId33"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auto"/>
          <w:kern w:val="0"/>
          <w:lang w:bidi="ar"/>
        </w:rPr>
        <w:fldChar w:fldCharType="separate"/>
      </w:r>
      <w:r>
        <w:rPr>
          <w:color w:val="auto"/>
          <w:kern w:val="0"/>
          <w:lang w:bidi="ar"/>
        </w:rPr>
        <w:pict>
          <v:shape id="_x0000_i1032" o:spt="75" type="#_x0000_t75" style="height:595.95pt;width:442.9pt;" filled="f" o:preferrelative="t" stroked="f" coordsize="21600,21600">
            <v:path/>
            <v:fill on="f" focussize="0,0"/>
            <v:stroke on="f" joinstyle="miter"/>
            <v:imagedata r:id="rId34" r:href="rId35"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auto"/>
          <w:kern w:val="0"/>
          <w:lang w:bidi="ar"/>
        </w:rPr>
        <w:fldChar w:fldCharType="separate"/>
      </w:r>
      <w:r>
        <w:rPr>
          <w:color w:val="auto"/>
          <w:kern w:val="0"/>
          <w:lang w:bidi="ar"/>
        </w:rPr>
        <w:pict>
          <v:shape id="_x0000_i1033" o:spt="75" type="#_x0000_t75" style="height:597.8pt;width:442.9pt;" filled="f" o:preferrelative="t" stroked="f" coordsize="21600,21600">
            <v:path/>
            <v:fill on="f" focussize="0,0"/>
            <v:stroke on="f" joinstyle="miter"/>
            <v:imagedata r:id="rId36" r:href="rId37"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r>
        <w:rPr>
          <w:color w:val="auto"/>
          <w:kern w:val="0"/>
          <w:lang w:bidi="ar"/>
        </w:rPr>
        <w:fldChar w:fldCharType="begin"/>
      </w:r>
      <w:r>
        <w:rPr>
          <w:color w:val="auto"/>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fldChar w:fldCharType="begin"/>
      </w:r>
      <w:r>
        <w:rPr>
          <w:color w:val="auto"/>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auto"/>
          <w:kern w:val="0"/>
          <w:lang w:bidi="ar"/>
        </w:rPr>
        <w:fldChar w:fldCharType="separate"/>
      </w:r>
      <w:r>
        <w:rPr>
          <w:color w:val="auto"/>
          <w:kern w:val="0"/>
          <w:lang w:bidi="ar"/>
        </w:rPr>
        <w:pict>
          <v:shape id="_x0000_i1034" o:spt="75" type="#_x0000_t75" style="height:597.8pt;width:442.9pt;" filled="f" o:preferrelative="t" stroked="f" coordsize="21600,21600">
            <v:path/>
            <v:fill on="f" focussize="0,0"/>
            <v:stroke on="f" joinstyle="miter"/>
            <v:imagedata r:id="rId38" r:href="rId39" o:title=""/>
            <o:lock v:ext="edit" aspectratio="t"/>
            <w10:wrap type="none"/>
            <w10:anchorlock/>
          </v:shape>
        </w:pict>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r>
        <w:rPr>
          <w:color w:val="auto"/>
          <w:kern w:val="0"/>
          <w:lang w:bidi="ar"/>
        </w:rPr>
        <w:fldChar w:fldCharType="end"/>
      </w:r>
    </w:p>
    <w:p>
      <w:pPr>
        <w:pStyle w:val="54"/>
        <w:ind w:firstLine="0" w:firstLineChars="0"/>
        <w:rPr>
          <w:color w:val="auto"/>
          <w:kern w:val="0"/>
          <w:lang w:bidi="ar"/>
        </w:rPr>
      </w:pPr>
    </w:p>
    <w:p>
      <w:pPr>
        <w:pStyle w:val="54"/>
        <w:ind w:firstLine="0" w:firstLineChars="0"/>
        <w:rPr>
          <w:snapToGrid w:val="0"/>
          <w:color w:val="auto"/>
        </w:rPr>
        <w:sectPr>
          <w:pgSz w:w="11906" w:h="16838"/>
          <w:pgMar w:top="1531" w:right="1701" w:bottom="1531" w:left="1701" w:header="851" w:footer="851" w:gutter="0"/>
          <w:cols w:space="720" w:num="1"/>
          <w:docGrid w:linePitch="312" w:charSpace="0"/>
        </w:sectPr>
      </w:pPr>
    </w:p>
    <w:p>
      <w:pPr>
        <w:pStyle w:val="60"/>
        <w:rPr>
          <w:rFonts w:hint="default" w:eastAsia="宋体"/>
          <w:color w:val="auto"/>
          <w:lang w:val="en-US" w:eastAsia="zh-CN"/>
        </w:rPr>
      </w:pPr>
      <w:bookmarkStart w:id="21" w:name="_Toc25415"/>
      <w:r>
        <w:rPr>
          <w:color w:val="auto"/>
        </w:rPr>
        <w:t>附件</w:t>
      </w:r>
      <w:r>
        <w:rPr>
          <w:rFonts w:hint="eastAsia"/>
          <w:color w:val="auto"/>
          <w:lang w:val="en-US" w:eastAsia="zh-CN"/>
        </w:rPr>
        <w:t>5</w:t>
      </w:r>
      <w:r>
        <w:rPr>
          <w:color w:val="auto"/>
        </w:rPr>
        <w:t>：</w:t>
      </w:r>
      <w:r>
        <w:rPr>
          <w:rFonts w:hint="eastAsia"/>
          <w:color w:val="auto"/>
          <w:lang w:val="en-US" w:eastAsia="zh-CN"/>
        </w:rPr>
        <w:t>企业投资项目备案承诺书</w:t>
      </w:r>
      <w:bookmarkEnd w:id="21"/>
    </w:p>
    <w:p>
      <w:pPr>
        <w:pStyle w:val="80"/>
        <w:rPr>
          <w:rFonts w:hint="eastAsia" w:eastAsia="宋体"/>
          <w:b/>
          <w:bCs/>
          <w:color w:val="auto"/>
          <w:lang w:eastAsia="zh-CN"/>
        </w:rPr>
      </w:pPr>
      <w:r>
        <w:rPr>
          <w:color w:val="auto"/>
        </w:rPr>
        <w:drawing>
          <wp:inline distT="0" distB="0" distL="114300" distR="114300">
            <wp:extent cx="5397500" cy="7321550"/>
            <wp:effectExtent l="0" t="0" r="12700" b="1270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40"/>
                    <a:stretch>
                      <a:fillRect/>
                    </a:stretch>
                  </pic:blipFill>
                  <pic:spPr>
                    <a:xfrm>
                      <a:off x="0" y="0"/>
                      <a:ext cx="5397500" cy="7321550"/>
                    </a:xfrm>
                    <a:prstGeom prst="rect">
                      <a:avLst/>
                    </a:prstGeom>
                    <a:noFill/>
                    <a:ln>
                      <a:noFill/>
                    </a:ln>
                  </pic:spPr>
                </pic:pic>
              </a:graphicData>
            </a:graphic>
          </wp:inline>
        </w:drawing>
      </w:r>
    </w:p>
    <w:p>
      <w:pPr>
        <w:pStyle w:val="80"/>
        <w:rPr>
          <w:color w:val="auto"/>
        </w:rPr>
      </w:pPr>
    </w:p>
    <w:p>
      <w:pPr>
        <w:pStyle w:val="59"/>
        <w:ind w:firstLine="0" w:firstLineChars="0"/>
        <w:rPr>
          <w:b/>
          <w:bCs/>
          <w:snapToGrid w:val="0"/>
          <w:color w:val="auto"/>
        </w:rPr>
      </w:pPr>
    </w:p>
    <w:p>
      <w:pPr>
        <w:pStyle w:val="59"/>
        <w:ind w:firstLine="0" w:firstLineChars="0"/>
        <w:rPr>
          <w:b/>
          <w:bCs/>
          <w:snapToGrid w:val="0"/>
          <w:color w:val="auto"/>
        </w:rPr>
        <w:sectPr>
          <w:pgSz w:w="11906" w:h="16838"/>
          <w:pgMar w:top="1531" w:right="1701" w:bottom="1531" w:left="1701" w:header="851" w:footer="851" w:gutter="0"/>
          <w:cols w:space="720" w:num="1"/>
          <w:docGrid w:linePitch="312" w:charSpace="0"/>
        </w:sectPr>
      </w:pPr>
    </w:p>
    <w:p>
      <w:pPr>
        <w:pStyle w:val="60"/>
        <w:rPr>
          <w:rFonts w:hint="eastAsia"/>
          <w:color w:val="auto"/>
          <w:lang w:val="en-US" w:eastAsia="zh-CN"/>
        </w:rPr>
      </w:pPr>
      <w:bookmarkStart w:id="22" w:name="_Toc31844"/>
      <w:r>
        <w:rPr>
          <w:color w:val="auto"/>
        </w:rPr>
        <w:t>附件</w:t>
      </w:r>
      <w:r>
        <w:rPr>
          <w:rFonts w:hint="eastAsia"/>
          <w:color w:val="auto"/>
          <w:lang w:val="en-US" w:eastAsia="zh-CN"/>
        </w:rPr>
        <w:t>6</w:t>
      </w:r>
      <w:r>
        <w:rPr>
          <w:color w:val="auto"/>
        </w:rPr>
        <w:t>：</w:t>
      </w:r>
      <w:r>
        <w:rPr>
          <w:rFonts w:hint="eastAsia"/>
          <w:color w:val="auto"/>
          <w:lang w:val="en-US" w:eastAsia="zh-CN"/>
        </w:rPr>
        <w:t>土地证</w:t>
      </w:r>
      <w:bookmarkEnd w:id="22"/>
    </w:p>
    <w:p>
      <w:pPr>
        <w:pStyle w:val="60"/>
        <w:outlineLvl w:val="9"/>
        <w:rPr>
          <w:rFonts w:hint="default"/>
          <w:color w:val="auto"/>
          <w:lang w:val="en-US" w:eastAsia="zh-CN"/>
        </w:rPr>
      </w:pPr>
      <w:r>
        <w:rPr>
          <w:color w:val="auto"/>
        </w:rPr>
        <w:drawing>
          <wp:inline distT="0" distB="0" distL="114300" distR="114300">
            <wp:extent cx="8742045" cy="5000625"/>
            <wp:effectExtent l="0" t="0" r="1905" b="952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41"/>
                    <a:stretch>
                      <a:fillRect/>
                    </a:stretch>
                  </pic:blipFill>
                  <pic:spPr>
                    <a:xfrm>
                      <a:off x="0" y="0"/>
                      <a:ext cx="8742045" cy="5000625"/>
                    </a:xfrm>
                    <a:prstGeom prst="rect">
                      <a:avLst/>
                    </a:prstGeom>
                    <a:noFill/>
                    <a:ln>
                      <a:noFill/>
                    </a:ln>
                  </pic:spPr>
                </pic:pic>
              </a:graphicData>
            </a:graphic>
          </wp:inline>
        </w:drawing>
      </w:r>
    </w:p>
    <w:p>
      <w:pPr>
        <w:pStyle w:val="59"/>
        <w:ind w:firstLine="0" w:firstLineChars="0"/>
        <w:rPr>
          <w:b/>
          <w:bCs/>
          <w:snapToGrid w:val="0"/>
          <w:color w:val="auto"/>
        </w:rPr>
        <w:sectPr>
          <w:pgSz w:w="16838" w:h="11906" w:orient="landscape"/>
          <w:pgMar w:top="1701" w:right="1531" w:bottom="1701" w:left="1531" w:header="851" w:footer="851" w:gutter="0"/>
          <w:cols w:space="720" w:num="1"/>
          <w:docGrid w:linePitch="312" w:charSpace="0"/>
        </w:sectPr>
      </w:pPr>
    </w:p>
    <w:p>
      <w:pPr>
        <w:pStyle w:val="60"/>
        <w:outlineLvl w:val="9"/>
        <w:rPr>
          <w:rFonts w:hint="eastAsia"/>
          <w:color w:val="auto"/>
          <w:lang w:val="en-US" w:eastAsia="zh-CN"/>
        </w:rPr>
      </w:pPr>
      <w:r>
        <w:rPr>
          <w:color w:val="auto"/>
        </w:rPr>
        <w:drawing>
          <wp:inline distT="0" distB="0" distL="114300" distR="114300">
            <wp:extent cx="8101330" cy="4990465"/>
            <wp:effectExtent l="0" t="0" r="635" b="1397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42"/>
                    <a:stretch>
                      <a:fillRect/>
                    </a:stretch>
                  </pic:blipFill>
                  <pic:spPr>
                    <a:xfrm rot="16200000">
                      <a:off x="0" y="0"/>
                      <a:ext cx="8101330" cy="4990465"/>
                    </a:xfrm>
                    <a:prstGeom prst="rect">
                      <a:avLst/>
                    </a:prstGeom>
                    <a:noFill/>
                    <a:ln>
                      <a:noFill/>
                    </a:ln>
                  </pic:spPr>
                </pic:pic>
              </a:graphicData>
            </a:graphic>
          </wp:inline>
        </w:drawing>
      </w:r>
    </w:p>
    <w:p>
      <w:pPr>
        <w:pStyle w:val="59"/>
        <w:ind w:firstLine="0" w:firstLineChars="0"/>
        <w:rPr>
          <w:rFonts w:hint="default" w:eastAsia="宋体"/>
          <w:b/>
          <w:bCs/>
          <w:snapToGrid w:val="0"/>
          <w:color w:val="auto"/>
          <w:lang w:val="en-US" w:eastAsia="zh-CN"/>
        </w:rPr>
        <w:sectPr>
          <w:pgSz w:w="11906" w:h="16838"/>
          <w:pgMar w:top="1531" w:right="1701" w:bottom="1531" w:left="1701" w:header="851" w:footer="851" w:gutter="0"/>
          <w:cols w:space="720" w:num="1"/>
          <w:docGrid w:linePitch="312" w:charSpace="0"/>
        </w:sectPr>
      </w:pPr>
    </w:p>
    <w:p>
      <w:pPr>
        <w:pStyle w:val="3"/>
        <w:outlineLvl w:val="1"/>
        <w:rPr>
          <w:rFonts w:ascii="Times New Roman" w:hAnsi="Times New Roman" w:eastAsia="宋体" w:cs="Times New Roman"/>
          <w:b/>
          <w:bCs w:val="0"/>
          <w:snapToGrid w:val="0"/>
          <w:color w:val="auto"/>
          <w:kern w:val="2"/>
          <w:sz w:val="21"/>
          <w:szCs w:val="21"/>
          <w:lang w:val="en-US" w:eastAsia="zh-CN" w:bidi="ar-SA"/>
        </w:rPr>
      </w:pPr>
      <w:bookmarkStart w:id="23" w:name="_Toc26063"/>
      <w:r>
        <w:rPr>
          <w:rFonts w:hint="eastAsia"/>
          <w:color w:val="auto"/>
          <w:sz w:val="24"/>
          <w:szCs w:val="28"/>
          <w:lang w:eastAsia="zh-CN"/>
        </w:rPr>
        <w:drawing>
          <wp:anchor distT="0" distB="0" distL="114300" distR="114300" simplePos="0" relativeHeight="251668480" behindDoc="0" locked="0" layoutInCell="1" allowOverlap="1">
            <wp:simplePos x="0" y="0"/>
            <wp:positionH relativeFrom="column">
              <wp:posOffset>6703060</wp:posOffset>
            </wp:positionH>
            <wp:positionV relativeFrom="paragraph">
              <wp:posOffset>604520</wp:posOffset>
            </wp:positionV>
            <wp:extent cx="981075" cy="915670"/>
            <wp:effectExtent l="0" t="0" r="9525" b="17780"/>
            <wp:wrapNone/>
            <wp:docPr id="64" name="图片 5" descr="166866882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descr="1668668826886"/>
                    <pic:cNvPicPr>
                      <a:picLocks noChangeAspect="1"/>
                    </pic:cNvPicPr>
                  </pic:nvPicPr>
                  <pic:blipFill>
                    <a:blip r:embed="rId43"/>
                    <a:stretch>
                      <a:fillRect/>
                    </a:stretch>
                  </pic:blipFill>
                  <pic:spPr>
                    <a:xfrm>
                      <a:off x="0" y="0"/>
                      <a:ext cx="981075" cy="915670"/>
                    </a:xfrm>
                    <a:prstGeom prst="rect">
                      <a:avLst/>
                    </a:prstGeom>
                    <a:noFill/>
                    <a:ln>
                      <a:noFill/>
                    </a:ln>
                  </pic:spPr>
                </pic:pic>
              </a:graphicData>
            </a:graphic>
          </wp:anchor>
        </w:drawing>
      </w:r>
      <w:r>
        <w:rPr>
          <w:rFonts w:ascii="Times New Roman" w:hAnsi="Times New Roman" w:eastAsia="宋体" w:cs="Times New Roman"/>
          <w:b/>
          <w:bCs w:val="0"/>
          <w:snapToGrid w:val="0"/>
          <w:color w:val="auto"/>
          <w:kern w:val="2"/>
          <w:sz w:val="21"/>
          <w:szCs w:val="21"/>
          <w:lang w:val="en-US" w:eastAsia="zh-CN" w:bidi="ar-SA"/>
        </w:rPr>
        <w:t>附图</w:t>
      </w:r>
      <w:r>
        <w:rPr>
          <w:rFonts w:hint="eastAsia" w:ascii="Times New Roman" w:hAnsi="Times New Roman" w:eastAsia="宋体" w:cs="Times New Roman"/>
          <w:b/>
          <w:bCs w:val="0"/>
          <w:snapToGrid w:val="0"/>
          <w:color w:val="auto"/>
          <w:kern w:val="2"/>
          <w:sz w:val="21"/>
          <w:szCs w:val="21"/>
          <w:lang w:val="en-US" w:eastAsia="zh-CN" w:bidi="ar-SA"/>
        </w:rPr>
        <w:t>1</w:t>
      </w:r>
      <w:r>
        <w:rPr>
          <w:rFonts w:ascii="Times New Roman" w:hAnsi="Times New Roman" w:eastAsia="宋体" w:cs="Times New Roman"/>
          <w:b/>
          <w:bCs w:val="0"/>
          <w:snapToGrid w:val="0"/>
          <w:color w:val="auto"/>
          <w:kern w:val="2"/>
          <w:sz w:val="21"/>
          <w:szCs w:val="21"/>
          <w:lang w:val="en-US" w:eastAsia="zh-CN" w:bidi="ar-SA"/>
        </w:rPr>
        <w:t>：地理位置图</w:t>
      </w:r>
      <w:bookmarkEnd w:id="23"/>
    </w:p>
    <w:p>
      <w:pPr>
        <w:pStyle w:val="59"/>
        <w:ind w:firstLine="0" w:firstLineChars="0"/>
        <w:jc w:val="center"/>
        <w:rPr>
          <w:color w:val="auto"/>
        </w:rPr>
      </w:pP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2882900</wp:posOffset>
                </wp:positionH>
                <wp:positionV relativeFrom="paragraph">
                  <wp:posOffset>3514725</wp:posOffset>
                </wp:positionV>
                <wp:extent cx="1030605" cy="295275"/>
                <wp:effectExtent l="6350" t="6350" r="10795" b="98425"/>
                <wp:wrapNone/>
                <wp:docPr id="26" name="矩形标注 26"/>
                <wp:cNvGraphicFramePr/>
                <a:graphic xmlns:a="http://schemas.openxmlformats.org/drawingml/2006/main">
                  <a:graphicData uri="http://schemas.microsoft.com/office/word/2010/wordprocessingShape">
                    <wps:wsp>
                      <wps:cNvSpPr/>
                      <wps:spPr>
                        <a:xfrm>
                          <a:off x="3890010" y="4446270"/>
                          <a:ext cx="1030605" cy="295275"/>
                        </a:xfrm>
                        <a:prstGeom prst="wedgeRectCallout">
                          <a:avLst>
                            <a:gd name="adj1" fmla="val -38878"/>
                            <a:gd name="adj2" fmla="val 7759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7pt;margin-top:276.75pt;height:23.25pt;width:81.15pt;z-index:251662336;v-text-anchor:middle;mso-width-relative:page;mso-height-relative:page;" filled="f" stroked="t" coordsize="21600,21600" o:gfxdata="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X+rLr9oAAAALAQAADwAAAAAAAAABACAAAAAi&#10;AAAAZHJzL2Rvd25yZXYueG1sUEsBAhQAFAAAAAgAh07iQBsTB8mzAgAASAUAAA4AAAAAAAAAAQAg&#10;AAAAKQEAAGRycy9lMm9Eb2MueG1sUEsFBgAAAAAGAAYAWQEAAE4GAAAAAA==&#10;" adj="2402,27560">
                <v:fill on="f" focussize="0,0"/>
                <v:stroke weight="1pt" color="#000000 [3213]" miterlimit="8" joinstyle="miter"/>
                <v:imagedata o:title=""/>
                <o:lock v:ext="edit" aspectratio="f"/>
                <v:textbo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color w:val="auto"/>
        </w:rPr>
        <w:drawing>
          <wp:inline distT="0" distB="0" distL="114300" distR="114300">
            <wp:extent cx="6626860" cy="4472940"/>
            <wp:effectExtent l="0" t="0" r="2540" b="381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44"/>
                    <a:stretch>
                      <a:fillRect/>
                    </a:stretch>
                  </pic:blipFill>
                  <pic:spPr>
                    <a:xfrm>
                      <a:off x="0" y="0"/>
                      <a:ext cx="6626860" cy="4472940"/>
                    </a:xfrm>
                    <a:prstGeom prst="rect">
                      <a:avLst/>
                    </a:prstGeom>
                    <a:noFill/>
                    <a:ln>
                      <a:noFill/>
                    </a:ln>
                  </pic:spPr>
                </pic:pic>
              </a:graphicData>
            </a:graphic>
          </wp:inline>
        </w:drawing>
      </w:r>
    </w:p>
    <w:p>
      <w:pPr>
        <w:pStyle w:val="59"/>
        <w:ind w:firstLine="480"/>
        <w:rPr>
          <w:color w:val="auto"/>
        </w:rPr>
        <w:sectPr>
          <w:footerReference r:id="rId7" w:type="default"/>
          <w:pgSz w:w="16838" w:h="11906" w:orient="landscape"/>
          <w:pgMar w:top="1701" w:right="1531" w:bottom="1701" w:left="1531" w:header="851" w:footer="851" w:gutter="0"/>
          <w:cols w:space="720" w:num="1"/>
          <w:docGrid w:linePitch="312" w:charSpace="0"/>
        </w:sectPr>
      </w:pPr>
    </w:p>
    <w:p>
      <w:pPr>
        <w:pStyle w:val="60"/>
        <w:rPr>
          <w:color w:val="auto"/>
          <w:sz w:val="21"/>
          <w:szCs w:val="21"/>
        </w:rPr>
      </w:pPr>
      <w:bookmarkStart w:id="24" w:name="_Toc23452"/>
      <w:bookmarkStart w:id="25" w:name="_Toc79160859"/>
      <w:r>
        <w:rPr>
          <w:color w:val="auto"/>
          <w:sz w:val="21"/>
          <w:szCs w:val="21"/>
        </w:rPr>
        <w:t>附图</w:t>
      </w:r>
      <w:r>
        <w:rPr>
          <w:rFonts w:hint="eastAsia"/>
          <w:color w:val="auto"/>
          <w:sz w:val="21"/>
          <w:szCs w:val="21"/>
          <w:lang w:val="en-US" w:eastAsia="zh-CN"/>
        </w:rPr>
        <w:t>2</w:t>
      </w:r>
      <w:r>
        <w:rPr>
          <w:color w:val="auto"/>
          <w:sz w:val="21"/>
          <w:szCs w:val="21"/>
        </w:rPr>
        <w:t>：</w:t>
      </w:r>
      <w:r>
        <w:rPr>
          <w:rFonts w:hint="eastAsia"/>
          <w:color w:val="auto"/>
          <w:sz w:val="21"/>
          <w:szCs w:val="21"/>
          <w:lang w:val="en-US" w:eastAsia="zh-CN"/>
        </w:rPr>
        <w:t>七台河</w:t>
      </w:r>
      <w:r>
        <w:rPr>
          <w:color w:val="auto"/>
          <w:sz w:val="21"/>
          <w:szCs w:val="21"/>
        </w:rPr>
        <w:t>市环境管控单元分布图</w:t>
      </w:r>
      <w:bookmarkEnd w:id="24"/>
      <w:bookmarkEnd w:id="25"/>
    </w:p>
    <w:p>
      <w:pPr>
        <w:pStyle w:val="59"/>
        <w:ind w:firstLine="480"/>
        <w:jc w:val="center"/>
        <w:rPr>
          <w:color w:val="auto"/>
        </w:rPr>
        <w:sectPr>
          <w:pgSz w:w="16838" w:h="11906" w:orient="landscape"/>
          <w:pgMar w:top="1701" w:right="1531" w:bottom="1701" w:left="1531" w:header="851" w:footer="851" w:gutter="0"/>
          <w:cols w:space="720" w:num="1"/>
          <w:docGrid w:linePitch="312" w:charSpace="0"/>
        </w:sectPr>
      </w:pPr>
      <w:r>
        <w:rPr>
          <w:color w:val="auto"/>
        </w:rPr>
        <mc:AlternateContent>
          <mc:Choice Requires="wps">
            <w:drawing>
              <wp:anchor distT="0" distB="0" distL="114300" distR="114300" simplePos="0" relativeHeight="251660288" behindDoc="0" locked="0" layoutInCell="1" allowOverlap="1">
                <wp:simplePos x="0" y="0"/>
                <wp:positionH relativeFrom="column">
                  <wp:posOffset>2968625</wp:posOffset>
                </wp:positionH>
                <wp:positionV relativeFrom="paragraph">
                  <wp:posOffset>3210560</wp:posOffset>
                </wp:positionV>
                <wp:extent cx="1239520" cy="387350"/>
                <wp:effectExtent l="601345" t="6350" r="18415" b="17780"/>
                <wp:wrapNone/>
                <wp:docPr id="3150" name="对话气泡: 椭圆形 3150"/>
                <wp:cNvGraphicFramePr/>
                <a:graphic xmlns:a="http://schemas.openxmlformats.org/drawingml/2006/main">
                  <a:graphicData uri="http://schemas.microsoft.com/office/word/2010/wordprocessingShape">
                    <wps:wsp>
                      <wps:cNvSpPr/>
                      <wps:spPr>
                        <a:xfrm>
                          <a:off x="0" y="0"/>
                          <a:ext cx="1239520" cy="387350"/>
                        </a:xfrm>
                        <a:prstGeom prst="wedgeEllipseCallout">
                          <a:avLst>
                            <a:gd name="adj1" fmla="val -94415"/>
                            <a:gd name="adj2" fmla="val -1475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3150" o:spid="_x0000_s1026" o:spt="63" type="#_x0000_t63" style="position:absolute;left:0pt;margin-left:233.75pt;margin-top:252.8pt;height:30.5pt;width:97.6pt;z-index:251660288;v-text-anchor:middle;mso-width-relative:page;mso-height-relative:page;" filled="f" stroked="t" coordsize="21600,21600" o:gfxdata="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gh0LD9YAAAALAQAADwAAAAAAAAABACAA&#10;AAAiAAAAZHJzL2Rvd25yZXYueG1sUEsBAhQAFAAAAAgAh07iQHFDxbu6AgAATwUAAA4AAAAAAAAA&#10;AQAgAAAAJQEAAGRycy9lMm9Eb2MueG1sUEsFBgAAAAAGAAYAWQEAAFEGAAAAAA==&#10;" adj="-9594,7613">
                <v:fill on="f" focussize="0,0"/>
                <v:stroke weight="1pt" color="#000000 [3213]" miterlimit="8" joinstyle="miter"/>
                <v:imagedata o:title=""/>
                <o:lock v:ext="edit" aspectratio="f"/>
                <v:textbox>
                  <w:txbxContent>
                    <w:p>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v:textbox>
              </v:shape>
            </w:pict>
          </mc:Fallback>
        </mc:AlternateContent>
      </w:r>
      <w:r>
        <w:rPr>
          <w:rFonts w:hint="eastAsia"/>
          <w:color w:val="auto"/>
          <w:lang w:val="en-US" w:eastAsia="zh-CN"/>
        </w:rPr>
        <w:drawing>
          <wp:inline distT="0" distB="0" distL="114300" distR="114300">
            <wp:extent cx="8425180" cy="4662805"/>
            <wp:effectExtent l="0" t="0" r="13970" b="4445"/>
            <wp:docPr id="102" name="图片 8" descr="8 七台河市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descr="8 七台河市环境管控单元图"/>
                    <pic:cNvPicPr>
                      <a:picLocks noChangeAspect="1"/>
                    </pic:cNvPicPr>
                  </pic:nvPicPr>
                  <pic:blipFill>
                    <a:blip r:embed="rId45"/>
                    <a:stretch>
                      <a:fillRect/>
                    </a:stretch>
                  </pic:blipFill>
                  <pic:spPr>
                    <a:xfrm>
                      <a:off x="0" y="0"/>
                      <a:ext cx="8425180" cy="4662805"/>
                    </a:xfrm>
                    <a:prstGeom prst="rect">
                      <a:avLst/>
                    </a:prstGeom>
                    <a:noFill/>
                    <a:ln>
                      <a:noFill/>
                    </a:ln>
                  </pic:spPr>
                </pic:pic>
              </a:graphicData>
            </a:graphic>
          </wp:inline>
        </w:drawing>
      </w:r>
    </w:p>
    <w:p>
      <w:pPr>
        <w:pStyle w:val="60"/>
        <w:rPr>
          <w:color w:val="auto"/>
        </w:rPr>
      </w:pPr>
      <w:bookmarkStart w:id="26" w:name="_Toc11955"/>
      <w:r>
        <w:rPr>
          <w:color w:val="auto"/>
        </w:rPr>
        <w:t>附图</w:t>
      </w:r>
      <w:r>
        <w:rPr>
          <w:rFonts w:hint="eastAsia"/>
          <w:color w:val="auto"/>
          <w:lang w:val="en-US" w:eastAsia="zh-CN"/>
        </w:rPr>
        <w:t>3</w:t>
      </w:r>
      <w:r>
        <w:rPr>
          <w:color w:val="auto"/>
        </w:rPr>
        <w:t>：现场照片</w:t>
      </w:r>
      <w:bookmarkEnd w:id="26"/>
    </w:p>
    <w:tbl>
      <w:tblPr>
        <w:tblStyle w:val="21"/>
        <w:tblW w:w="0" w:type="auto"/>
        <w:tblInd w:w="112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86"/>
        <w:gridCol w:w="56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0" w:hRule="atLeast"/>
        </w:trPr>
        <w:tc>
          <w:tcPr>
            <w:tcW w:w="5664" w:type="dxa"/>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3453130" cy="2256155"/>
                  <wp:effectExtent l="0" t="0" r="13970" b="10795"/>
                  <wp:docPr id="38" name="图片 38" descr="a41ba2cbe5076cc05b6bc85059cde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a41ba2cbe5076cc05b6bc85059cde6e"/>
                          <pic:cNvPicPr>
                            <a:picLocks noChangeAspect="1"/>
                          </pic:cNvPicPr>
                        </pic:nvPicPr>
                        <pic:blipFill>
                          <a:blip r:embed="rId46"/>
                          <a:stretch>
                            <a:fillRect/>
                          </a:stretch>
                        </pic:blipFill>
                        <pic:spPr>
                          <a:xfrm>
                            <a:off x="0" y="0"/>
                            <a:ext cx="3453130" cy="2256155"/>
                          </a:xfrm>
                          <a:prstGeom prst="rect">
                            <a:avLst/>
                          </a:prstGeom>
                        </pic:spPr>
                      </pic:pic>
                    </a:graphicData>
                  </a:graphic>
                </wp:inline>
              </w:drawing>
            </w:r>
          </w:p>
        </w:tc>
        <w:tc>
          <w:tcPr>
            <w:tcW w:w="5676" w:type="dxa"/>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3462655" cy="2237105"/>
                  <wp:effectExtent l="0" t="0" r="4445" b="10795"/>
                  <wp:docPr id="46" name="图片 46" descr="9f4aa1cb7c34346678ff3828592fc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f4aa1cb7c34346678ff3828592fc7c"/>
                          <pic:cNvPicPr>
                            <a:picLocks noChangeAspect="1"/>
                          </pic:cNvPicPr>
                        </pic:nvPicPr>
                        <pic:blipFill>
                          <a:blip r:embed="rId47"/>
                          <a:stretch>
                            <a:fillRect/>
                          </a:stretch>
                        </pic:blipFill>
                        <pic:spPr>
                          <a:xfrm>
                            <a:off x="0" y="0"/>
                            <a:ext cx="3462655" cy="223710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64" w:type="dxa"/>
            <w:vAlign w:val="center"/>
          </w:tcPr>
          <w:p>
            <w:pPr>
              <w:jc w:val="center"/>
              <w:rPr>
                <w:rFonts w:hint="eastAsia" w:eastAsia="宋体"/>
                <w:color w:val="auto"/>
                <w:lang w:val="en-US" w:eastAsia="zh-CN"/>
              </w:rPr>
            </w:pPr>
            <w:r>
              <w:rPr>
                <w:bCs/>
                <w:color w:val="auto"/>
              </w:rPr>
              <w:t>厂界东侧为</w:t>
            </w:r>
            <w:r>
              <w:rPr>
                <w:rFonts w:hint="eastAsia"/>
                <w:bCs/>
                <w:color w:val="auto"/>
                <w:lang w:val="en-US" w:eastAsia="zh-CN"/>
              </w:rPr>
              <w:t>仓库</w:t>
            </w:r>
          </w:p>
        </w:tc>
        <w:tc>
          <w:tcPr>
            <w:tcW w:w="5676" w:type="dxa"/>
            <w:vAlign w:val="center"/>
          </w:tcPr>
          <w:p>
            <w:pPr>
              <w:jc w:val="center"/>
              <w:rPr>
                <w:rFonts w:hint="eastAsia" w:eastAsia="宋体"/>
                <w:color w:val="auto"/>
                <w:lang w:val="en-US" w:eastAsia="zh-CN"/>
              </w:rPr>
            </w:pPr>
            <w:r>
              <w:rPr>
                <w:bCs/>
                <w:color w:val="auto"/>
              </w:rPr>
              <w:t>厂界南侧为</w:t>
            </w:r>
            <w:r>
              <w:rPr>
                <w:rFonts w:hint="eastAsia"/>
                <w:bCs/>
                <w:color w:val="auto"/>
                <w:lang w:val="en-US" w:eastAsia="zh-CN"/>
              </w:rPr>
              <w:t>小路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2" w:hRule="atLeast"/>
        </w:trPr>
        <w:tc>
          <w:tcPr>
            <w:tcW w:w="5664" w:type="dxa"/>
            <w:vAlign w:val="center"/>
          </w:tcPr>
          <w:p>
            <w:pPr>
              <w:jc w:val="center"/>
              <w:rPr>
                <w:rFonts w:hint="eastAsia" w:eastAsia="宋体"/>
                <w:color w:val="auto"/>
                <w:lang w:eastAsia="zh-CN"/>
              </w:rPr>
            </w:pPr>
            <w:r>
              <w:rPr>
                <w:color w:val="auto"/>
              </w:rPr>
              <w:drawing>
                <wp:inline distT="0" distB="0" distL="114300" distR="114300">
                  <wp:extent cx="3789680" cy="2110740"/>
                  <wp:effectExtent l="0" t="0" r="1270" b="381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8"/>
                          <a:stretch>
                            <a:fillRect/>
                          </a:stretch>
                        </pic:blipFill>
                        <pic:spPr>
                          <a:xfrm>
                            <a:off x="0" y="0"/>
                            <a:ext cx="3789680" cy="2110740"/>
                          </a:xfrm>
                          <a:prstGeom prst="rect">
                            <a:avLst/>
                          </a:prstGeom>
                          <a:noFill/>
                          <a:ln>
                            <a:noFill/>
                          </a:ln>
                        </pic:spPr>
                      </pic:pic>
                    </a:graphicData>
                  </a:graphic>
                </wp:inline>
              </w:drawing>
            </w:r>
          </w:p>
        </w:tc>
        <w:tc>
          <w:tcPr>
            <w:tcW w:w="5676" w:type="dxa"/>
            <w:vAlign w:val="center"/>
          </w:tcPr>
          <w:p>
            <w:pPr>
              <w:jc w:val="center"/>
              <w:rPr>
                <w:rFonts w:hint="eastAsia" w:eastAsia="宋体"/>
                <w:color w:val="auto"/>
                <w:lang w:eastAsia="zh-CN"/>
              </w:rPr>
            </w:pPr>
            <w:r>
              <w:rPr>
                <w:color w:val="auto"/>
              </w:rPr>
              <w:drawing>
                <wp:inline distT="0" distB="0" distL="114300" distR="114300">
                  <wp:extent cx="3417570" cy="2169160"/>
                  <wp:effectExtent l="0" t="0" r="11430" b="2540"/>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9"/>
                          <a:stretch>
                            <a:fillRect/>
                          </a:stretch>
                        </pic:blipFill>
                        <pic:spPr>
                          <a:xfrm>
                            <a:off x="0" y="0"/>
                            <a:ext cx="3417570" cy="2169160"/>
                          </a:xfrm>
                          <a:prstGeom prst="rect">
                            <a:avLst/>
                          </a:prstGeom>
                          <a:noFill/>
                          <a:ln>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664" w:type="dxa"/>
            <w:vAlign w:val="center"/>
          </w:tcPr>
          <w:p>
            <w:pPr>
              <w:jc w:val="center"/>
              <w:rPr>
                <w:color w:val="auto"/>
              </w:rPr>
            </w:pPr>
            <w:r>
              <w:rPr>
                <w:color w:val="auto"/>
              </w:rPr>
              <w:t>厂区西侧为</w:t>
            </w:r>
            <w:r>
              <w:rPr>
                <w:rFonts w:hint="eastAsia"/>
                <w:color w:val="auto"/>
                <w:lang w:val="en-US" w:eastAsia="zh-CN"/>
              </w:rPr>
              <w:t>南大直路</w:t>
            </w:r>
          </w:p>
        </w:tc>
        <w:tc>
          <w:tcPr>
            <w:tcW w:w="5676" w:type="dxa"/>
            <w:vAlign w:val="center"/>
          </w:tcPr>
          <w:p>
            <w:pPr>
              <w:jc w:val="center"/>
              <w:rPr>
                <w:rFonts w:hint="default"/>
                <w:color w:val="auto"/>
                <w:lang w:val="en-US"/>
              </w:rPr>
            </w:pPr>
            <w:r>
              <w:rPr>
                <w:bCs/>
                <w:color w:val="auto"/>
              </w:rPr>
              <w:t>厂区北侧</w:t>
            </w:r>
            <w:r>
              <w:rPr>
                <w:rFonts w:hint="eastAsia"/>
                <w:color w:val="auto"/>
                <w:lang w:val="en-US" w:eastAsia="zh-CN"/>
              </w:rPr>
              <w:t>为仓库</w:t>
            </w:r>
          </w:p>
        </w:tc>
      </w:tr>
    </w:tbl>
    <w:p>
      <w:pPr>
        <w:jc w:val="center"/>
        <w:rPr>
          <w:color w:val="auto"/>
        </w:rPr>
        <w:sectPr>
          <w:pgSz w:w="16838" w:h="11906" w:orient="landscape"/>
          <w:pgMar w:top="1701" w:right="1531" w:bottom="1701" w:left="1531" w:header="851" w:footer="851" w:gutter="0"/>
          <w:cols w:space="720" w:num="1"/>
          <w:docGrid w:linePitch="312" w:charSpace="0"/>
        </w:sectPr>
      </w:pPr>
    </w:p>
    <w:p>
      <w:pPr>
        <w:pStyle w:val="60"/>
        <w:rPr>
          <w:color w:val="auto"/>
        </w:rPr>
      </w:pPr>
      <w:bookmarkStart w:id="27" w:name="_Toc23463"/>
      <w:r>
        <w:rPr>
          <w:color w:val="auto"/>
        </w:rPr>
        <w:t>附图</w:t>
      </w:r>
      <w:r>
        <w:rPr>
          <w:rFonts w:hint="eastAsia"/>
          <w:color w:val="auto"/>
          <w:lang w:val="en-US" w:eastAsia="zh-CN"/>
        </w:rPr>
        <w:t>4</w:t>
      </w:r>
      <w:r>
        <w:rPr>
          <w:color w:val="auto"/>
        </w:rPr>
        <w:t>：平面布置图</w:t>
      </w:r>
      <w:bookmarkEnd w:id="27"/>
    </w:p>
    <w:p>
      <w:pPr>
        <w:pStyle w:val="54"/>
        <w:adjustRightInd w:val="0"/>
        <w:snapToGrid w:val="0"/>
        <w:spacing w:line="240" w:lineRule="auto"/>
        <w:ind w:firstLine="0" w:firstLineChars="0"/>
        <w:jc w:val="center"/>
        <w:rPr>
          <w:rFonts w:hint="eastAsia" w:eastAsia="宋体"/>
          <w:snapToGrid w:val="0"/>
          <w:color w:val="auto"/>
          <w:lang w:eastAsia="zh-CN"/>
        </w:rPr>
      </w:pP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586105</wp:posOffset>
                </wp:positionH>
                <wp:positionV relativeFrom="paragraph">
                  <wp:posOffset>4511675</wp:posOffset>
                </wp:positionV>
                <wp:extent cx="698500" cy="0"/>
                <wp:effectExtent l="0" t="6350" r="0" b="6350"/>
                <wp:wrapNone/>
                <wp:docPr id="27" name="直接连接符 27"/>
                <wp:cNvGraphicFramePr/>
                <a:graphic xmlns:a="http://schemas.openxmlformats.org/drawingml/2006/main">
                  <a:graphicData uri="http://schemas.microsoft.com/office/word/2010/wordprocessingShape">
                    <wps:wsp>
                      <wps:cNvCnPr/>
                      <wps:spPr>
                        <a:xfrm>
                          <a:off x="1558290" y="5887720"/>
                          <a:ext cx="69850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6.15pt;margin-top:355.25pt;height:0pt;width:55pt;z-index:251670528;mso-width-relative:page;mso-height-relative:page;" filled="f" stroked="t" coordsize="21600,21600" o:gfxdata="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7MbpDYAAAACgEAAA8AAAAAAAAAAQAgAAAAIgAAAGRycy9kb3ducmV2LnhtbFBLAQIUABQA&#10;AAAIAIdO4kBHzZsO8AEAAL8DAAAOAAAAAAAAAAEAIAAAACcBAABkcnMvZTJvRG9jLnhtbFBLBQYA&#10;AAAABgAGAFkBAACJBQAAAAA=&#10;">
                <v:fill on="f" focussize="0,0"/>
                <v:stroke weight="1pt" color="#000000 [3213]" miterlimit="8" joinstyle="miter"/>
                <v:imagedata o:title=""/>
                <o:lock v:ext="edit" aspectratio="f"/>
              </v:line>
            </w:pict>
          </mc:Fallback>
        </mc:AlternateContent>
      </w:r>
      <w:r>
        <w:rPr>
          <w:color w:val="auto"/>
          <w:sz w:val="24"/>
        </w:rPr>
        <mc:AlternateContent>
          <mc:Choice Requires="wpc">
            <w:drawing>
              <wp:inline distT="0" distB="0" distL="114300" distR="114300">
                <wp:extent cx="8460740" cy="4774565"/>
                <wp:effectExtent l="4445" t="5080" r="12065" b="20955"/>
                <wp:docPr id="36" name="画布 36"/>
                <wp:cNvGraphicFramePr/>
                <a:graphic xmlns:a="http://schemas.openxmlformats.org/drawingml/2006/main">
                  <a:graphicData uri="http://schemas.microsoft.com/office/word/2010/wordprocessingCanvas">
                    <wpc:wpc>
                      <wpc:bg/>
                      <wpc:whole>
                        <a:ln>
                          <a:solidFill>
                            <a:schemeClr val="tx1"/>
                          </a:solidFill>
                        </a:ln>
                      </wpc:whole>
                      <wps:wsp>
                        <wps:cNvPr id="37" name="直接连接符 37"/>
                        <wps:cNvCnPr/>
                        <wps:spPr>
                          <a:xfrm>
                            <a:off x="1577975" y="2753360"/>
                            <a:ext cx="5659120" cy="9048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9" name="直接连接符 39"/>
                        <wps:cNvCnPr/>
                        <wps:spPr>
                          <a:xfrm flipH="1">
                            <a:off x="7245350" y="2467610"/>
                            <a:ext cx="86995" cy="12065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0" name="直接连接符 40"/>
                        <wps:cNvCnPr/>
                        <wps:spPr>
                          <a:xfrm flipH="1">
                            <a:off x="1585595" y="1435735"/>
                            <a:ext cx="111125" cy="132588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2" name="直接连接符 42"/>
                        <wps:cNvCnPr/>
                        <wps:spPr>
                          <a:xfrm>
                            <a:off x="3792220" y="2190115"/>
                            <a:ext cx="3531235" cy="27559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3" name="直接连接符 43"/>
                        <wps:cNvCnPr/>
                        <wps:spPr>
                          <a:xfrm>
                            <a:off x="3689350" y="1657985"/>
                            <a:ext cx="95250" cy="53213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4" name="直接连接符 44"/>
                        <wps:cNvCnPr/>
                        <wps:spPr>
                          <a:xfrm>
                            <a:off x="1689100" y="1435735"/>
                            <a:ext cx="1991995" cy="21463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5" name="文本框 45"/>
                        <wps:cNvSpPr txBox="1"/>
                        <wps:spPr>
                          <a:xfrm rot="420000">
                            <a:off x="1800225" y="1546860"/>
                            <a:ext cx="841375" cy="484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拆解车间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文本框 9"/>
                        <wps:cNvSpPr txBox="1"/>
                        <wps:spPr>
                          <a:xfrm rot="420000">
                            <a:off x="2785110" y="1632585"/>
                            <a:ext cx="340360" cy="484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1"/>
                                  <w:szCs w:val="11"/>
                                  <w:lang w:val="en-US" w:eastAsia="zh-CN"/>
                                </w:rPr>
                              </w:pPr>
                              <w:r>
                                <w:rPr>
                                  <w:rFonts w:hint="eastAsia"/>
                                  <w:sz w:val="11"/>
                                  <w:szCs w:val="11"/>
                                  <w:lang w:val="en-US" w:eastAsia="zh-CN"/>
                                </w:rPr>
                                <w:t>危废贮存库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rot="420000">
                            <a:off x="3132455" y="1671955"/>
                            <a:ext cx="340360" cy="484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1"/>
                                  <w:szCs w:val="11"/>
                                  <w:lang w:val="en-US" w:eastAsia="zh-CN"/>
                                </w:rPr>
                              </w:pPr>
                              <w:r>
                                <w:rPr>
                                  <w:rFonts w:hint="eastAsia"/>
                                  <w:sz w:val="11"/>
                                  <w:szCs w:val="11"/>
                                  <w:lang w:val="en-US" w:eastAsia="zh-CN"/>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 name="文本框 25"/>
                        <wps:cNvSpPr txBox="1"/>
                        <wps:spPr>
                          <a:xfrm rot="420000">
                            <a:off x="3884295" y="2507615"/>
                            <a:ext cx="1527175" cy="4845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待拆车辆贮存场地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直接连接符 28"/>
                        <wps:cNvCnPr/>
                        <wps:spPr>
                          <a:xfrm>
                            <a:off x="458470" y="4408170"/>
                            <a:ext cx="3810" cy="901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9" name="直接连接符 29"/>
                        <wps:cNvCnPr/>
                        <wps:spPr>
                          <a:xfrm>
                            <a:off x="1140460" y="4410710"/>
                            <a:ext cx="3810" cy="901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30" name="文本框 30"/>
                        <wps:cNvSpPr txBox="1"/>
                        <wps:spPr>
                          <a:xfrm>
                            <a:off x="473710" y="4110355"/>
                            <a:ext cx="614045" cy="377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lang w:val="en-US" w:eastAsia="zh-CN"/>
                                </w:rPr>
                                <w:t>1：600</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8" name="图片 5" descr="1668668826886"/>
                          <pic:cNvPicPr>
                            <a:picLocks noChangeAspect="1"/>
                          </pic:cNvPicPr>
                        </pic:nvPicPr>
                        <pic:blipFill>
                          <a:blip r:embed="rId43"/>
                          <a:stretch>
                            <a:fillRect/>
                          </a:stretch>
                        </pic:blipFill>
                        <pic:spPr>
                          <a:xfrm>
                            <a:off x="7479665" y="0"/>
                            <a:ext cx="981075" cy="915670"/>
                          </a:xfrm>
                          <a:prstGeom prst="rect">
                            <a:avLst/>
                          </a:prstGeom>
                          <a:noFill/>
                          <a:ln>
                            <a:noFill/>
                          </a:ln>
                        </pic:spPr>
                      </pic:pic>
                      <wps:wsp>
                        <wps:cNvPr id="19" name="文本框 19"/>
                        <wps:cNvSpPr txBox="1"/>
                        <wps:spPr>
                          <a:xfrm rot="420000">
                            <a:off x="1686560" y="2545715"/>
                            <a:ext cx="553085" cy="2178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1"/>
                                  <w:szCs w:val="11"/>
                                  <w:lang w:val="en-US" w:eastAsia="zh-CN"/>
                                </w:rPr>
                              </w:pPr>
                              <w:r>
                                <w:rPr>
                                  <w:rFonts w:hint="eastAsia"/>
                                  <w:sz w:val="11"/>
                                  <w:szCs w:val="11"/>
                                  <w:lang w:val="en-US" w:eastAsia="zh-CN"/>
                                </w:rPr>
                                <w:t>初期雨水池</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75.95pt;width:666.2pt;" coordsize="8460740,4774565" editas="canvas" o:gfxdata="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">
                <o:lock v:ext="edit" aspectratio="f"/>
                <v:shape id="_x0000_s1026" o:spid="_x0000_s1026" style="position:absolute;left:0;top:0;height:4774565;width:8460740;" filled="f" stroked="t" coordsize="21600,21600" o:gfxdata="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">
                  <v:fill on="f" focussize="0,0"/>
                  <v:stroke color="#000000 [3213]" joinstyle="round"/>
                  <v:imagedata o:title=""/>
                  <o:lock v:ext="edit" aspectratio="f"/>
                </v:shape>
                <v:line id="_x0000_s1026" o:spid="_x0000_s1026" o:spt="20" style="position:absolute;left:1577975;top:2753360;height:904875;width:5659120;"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xMWNcAAAAGAQAADwAAAAAAAAABACAAAAAiAAAAZHJzL2Rvd25yZXYueG1sUEsB&#10;AhQAFAAAAAgAh07iQNIyqSz2AQAAxQMAAA4AAAAAAAAAAQAgAAAAJgEAAGRycy9lMm9Eb2MueG1s&#10;UEsFBgAAAAAGAAYAWQEAAI4FAAAAAA==&#10;">
                  <v:fill on="f" focussize="0,0"/>
                  <v:stroke weight="1pt" color="#000000 [3213]" miterlimit="8" joinstyle="miter"/>
                  <v:imagedata o:title=""/>
                  <o:lock v:ext="edit" aspectratio="f"/>
                </v:line>
                <v:line id="_x0000_s1026" o:spid="_x0000_s1026" o:spt="20" style="position:absolute;left:7245350;top:2467610;flip:x;height:1206500;width:86995;" filled="f" stroked="t" coordsize="21600,21600" o:gfxdata="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PyYF9UAAAAGAQAADwAAAAAAAAABACAAAAAiAAAAZHJzL2Rvd25yZXYu&#10;eG1sUEsBAhQAFAAAAAgAh07iQIL8s8L+AQAAzgMAAA4AAAAAAAAAAQAgAAAAJAEAAGRycy9lMm9E&#10;b2MueG1sUEsFBgAAAAAGAAYAWQEAAJQFAAAAAA==&#10;">
                  <v:fill on="f" focussize="0,0"/>
                  <v:stroke weight="1pt" color="#000000 [3213]" miterlimit="8" joinstyle="miter"/>
                  <v:imagedata o:title=""/>
                  <o:lock v:ext="edit" aspectratio="f"/>
                </v:line>
                <v:line id="_x0000_s1026" o:spid="_x0000_s1026" o:spt="20" style="position:absolute;left:1585595;top:1435735;flip:x;height:1325880;width:111125;" filled="f" stroked="t" coordsize="21600,21600" o:gfxdata="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PyYF9UAAAAGAQAADwAAAAAAAAABACAAAAAiAAAAZHJzL2Rvd25yZXYueG1s&#10;UEsBAhQAFAAAAAgAh07iQL5IiAP7AQAAzwMAAA4AAAAAAAAAAQAgAAAAJAEAAGRycy9lMm9Eb2Mu&#10;eG1sUEsFBgAAAAAGAAYAWQEAAJEFAAAAAA==&#10;">
                  <v:fill on="f" focussize="0,0"/>
                  <v:stroke weight="1pt" color="#000000 [3213]" miterlimit="8" joinstyle="miter"/>
                  <v:imagedata o:title=""/>
                  <o:lock v:ext="edit" aspectratio="f"/>
                </v:line>
                <v:line id="_x0000_s1026" o:spid="_x0000_s1026" o:spt="20" style="position:absolute;left:3792220;top:2190115;height:275590;width:3531235;"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z/ExY1wAAAAYBAAAPAAAAAAAAAAEAIAAAACIAAABkcnMvZG93bnJldi54bWxQ&#10;SwECFAAUAAAACACHTuJAJtPy8PgBAADFAwAADgAAAAAAAAABACAAAAAmAQAAZHJzL2Uyb0RvYy54&#10;bWxQSwUGAAAAAAYABgBZAQAAkAUAAAAA&#10;">
                  <v:fill on="f" focussize="0,0"/>
                  <v:stroke weight="1pt" color="#000000 [3213]" miterlimit="8" joinstyle="miter"/>
                  <v:imagedata o:title=""/>
                  <o:lock v:ext="edit" aspectratio="f"/>
                </v:line>
                <v:line id="_x0000_s1026" o:spid="_x0000_s1026" o:spt="20" style="position:absolute;left:3689350;top:1657985;height:532130;width:95250;"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z/ExY1wAAAAYBAAAPAAAAAAAAAAEAIAAAACIAAABkcnMvZG93bnJldi54bWxQSwEC&#10;FAAUAAAACACHTuJACgCcYvUBAADDAwAADgAAAAAAAAABACAAAAAmAQAAZHJzL2Uyb0RvYy54bWxQ&#10;SwUGAAAAAAYABgBZAQAAjQUAAAAA&#10;">
                  <v:fill on="f" focussize="0,0"/>
                  <v:stroke weight="1pt" color="#000000 [3213]" miterlimit="8" joinstyle="miter"/>
                  <v:imagedata o:title=""/>
                  <o:lock v:ext="edit" aspectratio="f"/>
                </v:line>
                <v:line id="_x0000_s1026" o:spid="_x0000_s1026" o:spt="20" style="position:absolute;left:1689100;top:1435735;height:214630;width:1991995;"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xMWNcAAAAGAQAADwAAAAAAAAABACAAAAAiAAAAZHJzL2Rvd25yZXYueG1sUEsB&#10;AhQAFAAAAAgAh07iQDL2XS72AQAAxQMAAA4AAAAAAAAAAQAgAAAAJgEAAGRycy9lMm9Eb2MueG1s&#10;UEsFBgAAAAAGAAYAWQEAAI4FAAAAAA==&#10;">
                  <v:fill on="f" focussize="0,0"/>
                  <v:stroke weight="1pt" color="#000000 [3213]" miterlimit="8" joinstyle="miter"/>
                  <v:imagedata o:title=""/>
                  <o:lock v:ext="edit" aspectratio="f"/>
                </v:line>
                <v:shape id="_x0000_s1026" o:spid="_x0000_s1026" o:spt="202" type="#_x0000_t202" style="position:absolute;left:1800225;top:1546860;height:484505;width:841375;rotation:458752f;" fillcolor="#FFFFFF [3201]" filled="t" stroked="t" coordsize="21600,21600" o:gfxdata="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B/LwtMAAAAGAQAADwAAAAAAAAABACAAAAAiAAAAZHJzL2Rvd25yZXYueG1sUEsB&#10;AhQAFAAAAAgAh07iQMcsq0VsAgAA0QQAAA4AAAAAAAAAAQAgAAAAIgEAAGRycy9lMm9Eb2MueG1s&#10;UEsFBgAAAAAGAAYAWQEAAAAG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拆解车间</w:t>
                        </w:r>
                      </w:p>
                    </w:txbxContent>
                  </v:textbox>
                </v:shape>
                <v:shape id="_x0000_s1026" o:spid="_x0000_s1026" o:spt="202" type="#_x0000_t202" style="position:absolute;left:2785110;top:1632585;height:484505;width:340360;rotation:458752f;" fillcolor="#FFFFFF [3201]" filled="t" stroked="t" coordsize="21600,21600" o:gfxdata="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Afy8LTAAAABgEAAA8AAAAAAAAAAQAgAAAAIgAAAGRycy9kb3ducmV2LnhtbFBL&#10;AQIUABQAAAAIAIdO4kCaTM5CbQIAAM8EAAAOAAAAAAAAAAEAIAAAACIBAABkcnMvZTJvRG9jLnht&#10;bFBLBQYAAAAABgAGAFkBAAABBgAAAAA=&#10;">
                  <v:fill on="t" focussize="0,0"/>
                  <v:stroke weight="0.5pt" color="#000000 [3204]" joinstyle="round"/>
                  <v:imagedata o:title=""/>
                  <o:lock v:ext="edit" aspectratio="f"/>
                  <v:textbox>
                    <w:txbxContent>
                      <w:p>
                        <w:pPr>
                          <w:rPr>
                            <w:rFonts w:hint="default" w:eastAsia="宋体"/>
                            <w:sz w:val="11"/>
                            <w:szCs w:val="11"/>
                            <w:lang w:val="en-US" w:eastAsia="zh-CN"/>
                          </w:rPr>
                        </w:pPr>
                        <w:r>
                          <w:rPr>
                            <w:rFonts w:hint="eastAsia"/>
                            <w:sz w:val="11"/>
                            <w:szCs w:val="11"/>
                            <w:lang w:val="en-US" w:eastAsia="zh-CN"/>
                          </w:rPr>
                          <w:t>危废贮存库</w:t>
                        </w:r>
                      </w:p>
                    </w:txbxContent>
                  </v:textbox>
                </v:shape>
                <v:shape id="_x0000_s1026" o:spid="_x0000_s1026" o:spt="202" type="#_x0000_t202" style="position:absolute;left:3132455;top:1671955;height:484505;width:340360;rotation:458752f;" fillcolor="#FFFFFF [3201]" filled="t" stroked="t" coordsize="21600,21600" o:gfxdata="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B/LwtMAAAAGAQAADwAAAAAAAAABACAAAAAiAAAAZHJzL2Rvd25yZXYueG1sUEsB&#10;AhQAFAAAAAgAh07iQHCld6FsAgAA0QQAAA4AAAAAAAAAAQAgAAAAIgEAAGRycy9lMm9Eb2MueG1s&#10;UEsFBgAAAAAGAAYAWQEAAAAGAAAAAA==&#10;">
                  <v:fill on="t" focussize="0,0"/>
                  <v:stroke weight="0.5pt" color="#000000 [3204]" joinstyle="round"/>
                  <v:imagedata o:title=""/>
                  <o:lock v:ext="edit" aspectratio="f"/>
                  <v:textbox>
                    <w:txbxContent>
                      <w:p>
                        <w:pPr>
                          <w:rPr>
                            <w:rFonts w:hint="default" w:eastAsia="宋体"/>
                            <w:sz w:val="11"/>
                            <w:szCs w:val="11"/>
                            <w:lang w:val="en-US" w:eastAsia="zh-CN"/>
                          </w:rPr>
                        </w:pPr>
                        <w:r>
                          <w:rPr>
                            <w:rFonts w:hint="eastAsia"/>
                            <w:sz w:val="11"/>
                            <w:szCs w:val="11"/>
                            <w:lang w:val="en-US" w:eastAsia="zh-CN"/>
                          </w:rPr>
                          <w:t>成品库</w:t>
                        </w:r>
                      </w:p>
                    </w:txbxContent>
                  </v:textbox>
                </v:shape>
                <v:shape id="_x0000_s1026" o:spid="_x0000_s1026" o:spt="202" type="#_x0000_t202" style="position:absolute;left:3884295;top:2507615;height:484505;width:1527175;rotation:458752f;" fillcolor="#FFFFFF [3201]" filled="t" stroked="f" coordsize="21600,21600" o:gfxdata="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oPFTr2QAAAAYBAAAPAAAAAAAAAAEAIAAAACIAAABkcnMvZG93bnJldi54bWxQSwEC&#10;FAAUAAAACACHTuJAl43722UCAACqBAAADgAAAAAAAAABACAAAAAoAQAAZHJzL2Uyb0RvYy54bWxQ&#10;SwUGAAAAAAYABgBZAQAA/wUAAAAA&#10;">
                  <v:fill on="t" focussize="0,0"/>
                  <v:stroke on="f" weight="0.5pt"/>
                  <v:imagedata o:title=""/>
                  <o:lock v:ext="edit" aspectratio="f"/>
                  <v:textbox>
                    <w:txbxContent>
                      <w:p>
                        <w:pPr>
                          <w:rPr>
                            <w:rFonts w:hint="eastAsia"/>
                            <w:lang w:val="en-US" w:eastAsia="zh-CN"/>
                          </w:rPr>
                        </w:pPr>
                        <w:r>
                          <w:rPr>
                            <w:rFonts w:hint="eastAsia"/>
                            <w:lang w:val="en-US" w:eastAsia="zh-CN"/>
                          </w:rPr>
                          <w:t>待拆车辆贮存场地</w:t>
                        </w:r>
                      </w:p>
                    </w:txbxContent>
                  </v:textbox>
                </v:shape>
                <v:line id="_x0000_s1026" o:spid="_x0000_s1026" o:spt="20" style="position:absolute;left:458470;top:4408170;height:90170;width:3810;"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P8TFjXAAAABgEAAA8AAAAAAAAAAQAgAAAAIgAAAGRycy9kb3ducmV2LnhtbFBLAQIUABQAAAAI&#10;AIdO4kCDXLVT7gEAAMADAAAOAAAAAAAAAAEAIAAAACYBAABkcnMvZTJvRG9jLnhtbFBLBQYAAAAA&#10;BgAGAFkBAACGBQAAAAA=&#10;">
                  <v:fill on="f" focussize="0,0"/>
                  <v:stroke weight="1pt" color="#000000 [3213]" miterlimit="8" joinstyle="miter"/>
                  <v:imagedata o:title=""/>
                  <o:lock v:ext="edit" aspectratio="f"/>
                </v:line>
                <v:line id="_x0000_s1026" o:spid="_x0000_s1026" o:spt="20" style="position:absolute;left:1140460;top:4410710;height:90170;width:3810;" filled="f" stroked="t" coordsize="21600,21600" o:gfxdata="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LP8TFjXAAAABgEAAA8AAAAAAAAAAQAgAAAAIgAAAGRycy9kb3ducmV2LnhtbFBLAQIUABQA&#10;AAAIAIdO4kCsj9zY8QEAAMEDAAAOAAAAAAAAAAEAIAAAACYBAABkcnMvZTJvRG9jLnhtbFBLBQYA&#10;AAAABgAGAFkBAACJBQAAAAA=&#10;">
                  <v:fill on="f" focussize="0,0"/>
                  <v:stroke weight="1pt" color="#000000 [3213]" miterlimit="8" joinstyle="miter"/>
                  <v:imagedata o:title=""/>
                  <o:lock v:ext="edit" aspectratio="f"/>
                </v:line>
                <v:shape id="_x0000_s1026" o:spid="_x0000_s1026" o:spt="202" type="#_x0000_t202" style="position:absolute;left:473710;top:4110355;height:377825;width:614045;" fillcolor="#FFFFFF [3201]" filled="t" stroked="f" coordsize="21600,21600" o:gfxdata="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CFoczTAAAA&#10;BgEAAA8AAAAAAAAAAQAgAAAAIgAAAGRycy9kb3ducmV2LnhtbFBLAQIUABQAAAAIAIdO4kAWuaFC&#10;WwIAAJsEAAAOAAAAAAAAAAEAIAAAACIBAABkcnMvZTJvRG9jLnhtbFBLBQYAAAAABgAGAFkBAADv&#10;BQAAAAA=&#10;">
                  <v:fill on="t" focussize="0,0"/>
                  <v:stroke on="f" weight="0.5pt"/>
                  <v:imagedata o:title=""/>
                  <o:lock v:ext="edit" aspectratio="f"/>
                  <v:textbox>
                    <w:txbxContent>
                      <w:p>
                        <w:pPr>
                          <w:rPr>
                            <w:rFonts w:hint="default"/>
                            <w:lang w:val="en-US" w:eastAsia="zh-CN"/>
                          </w:rPr>
                        </w:pPr>
                        <w:r>
                          <w:rPr>
                            <w:rFonts w:hint="eastAsia"/>
                            <w:lang w:val="en-US" w:eastAsia="zh-CN"/>
                          </w:rPr>
                          <w:t>1：600</w:t>
                        </w:r>
                      </w:p>
                    </w:txbxContent>
                  </v:textbox>
                </v:shape>
                <v:shape id="图片 5" o:spid="_x0000_s1026" o:spt="75" alt="1668668826886" type="#_x0000_t75" style="position:absolute;left:7479665;top:0;height:915670;width:981075;" filled="f" o:preferrelative="t" stroked="f" coordsize="21600,21600" o:gfxdata="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">
                  <v:fill on="f" focussize="0,0"/>
                  <v:stroke on="f"/>
                  <v:imagedata r:id="rId43" o:title=""/>
                  <o:lock v:ext="edit" aspectratio="t"/>
                </v:shape>
                <v:shape id="_x0000_s1026" o:spid="_x0000_s1026" o:spt="202" type="#_x0000_t202" style="position:absolute;left:1686560;top:2545715;height:217805;width:553085;rotation:458752f;" fillcolor="#FFFFFF [3201]" filled="t" stroked="t" coordsize="21600,21600" o:gfxdata="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B/LwtMAAAAGAQAADwAAAAAAAAABACAAAAAiAAAAZHJzL2Rvd25yZXYueG1sUEsB&#10;AhQAFAAAAAgAh07iQOu/j+JsAgAA0QQAAA4AAAAAAAAAAQAgAAAAIgEAAGRycy9lMm9Eb2MueG1s&#10;UEsFBgAAAAAGAAYAWQEAAAAGAAAAAA==&#10;">
                  <v:fill on="t" focussize="0,0"/>
                  <v:stroke weight="0.5pt" color="#000000 [3204]" joinstyle="round"/>
                  <v:imagedata o:title=""/>
                  <o:lock v:ext="edit" aspectratio="f"/>
                  <v:textbox>
                    <w:txbxContent>
                      <w:p>
                        <w:pPr>
                          <w:rPr>
                            <w:rFonts w:hint="default" w:eastAsia="宋体"/>
                            <w:sz w:val="11"/>
                            <w:szCs w:val="11"/>
                            <w:lang w:val="en-US" w:eastAsia="zh-CN"/>
                          </w:rPr>
                        </w:pPr>
                        <w:r>
                          <w:rPr>
                            <w:rFonts w:hint="eastAsia"/>
                            <w:sz w:val="11"/>
                            <w:szCs w:val="11"/>
                            <w:lang w:val="en-US" w:eastAsia="zh-CN"/>
                          </w:rPr>
                          <w:t>初期雨水池</w:t>
                        </w:r>
                      </w:p>
                    </w:txbxContent>
                  </v:textbox>
                </v:shape>
                <w10:wrap type="none"/>
                <w10:anchorlock/>
              </v:group>
            </w:pict>
          </mc:Fallback>
        </mc:AlternateContent>
      </w:r>
    </w:p>
    <w:p>
      <w:pPr>
        <w:pStyle w:val="54"/>
        <w:ind w:firstLine="480"/>
        <w:rPr>
          <w:snapToGrid w:val="0"/>
          <w:color w:val="auto"/>
        </w:rPr>
        <w:sectPr>
          <w:pgSz w:w="16838" w:h="11906" w:orient="landscape"/>
          <w:pgMar w:top="1701" w:right="1531" w:bottom="1701" w:left="1531" w:header="851" w:footer="851" w:gutter="0"/>
          <w:cols w:space="720" w:num="1"/>
          <w:docGrid w:linePitch="312" w:charSpace="0"/>
        </w:sectPr>
      </w:pPr>
    </w:p>
    <w:p>
      <w:pPr>
        <w:pStyle w:val="60"/>
        <w:rPr>
          <w:color w:val="auto"/>
        </w:rPr>
      </w:pPr>
      <w:bookmarkStart w:id="28" w:name="_Toc22290"/>
      <w:r>
        <w:rPr>
          <w:color w:val="auto"/>
        </w:rPr>
        <w:t>附图</w:t>
      </w:r>
      <w:r>
        <w:rPr>
          <w:rFonts w:hint="eastAsia"/>
          <w:color w:val="auto"/>
          <w:lang w:val="en-US" w:eastAsia="zh-CN"/>
        </w:rPr>
        <w:t>5</w:t>
      </w:r>
      <w:r>
        <w:rPr>
          <w:color w:val="auto"/>
        </w:rPr>
        <w:t>：环境保护目标分布图</w:t>
      </w:r>
      <w:bookmarkEnd w:id="28"/>
    </w:p>
    <w:p>
      <w:pPr>
        <w:pStyle w:val="60"/>
        <w:adjustRightInd w:val="0"/>
        <w:snapToGrid w:val="0"/>
        <w:spacing w:line="240" w:lineRule="auto"/>
        <w:jc w:val="center"/>
        <w:outlineLvl w:val="9"/>
        <w:rPr>
          <w:color w:val="auto"/>
        </w:rPr>
      </w:pPr>
      <w:bookmarkStart w:id="29" w:name="_Toc16174"/>
      <w:bookmarkStart w:id="30" w:name="_Toc32575"/>
      <w:bookmarkStart w:id="31" w:name="_Toc14809"/>
      <w:bookmarkStart w:id="32" w:name="_Toc28405"/>
      <w:r>
        <w:rPr>
          <w:rFonts w:hint="eastAsia"/>
          <w:color w:val="auto"/>
          <w:sz w:val="24"/>
          <w:szCs w:val="28"/>
          <w:lang w:eastAsia="zh-CN"/>
        </w:rPr>
        <w:drawing>
          <wp:anchor distT="0" distB="0" distL="114300" distR="114300" simplePos="0" relativeHeight="251669504" behindDoc="0" locked="0" layoutInCell="1" allowOverlap="1">
            <wp:simplePos x="0" y="0"/>
            <wp:positionH relativeFrom="column">
              <wp:posOffset>7103110</wp:posOffset>
            </wp:positionH>
            <wp:positionV relativeFrom="paragraph">
              <wp:posOffset>3810</wp:posOffset>
            </wp:positionV>
            <wp:extent cx="981075" cy="915670"/>
            <wp:effectExtent l="0" t="0" r="9525" b="17780"/>
            <wp:wrapNone/>
            <wp:docPr id="8" name="图片 5" descr="166866882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1668668826886"/>
                    <pic:cNvPicPr>
                      <a:picLocks noChangeAspect="1"/>
                    </pic:cNvPicPr>
                  </pic:nvPicPr>
                  <pic:blipFill>
                    <a:blip r:embed="rId43"/>
                    <a:stretch>
                      <a:fillRect/>
                    </a:stretch>
                  </pic:blipFill>
                  <pic:spPr>
                    <a:xfrm>
                      <a:off x="0" y="0"/>
                      <a:ext cx="981075" cy="91567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6579870</wp:posOffset>
                </wp:positionH>
                <wp:positionV relativeFrom="paragraph">
                  <wp:posOffset>4434205</wp:posOffset>
                </wp:positionV>
                <wp:extent cx="233680" cy="138430"/>
                <wp:effectExtent l="6350" t="6350" r="7620" b="7620"/>
                <wp:wrapNone/>
                <wp:docPr id="13" name="矩形 13"/>
                <wp:cNvGraphicFramePr/>
                <a:graphic xmlns:a="http://schemas.openxmlformats.org/drawingml/2006/main">
                  <a:graphicData uri="http://schemas.microsoft.com/office/word/2010/wordprocessingShape">
                    <wps:wsp>
                      <wps:cNvSpPr/>
                      <wps:spPr>
                        <a:xfrm>
                          <a:off x="0" y="0"/>
                          <a:ext cx="233680" cy="1384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1pt;margin-top:349.15pt;height:10.9pt;width:18.4pt;z-index:251665408;v-text-anchor:middle;mso-width-relative:page;mso-height-relative:page;" filled="f" stroked="t" coordsize="21600,21600" o:gfxdata="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m2r4h2AAAAA0BAAAPAAAAAAAAAAEAIAAAACIAAABkcnMvZG93bnJldi54bWxQ&#10;SwECFAAUAAAACACHTuJA48E7G2kCAADMBAAADgAAAAAAAAABACAAAAAnAQAAZHJzL2Uyb0RvYy54&#10;bWxQSwUGAAAAAAYABgBZAQAAAgYAAAAA&#10;">
                <v:fill on="f" focussize="0,0"/>
                <v:stroke weight="1pt" color="#FF0000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6761480</wp:posOffset>
                </wp:positionH>
                <wp:positionV relativeFrom="paragraph">
                  <wp:posOffset>4255135</wp:posOffset>
                </wp:positionV>
                <wp:extent cx="233680" cy="138430"/>
                <wp:effectExtent l="6350" t="6350" r="7620" b="7620"/>
                <wp:wrapNone/>
                <wp:docPr id="12" name="矩形 12"/>
                <wp:cNvGraphicFramePr/>
                <a:graphic xmlns:a="http://schemas.openxmlformats.org/drawingml/2006/main">
                  <a:graphicData uri="http://schemas.microsoft.com/office/word/2010/wordprocessingShape">
                    <wps:wsp>
                      <wps:cNvSpPr/>
                      <wps:spPr>
                        <a:xfrm>
                          <a:off x="7474585" y="5762625"/>
                          <a:ext cx="233680" cy="138430"/>
                        </a:xfrm>
                        <a:prstGeom prst="rect">
                          <a:avLst/>
                        </a:prstGeom>
                        <a:noFill/>
                        <a:ln>
                          <a:solidFill>
                            <a:schemeClr val="accent1">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4pt;margin-top:335.05pt;height:10.9pt;width:18.4pt;z-index:251664384;v-text-anchor:middle;mso-width-relative:page;mso-height-relative:page;" filled="f" stroked="t" coordsize="21600,21600" o:gfxdata="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PhzSF2QAAAA0BAAAP&#10;AAAAAAAAAAEAIAAAACIAAABkcnMvZG93bnJldi54bWxQSwECFAAUAAAACACHTuJAFGL5/YkCAAD6&#10;BAAADgAAAAAAAAABACAAAAAoAQAAZHJzL2Uyb0RvYy54bWxQSwUGAAAAAAYABgBZAQAAIwYAAAAA&#10;">
                <v:fill on="f" focussize="0,0"/>
                <v:stroke weight="1pt" color="#2F5597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6734810</wp:posOffset>
                </wp:positionH>
                <wp:positionV relativeFrom="paragraph">
                  <wp:posOffset>4613275</wp:posOffset>
                </wp:positionV>
                <wp:extent cx="233680" cy="138430"/>
                <wp:effectExtent l="6350" t="6350" r="7620" b="7620"/>
                <wp:wrapNone/>
                <wp:docPr id="16" name="矩形 16"/>
                <wp:cNvGraphicFramePr/>
                <a:graphic xmlns:a="http://schemas.openxmlformats.org/drawingml/2006/main">
                  <a:graphicData uri="http://schemas.microsoft.com/office/word/2010/wordprocessingShape">
                    <wps:wsp>
                      <wps:cNvSpPr/>
                      <wps:spPr>
                        <a:xfrm>
                          <a:off x="0" y="0"/>
                          <a:ext cx="233680" cy="13843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0.3pt;margin-top:363.25pt;height:10.9pt;width:18.4pt;z-index:251666432;v-text-anchor:middle;mso-width-relative:page;mso-height-relative:page;" filled="f" stroked="t" coordsize="21600,21600" o:gfxdata="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1lLt32wAAAA0BAAAPAAAAAAAAAAEAIAAAACIAAABkcnMvZG93bnJl&#10;di54bWxQSwECFAAUAAAACACHTuJAKTvQTmwCAADMBAAADgAAAAAAAAABACAAAAAqAQAAZHJzL2Uy&#10;b0RvYy54bWxQSwUGAAAAAAYABgBZAQAACAYAAAAA&#10;">
                <v:fill on="f" focussize="0,0"/>
                <v:stroke weight="1pt" color="#70AD47 [3209]" miterlimit="8" joinstyle="miter"/>
                <v:imagedata o:title=""/>
                <o:lock v:ext="edit" aspectratio="f"/>
              </v:rect>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6504940</wp:posOffset>
                </wp:positionH>
                <wp:positionV relativeFrom="paragraph">
                  <wp:posOffset>4017010</wp:posOffset>
                </wp:positionV>
                <wp:extent cx="1565910" cy="894715"/>
                <wp:effectExtent l="4445" t="5080" r="10795" b="14605"/>
                <wp:wrapNone/>
                <wp:docPr id="7" name="矩形 7"/>
                <wp:cNvGraphicFramePr/>
                <a:graphic xmlns:a="http://schemas.openxmlformats.org/drawingml/2006/main">
                  <a:graphicData uri="http://schemas.microsoft.com/office/word/2010/wordprocessingShape">
                    <wps:wsp>
                      <wps:cNvSpPr/>
                      <wps:spPr>
                        <a:xfrm>
                          <a:off x="0" y="0"/>
                          <a:ext cx="1565910" cy="894715"/>
                        </a:xfrm>
                        <a:prstGeom prst="rect">
                          <a:avLst/>
                        </a:prstGeom>
                        <a:solidFill>
                          <a:srgbClr val="D9D9D9"/>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lang w:eastAsia="zh-CN"/>
                              </w:rPr>
                            </w:pPr>
                            <w:r>
                              <w:rPr>
                                <w:rFonts w:hint="eastAsia" w:eastAsia="宋体"/>
                                <w:b/>
                                <w:bCs/>
                                <w:lang w:eastAsia="zh-CN"/>
                              </w:rPr>
                              <w:t>图</w:t>
                            </w:r>
                            <w:r>
                              <w:rPr>
                                <w:rFonts w:hint="eastAsia" w:ascii="Times New Roman" w:eastAsia="宋体"/>
                                <w:b/>
                                <w:bCs/>
                                <w:lang w:val="en-US" w:eastAsia="zh-CN"/>
                              </w:rPr>
                              <w:t xml:space="preserve">  </w:t>
                            </w:r>
                            <w:r>
                              <w:rPr>
                                <w:rFonts w:hint="eastAsia" w:eastAsia="宋体"/>
                                <w:b/>
                                <w:bCs/>
                                <w:lang w:eastAsia="zh-CN"/>
                              </w:rPr>
                              <w:t>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lang w:eastAsia="zh-CN"/>
                              </w:rPr>
                            </w:pPr>
                            <w:r>
                              <w:rPr>
                                <w:rFonts w:hint="eastAsia" w:eastAsia="宋体"/>
                                <w:b w:val="0"/>
                                <w:bCs w:val="0"/>
                                <w:lang w:eastAsia="zh-CN"/>
                              </w:rPr>
                              <w:t>厂</w:t>
                            </w:r>
                            <w:r>
                              <w:rPr>
                                <w:rFonts w:hint="eastAsia" w:ascii="Times New Roman" w:eastAsia="宋体"/>
                                <w:b w:val="0"/>
                                <w:bCs w:val="0"/>
                                <w:lang w:val="en-US" w:eastAsia="zh-CN"/>
                              </w:rPr>
                              <w:t xml:space="preserve">  </w:t>
                            </w:r>
                            <w:r>
                              <w:rPr>
                                <w:rFonts w:hint="eastAsia" w:eastAsia="宋体"/>
                                <w:b w:val="0"/>
                                <w:bCs w:val="0"/>
                                <w:lang w:eastAsia="zh-CN"/>
                              </w:rPr>
                              <w:t>址</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eastAsia"/>
                                <w:b w:val="0"/>
                                <w:bCs w:val="0"/>
                                <w:lang w:eastAsia="zh-CN"/>
                              </w:rPr>
                            </w:pPr>
                            <w:r>
                              <w:rPr>
                                <w:rFonts w:hint="eastAsia"/>
                                <w:b w:val="0"/>
                                <w:bCs w:val="0"/>
                                <w:lang w:val="en-US" w:eastAsia="zh-CN"/>
                              </w:rPr>
                              <w:t>声环境</w:t>
                            </w:r>
                            <w:r>
                              <w:rPr>
                                <w:rFonts w:hint="eastAsia" w:eastAsia="宋体"/>
                                <w:b w:val="0"/>
                                <w:bCs w:val="0"/>
                                <w:lang w:eastAsia="zh-CN"/>
                              </w:rPr>
                              <w:t>评价范围</w:t>
                            </w:r>
                          </w:p>
                          <w:p>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jc w:val="both"/>
                              <w:textAlignment w:val="auto"/>
                              <w:rPr>
                                <w:rFonts w:hint="eastAsia"/>
                                <w:b w:val="0"/>
                                <w:bCs w:val="0"/>
                                <w:lang w:eastAsia="zh-CN"/>
                              </w:rPr>
                            </w:pPr>
                            <w:r>
                              <w:rPr>
                                <w:rFonts w:hint="eastAsia" w:eastAsia="宋体"/>
                                <w:b w:val="0"/>
                                <w:bCs w:val="0"/>
                                <w:lang w:eastAsia="zh-CN"/>
                              </w:rPr>
                              <w:t>大气评价范围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lang w:val="en-US" w:eastAsia="zh-CN"/>
                              </w:rPr>
                            </w:pPr>
                            <w:r>
                              <w:rPr>
                                <w:rFonts w:hint="eastAsia" w:ascii="Times New Roman" w:eastAsia="宋体"/>
                                <w:b w:val="0"/>
                                <w:bCs w:val="0"/>
                                <w:lang w:val="en-US" w:eastAsia="zh-CN"/>
                              </w:rPr>
                              <w:t xml:space="preserve">  </w:t>
                            </w:r>
                          </w:p>
                        </w:txbxContent>
                      </wps:txbx>
                      <wps:bodyPr upright="1"/>
                    </wps:wsp>
                  </a:graphicData>
                </a:graphic>
              </wp:anchor>
            </w:drawing>
          </mc:Choice>
          <mc:Fallback>
            <w:pict>
              <v:rect id="_x0000_s1026" o:spid="_x0000_s1026" o:spt="1" style="position:absolute;left:0pt;margin-left:512.2pt;margin-top:316.3pt;height:70.45pt;width:123.3pt;z-index:251663360;mso-width-relative:page;mso-height-relative:page;" fillcolor="#D9D9D9" filled="t" stroked="t" coordsize="21600,21600" o:gfxdata="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r5vH2QAAAA0BAAAPAAAAAAAAAAEAIAAAACIAAABkcnMv&#10;ZG93bnJldi54bWxQSwECFAAUAAAACACHTuJArqOsiQICAAApBAAADgAAAAAAAAABACAAAAAoAQAA&#10;ZHJzL2Uyb0RvYy54bWxQSwUGAAAAAAYABgBZAQAAnAU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lang w:eastAsia="zh-CN"/>
                        </w:rPr>
                      </w:pPr>
                      <w:r>
                        <w:rPr>
                          <w:rFonts w:hint="eastAsia" w:eastAsia="宋体"/>
                          <w:b/>
                          <w:bCs/>
                          <w:lang w:eastAsia="zh-CN"/>
                        </w:rPr>
                        <w:t>图</w:t>
                      </w:r>
                      <w:r>
                        <w:rPr>
                          <w:rFonts w:hint="eastAsia" w:ascii="Times New Roman" w:eastAsia="宋体"/>
                          <w:b/>
                          <w:bCs/>
                          <w:lang w:val="en-US" w:eastAsia="zh-CN"/>
                        </w:rPr>
                        <w:t xml:space="preserve">  </w:t>
                      </w:r>
                      <w:r>
                        <w:rPr>
                          <w:rFonts w:hint="eastAsia" w:eastAsia="宋体"/>
                          <w:b/>
                          <w:bCs/>
                          <w:lang w:eastAsia="zh-CN"/>
                        </w:rPr>
                        <w:t>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lang w:eastAsia="zh-CN"/>
                        </w:rPr>
                      </w:pPr>
                      <w:r>
                        <w:rPr>
                          <w:rFonts w:hint="eastAsia" w:eastAsia="宋体"/>
                          <w:b w:val="0"/>
                          <w:bCs w:val="0"/>
                          <w:lang w:eastAsia="zh-CN"/>
                        </w:rPr>
                        <w:t>厂</w:t>
                      </w:r>
                      <w:r>
                        <w:rPr>
                          <w:rFonts w:hint="eastAsia" w:ascii="Times New Roman" w:eastAsia="宋体"/>
                          <w:b w:val="0"/>
                          <w:bCs w:val="0"/>
                          <w:lang w:val="en-US" w:eastAsia="zh-CN"/>
                        </w:rPr>
                        <w:t xml:space="preserve">  </w:t>
                      </w:r>
                      <w:r>
                        <w:rPr>
                          <w:rFonts w:hint="eastAsia" w:eastAsia="宋体"/>
                          <w:b w:val="0"/>
                          <w:bCs w:val="0"/>
                          <w:lang w:eastAsia="zh-CN"/>
                        </w:rPr>
                        <w:t>址</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eastAsia"/>
                          <w:b w:val="0"/>
                          <w:bCs w:val="0"/>
                          <w:lang w:eastAsia="zh-CN"/>
                        </w:rPr>
                      </w:pPr>
                      <w:r>
                        <w:rPr>
                          <w:rFonts w:hint="eastAsia"/>
                          <w:b w:val="0"/>
                          <w:bCs w:val="0"/>
                          <w:lang w:val="en-US" w:eastAsia="zh-CN"/>
                        </w:rPr>
                        <w:t>声环境</w:t>
                      </w:r>
                      <w:r>
                        <w:rPr>
                          <w:rFonts w:hint="eastAsia" w:eastAsia="宋体"/>
                          <w:b w:val="0"/>
                          <w:bCs w:val="0"/>
                          <w:lang w:eastAsia="zh-CN"/>
                        </w:rPr>
                        <w:t>评价范围</w:t>
                      </w:r>
                    </w:p>
                    <w:p>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jc w:val="both"/>
                        <w:textAlignment w:val="auto"/>
                        <w:rPr>
                          <w:rFonts w:hint="eastAsia"/>
                          <w:b w:val="0"/>
                          <w:bCs w:val="0"/>
                          <w:lang w:eastAsia="zh-CN"/>
                        </w:rPr>
                      </w:pPr>
                      <w:r>
                        <w:rPr>
                          <w:rFonts w:hint="eastAsia" w:eastAsia="宋体"/>
                          <w:b w:val="0"/>
                          <w:bCs w:val="0"/>
                          <w:lang w:eastAsia="zh-CN"/>
                        </w:rPr>
                        <w:t>大气评价范围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lang w:val="en-US" w:eastAsia="zh-CN"/>
                        </w:rPr>
                      </w:pPr>
                      <w:r>
                        <w:rPr>
                          <w:rFonts w:hint="eastAsia" w:ascii="Times New Roman" w:eastAsia="宋体"/>
                          <w:b w:val="0"/>
                          <w:bCs w:val="0"/>
                          <w:lang w:val="en-US" w:eastAsia="zh-CN"/>
                        </w:rPr>
                        <w:t xml:space="preserve">  </w:t>
                      </w:r>
                    </w:p>
                  </w:txbxContent>
                </v:textbox>
              </v:rect>
            </w:pict>
          </mc:Fallback>
        </mc:AlternateContent>
      </w:r>
      <w:bookmarkEnd w:id="29"/>
      <w:bookmarkEnd w:id="30"/>
      <w:bookmarkEnd w:id="31"/>
      <w:bookmarkEnd w:id="32"/>
      <w:r>
        <w:rPr>
          <w:color w:val="auto"/>
        </w:rPr>
        <w:drawing>
          <wp:inline distT="0" distB="0" distL="114300" distR="114300">
            <wp:extent cx="7600315" cy="4905375"/>
            <wp:effectExtent l="0" t="0" r="635" b="952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50"/>
                    <a:stretch>
                      <a:fillRect/>
                    </a:stretch>
                  </pic:blipFill>
                  <pic:spPr>
                    <a:xfrm>
                      <a:off x="0" y="0"/>
                      <a:ext cx="7600315" cy="4905375"/>
                    </a:xfrm>
                    <a:prstGeom prst="rect">
                      <a:avLst/>
                    </a:prstGeom>
                    <a:noFill/>
                    <a:ln>
                      <a:noFill/>
                    </a:ln>
                  </pic:spPr>
                </pic:pic>
              </a:graphicData>
            </a:graphic>
          </wp:inline>
        </w:drawing>
      </w:r>
    </w:p>
    <w:p>
      <w:pPr>
        <w:rPr>
          <w:color w:val="auto"/>
        </w:rPr>
      </w:pPr>
      <w:r>
        <w:rPr>
          <w:color w:val="auto"/>
        </w:rPr>
        <w:br w:type="page"/>
      </w:r>
    </w:p>
    <w:p>
      <w:pPr>
        <w:pStyle w:val="60"/>
        <w:adjustRightInd w:val="0"/>
        <w:snapToGrid w:val="0"/>
        <w:spacing w:line="240" w:lineRule="auto"/>
        <w:jc w:val="center"/>
        <w:outlineLvl w:val="9"/>
        <w:rPr>
          <w:color w:val="auto"/>
        </w:rPr>
        <w:sectPr>
          <w:footerReference r:id="rId8" w:type="default"/>
          <w:pgSz w:w="16838" w:h="11906" w:orient="landscape"/>
          <w:pgMar w:top="1531" w:right="1701" w:bottom="1531" w:left="1701" w:header="851" w:footer="851" w:gutter="0"/>
          <w:cols w:space="720" w:num="1"/>
          <w:docGrid w:linePitch="312" w:charSpace="0"/>
        </w:sectPr>
      </w:pPr>
    </w:p>
    <w:p>
      <w:pPr>
        <w:pStyle w:val="60"/>
        <w:rPr>
          <w:rFonts w:hint="eastAsia"/>
          <w:color w:val="auto"/>
        </w:rPr>
      </w:pPr>
      <w:bookmarkStart w:id="33" w:name="_Toc5173"/>
      <w:r>
        <w:rPr>
          <w:rFonts w:hint="eastAsia"/>
          <w:color w:val="auto"/>
        </w:rPr>
        <w:t>附图</w:t>
      </w:r>
      <w:r>
        <w:rPr>
          <w:rFonts w:hint="eastAsia"/>
          <w:color w:val="auto"/>
          <w:lang w:val="en-US" w:eastAsia="zh-CN"/>
        </w:rPr>
        <w:t>6</w:t>
      </w:r>
      <w:r>
        <w:rPr>
          <w:rFonts w:hint="eastAsia"/>
          <w:color w:val="auto"/>
        </w:rPr>
        <w:t>：分区防渗图</w:t>
      </w:r>
      <w:bookmarkEnd w:id="33"/>
    </w:p>
    <w:p>
      <w:pPr>
        <w:pStyle w:val="60"/>
        <w:outlineLvl w:val="9"/>
        <w:rPr>
          <w:color w:val="auto"/>
        </w:rPr>
        <w:sectPr>
          <w:pgSz w:w="16838" w:h="11906" w:orient="landscape"/>
          <w:pgMar w:top="1531" w:right="1701" w:bottom="1531" w:left="1701" w:header="851" w:footer="851" w:gutter="0"/>
          <w:cols w:space="720" w:num="1"/>
          <w:docGrid w:linePitch="312" w:charSpace="0"/>
        </w:sectPr>
      </w:pPr>
      <w:bookmarkStart w:id="34" w:name="_Toc22462"/>
      <w:r>
        <w:rPr>
          <w:rFonts w:hint="eastAsia"/>
          <w:color w:val="auto"/>
          <w:sz w:val="24"/>
          <w:szCs w:val="28"/>
          <w:lang w:eastAsia="zh-CN"/>
        </w:rPr>
        <w:drawing>
          <wp:anchor distT="0" distB="0" distL="114300" distR="114300" simplePos="0" relativeHeight="251671552" behindDoc="0" locked="0" layoutInCell="1" allowOverlap="1">
            <wp:simplePos x="0" y="0"/>
            <wp:positionH relativeFrom="column">
              <wp:posOffset>7547610</wp:posOffset>
            </wp:positionH>
            <wp:positionV relativeFrom="paragraph">
              <wp:posOffset>3810</wp:posOffset>
            </wp:positionV>
            <wp:extent cx="981075" cy="915670"/>
            <wp:effectExtent l="0" t="0" r="9525" b="17780"/>
            <wp:wrapNone/>
            <wp:docPr id="62" name="图片 5" descr="166866882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descr="1668668826886"/>
                    <pic:cNvPicPr>
                      <a:picLocks noChangeAspect="1"/>
                    </pic:cNvPicPr>
                  </pic:nvPicPr>
                  <pic:blipFill>
                    <a:blip r:embed="rId43"/>
                    <a:stretch>
                      <a:fillRect/>
                    </a:stretch>
                  </pic:blipFill>
                  <pic:spPr>
                    <a:xfrm>
                      <a:off x="0" y="0"/>
                      <a:ext cx="981075" cy="915670"/>
                    </a:xfrm>
                    <a:prstGeom prst="rect">
                      <a:avLst/>
                    </a:prstGeom>
                    <a:noFill/>
                    <a:ln>
                      <a:noFill/>
                    </a:ln>
                  </pic:spPr>
                </pic:pic>
              </a:graphicData>
            </a:graphic>
          </wp:anchor>
        </w:drawing>
      </w:r>
      <w:r>
        <w:rPr>
          <w:color w:val="auto"/>
        </w:rPr>
        <w:drawing>
          <wp:anchor distT="0" distB="0" distL="114300" distR="114300" simplePos="0" relativeHeight="251667456" behindDoc="0" locked="0" layoutInCell="1" allowOverlap="1">
            <wp:simplePos x="0" y="0"/>
            <wp:positionH relativeFrom="column">
              <wp:posOffset>7266940</wp:posOffset>
            </wp:positionH>
            <wp:positionV relativeFrom="paragraph">
              <wp:posOffset>3970655</wp:posOffset>
            </wp:positionV>
            <wp:extent cx="1276350" cy="1114425"/>
            <wp:effectExtent l="0" t="0" r="0" b="9525"/>
            <wp:wrapNone/>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1"/>
                    <a:stretch>
                      <a:fillRect/>
                    </a:stretch>
                  </pic:blipFill>
                  <pic:spPr>
                    <a:xfrm>
                      <a:off x="0" y="0"/>
                      <a:ext cx="1276350" cy="1114425"/>
                    </a:xfrm>
                    <a:prstGeom prst="rect">
                      <a:avLst/>
                    </a:prstGeom>
                    <a:noFill/>
                    <a:ln>
                      <a:noFill/>
                    </a:ln>
                  </pic:spPr>
                </pic:pic>
              </a:graphicData>
            </a:graphic>
          </wp:anchor>
        </w:drawing>
      </w:r>
      <w:bookmarkEnd w:id="34"/>
      <w:r>
        <w:rPr>
          <w:color w:val="auto"/>
        </w:rPr>
        <w:drawing>
          <wp:inline distT="0" distB="0" distL="114300" distR="114300">
            <wp:extent cx="8526780" cy="5038090"/>
            <wp:effectExtent l="0" t="0" r="7620" b="10160"/>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52"/>
                    <a:stretch>
                      <a:fillRect/>
                    </a:stretch>
                  </pic:blipFill>
                  <pic:spPr>
                    <a:xfrm>
                      <a:off x="0" y="0"/>
                      <a:ext cx="8526780" cy="5038090"/>
                    </a:xfrm>
                    <a:prstGeom prst="rect">
                      <a:avLst/>
                    </a:prstGeom>
                    <a:noFill/>
                    <a:ln>
                      <a:noFill/>
                    </a:ln>
                  </pic:spPr>
                </pic:pic>
              </a:graphicData>
            </a:graphic>
          </wp:inline>
        </w:drawing>
      </w:r>
    </w:p>
    <w:p>
      <w:pPr>
        <w:pStyle w:val="60"/>
        <w:rPr>
          <w:rFonts w:hint="eastAsia"/>
          <w:color w:val="auto"/>
          <w:lang w:val="en-US" w:eastAsia="zh-CN"/>
        </w:rPr>
      </w:pPr>
      <w:r>
        <w:rPr>
          <w:rFonts w:hint="eastAsia"/>
          <w:color w:val="auto"/>
          <w:lang w:val="en-US" w:eastAsia="zh-CN"/>
        </w:rPr>
        <w:t>附图7 雨水管网收集图</w:t>
      </w:r>
    </w:p>
    <w:p>
      <w:pPr>
        <w:pStyle w:val="60"/>
        <w:outlineLvl w:val="9"/>
        <w:rPr>
          <w:rFonts w:hint="eastAsia"/>
          <w:color w:val="auto"/>
          <w:lang w:val="en-US" w:eastAsia="zh-CN"/>
        </w:rPr>
      </w:pP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1448435</wp:posOffset>
                </wp:positionH>
                <wp:positionV relativeFrom="paragraph">
                  <wp:posOffset>1113790</wp:posOffset>
                </wp:positionV>
                <wp:extent cx="69850" cy="636905"/>
                <wp:effectExtent l="40640" t="635" r="22860" b="10160"/>
                <wp:wrapNone/>
                <wp:docPr id="24" name="直接箭头连接符 24"/>
                <wp:cNvGraphicFramePr/>
                <a:graphic xmlns:a="http://schemas.openxmlformats.org/drawingml/2006/main">
                  <a:graphicData uri="http://schemas.microsoft.com/office/word/2010/wordprocessingShape">
                    <wps:wsp>
                      <wps:cNvCnPr/>
                      <wps:spPr>
                        <a:xfrm flipH="1">
                          <a:off x="0" y="0"/>
                          <a:ext cx="69850" cy="63690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14.05pt;margin-top:87.7pt;height:50.15pt;width:5.5pt;z-index:251674624;mso-width-relative:page;mso-height-relative:page;" filled="f" stroked="t" coordsize="21600,21600" o:gfxdata="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0rgeNgAAAALAQAADwAAAAAA&#10;AAABACAAAAAiAAAAZHJzL2Rvd25yZXYueG1sUEsBAhQAFAAAAAgAh07iQE7zy20TAgAA7gMAAA4A&#10;AAAAAAAAAQAgAAAAJwEAAGRycy9lMm9Eb2MueG1sUEsFBgAAAAAGAAYAWQEAAKwFA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1962785</wp:posOffset>
                </wp:positionH>
                <wp:positionV relativeFrom="paragraph">
                  <wp:posOffset>2153920</wp:posOffset>
                </wp:positionV>
                <wp:extent cx="4452620" cy="1492250"/>
                <wp:effectExtent l="0" t="20320" r="5080" b="11430"/>
                <wp:wrapNone/>
                <wp:docPr id="20" name="直接箭头连接符 20"/>
                <wp:cNvGraphicFramePr/>
                <a:graphic xmlns:a="http://schemas.openxmlformats.org/drawingml/2006/main">
                  <a:graphicData uri="http://schemas.microsoft.com/office/word/2010/wordprocessingShape">
                    <wps:wsp>
                      <wps:cNvCnPr/>
                      <wps:spPr>
                        <a:xfrm flipH="1" flipV="1">
                          <a:off x="3487420" y="3620135"/>
                          <a:ext cx="4452620" cy="14922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54.55pt;margin-top:169.6pt;height:117.5pt;width:350.6pt;z-index:251673600;mso-width-relative:page;mso-height-relative:page;" filled="f" stroked="t" coordsize="21600,21600" o:gfxdata="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BY44NkAAAAMAQAADwAAAAAAAAABACAAAAAiAAAAZHJzL2Rvd25yZXYueG1sUEsBAhQAFAAAAAgA&#10;h07iQBb2/zAkAgAABwQAAA4AAAAAAAAAAQAgAAAAKAEAAGRycy9lMm9Eb2MueG1sUEsFBgAAAAAG&#10;AAYAWQEAAL4FAAAAAA==&#10;">
                <v:fill on="f" focussize="0,0"/>
                <v:stroke weight="1pt" color="#FF0000 [3204]" miterlimit="8" joinstyle="miter" endarrow="open"/>
                <v:imagedata o:title=""/>
                <o:lock v:ext="edit" aspectratio="f"/>
              </v:shape>
            </w:pict>
          </mc:Fallback>
        </mc:AlternateContent>
      </w:r>
      <w:r>
        <w:rPr>
          <w:color w:val="auto"/>
        </w:rPr>
        <w:drawing>
          <wp:inline distT="0" distB="0" distL="114300" distR="114300">
            <wp:extent cx="8526780" cy="4865370"/>
            <wp:effectExtent l="0" t="0" r="7620" b="1143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53"/>
                    <a:stretch>
                      <a:fillRect/>
                    </a:stretch>
                  </pic:blipFill>
                  <pic:spPr>
                    <a:xfrm>
                      <a:off x="0" y="0"/>
                      <a:ext cx="8526780" cy="4865370"/>
                    </a:xfrm>
                    <a:prstGeom prst="rect">
                      <a:avLst/>
                    </a:prstGeom>
                    <a:noFill/>
                    <a:ln>
                      <a:noFill/>
                    </a:ln>
                  </pic:spPr>
                </pic:pic>
              </a:graphicData>
            </a:graphic>
          </wp:inline>
        </w:drawing>
      </w:r>
      <w:r>
        <w:rPr>
          <w:rFonts w:hint="eastAsia"/>
          <w:color w:val="auto"/>
          <w:sz w:val="24"/>
          <w:szCs w:val="28"/>
          <w:lang w:eastAsia="zh-CN"/>
        </w:rPr>
        <w:drawing>
          <wp:anchor distT="0" distB="0" distL="114300" distR="114300" simplePos="0" relativeHeight="251672576" behindDoc="0" locked="0" layoutInCell="1" allowOverlap="1">
            <wp:simplePos x="0" y="0"/>
            <wp:positionH relativeFrom="column">
              <wp:posOffset>7547610</wp:posOffset>
            </wp:positionH>
            <wp:positionV relativeFrom="paragraph">
              <wp:posOffset>3810</wp:posOffset>
            </wp:positionV>
            <wp:extent cx="981075" cy="915670"/>
            <wp:effectExtent l="0" t="0" r="9525" b="17780"/>
            <wp:wrapNone/>
            <wp:docPr id="23" name="图片 5" descr="166866882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1668668826886"/>
                    <pic:cNvPicPr>
                      <a:picLocks noChangeAspect="1"/>
                    </pic:cNvPicPr>
                  </pic:nvPicPr>
                  <pic:blipFill>
                    <a:blip r:embed="rId43"/>
                    <a:stretch>
                      <a:fillRect/>
                    </a:stretch>
                  </pic:blipFill>
                  <pic:spPr>
                    <a:xfrm>
                      <a:off x="0" y="0"/>
                      <a:ext cx="981075" cy="915670"/>
                    </a:xfrm>
                    <a:prstGeom prst="rect">
                      <a:avLst/>
                    </a:prstGeom>
                    <a:noFill/>
                    <a:ln>
                      <a:noFill/>
                    </a:ln>
                  </pic:spPr>
                </pic:pic>
              </a:graphicData>
            </a:graphic>
          </wp:anchor>
        </w:drawing>
      </w:r>
    </w:p>
    <w:p>
      <w:pPr>
        <w:pStyle w:val="60"/>
        <w:adjustRightInd w:val="0"/>
        <w:snapToGrid w:val="0"/>
        <w:spacing w:line="240" w:lineRule="auto"/>
        <w:jc w:val="both"/>
        <w:outlineLvl w:val="9"/>
        <w:rPr>
          <w:color w:val="auto"/>
        </w:rPr>
      </w:pPr>
    </w:p>
    <w:sectPr>
      <w:pgSz w:w="16838" w:h="11906" w:orient="landscape"/>
      <w:pgMar w:top="1531" w:right="1701" w:bottom="1531" w:left="170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华文中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fldChar w:fldCharType="begin"/>
    </w:r>
    <w:r>
      <w:instrText xml:space="preserve">PAGE   \* MERGEFORMAT</w:instrText>
    </w:r>
    <w:r>
      <w:fldChar w:fldCharType="separate"/>
    </w:r>
    <w:r>
      <w:rPr>
        <w:lang w:val="zh-CN"/>
      </w:rPr>
      <w:t>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454408"/>
    </w:sdtPr>
    <w:sdtContent>
      <w:p>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13970887"/>
    </w:sdtPr>
    <w:sdtContent>
      <w:p>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43666019"/>
    </w:sdtPr>
    <w:sdtContent>
      <w:p>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2789CA"/>
    <w:multiLevelType w:val="singleLevel"/>
    <w:tmpl w:val="862789CA"/>
    <w:lvl w:ilvl="0" w:tentative="0">
      <w:start w:val="1"/>
      <w:numFmt w:val="decimal"/>
      <w:suff w:val="nothing"/>
      <w:lvlText w:val="（%1）"/>
      <w:lvlJc w:val="left"/>
    </w:lvl>
  </w:abstractNum>
  <w:abstractNum w:abstractNumId="1">
    <w:nsid w:val="D71E85B8"/>
    <w:multiLevelType w:val="singleLevel"/>
    <w:tmpl w:val="D71E85B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A2MTc3NDlmNmMwMWMzNjY1MzRiZDNmYTBmM2EzZTAifQ=="/>
  </w:docVars>
  <w:rsids>
    <w:rsidRoot w:val="00172A27"/>
    <w:rsid w:val="00000EB5"/>
    <w:rsid w:val="00002149"/>
    <w:rsid w:val="000029E9"/>
    <w:rsid w:val="00003CEC"/>
    <w:rsid w:val="00005C6A"/>
    <w:rsid w:val="000060B3"/>
    <w:rsid w:val="0001230C"/>
    <w:rsid w:val="00012FB3"/>
    <w:rsid w:val="00014702"/>
    <w:rsid w:val="0001608B"/>
    <w:rsid w:val="00021CED"/>
    <w:rsid w:val="00022AF0"/>
    <w:rsid w:val="00023488"/>
    <w:rsid w:val="00023565"/>
    <w:rsid w:val="00024ED1"/>
    <w:rsid w:val="0002572C"/>
    <w:rsid w:val="00032C35"/>
    <w:rsid w:val="00034DDB"/>
    <w:rsid w:val="00036578"/>
    <w:rsid w:val="000365CC"/>
    <w:rsid w:val="000378B4"/>
    <w:rsid w:val="000379FC"/>
    <w:rsid w:val="000413FA"/>
    <w:rsid w:val="00042280"/>
    <w:rsid w:val="0004260F"/>
    <w:rsid w:val="00042981"/>
    <w:rsid w:val="0004364B"/>
    <w:rsid w:val="00046B7E"/>
    <w:rsid w:val="00050FE1"/>
    <w:rsid w:val="00053E86"/>
    <w:rsid w:val="000564E9"/>
    <w:rsid w:val="00057A48"/>
    <w:rsid w:val="00057A79"/>
    <w:rsid w:val="0006094B"/>
    <w:rsid w:val="00060E3A"/>
    <w:rsid w:val="00060F1D"/>
    <w:rsid w:val="00061B1F"/>
    <w:rsid w:val="00061C38"/>
    <w:rsid w:val="000620FF"/>
    <w:rsid w:val="00065F7B"/>
    <w:rsid w:val="00066092"/>
    <w:rsid w:val="00067252"/>
    <w:rsid w:val="000733C4"/>
    <w:rsid w:val="00074783"/>
    <w:rsid w:val="00075684"/>
    <w:rsid w:val="00076B18"/>
    <w:rsid w:val="0008070B"/>
    <w:rsid w:val="00080CF5"/>
    <w:rsid w:val="000810AC"/>
    <w:rsid w:val="00081A02"/>
    <w:rsid w:val="00082231"/>
    <w:rsid w:val="00083DDA"/>
    <w:rsid w:val="000926AE"/>
    <w:rsid w:val="00092D38"/>
    <w:rsid w:val="000930A3"/>
    <w:rsid w:val="000934DD"/>
    <w:rsid w:val="0009377B"/>
    <w:rsid w:val="00095729"/>
    <w:rsid w:val="00096106"/>
    <w:rsid w:val="00096CDE"/>
    <w:rsid w:val="000A0816"/>
    <w:rsid w:val="000A20C9"/>
    <w:rsid w:val="000A514E"/>
    <w:rsid w:val="000B058F"/>
    <w:rsid w:val="000B1813"/>
    <w:rsid w:val="000B27CC"/>
    <w:rsid w:val="000B4301"/>
    <w:rsid w:val="000B4467"/>
    <w:rsid w:val="000B4DB9"/>
    <w:rsid w:val="000B6F0A"/>
    <w:rsid w:val="000C09AC"/>
    <w:rsid w:val="000C34D2"/>
    <w:rsid w:val="000C3591"/>
    <w:rsid w:val="000C40F2"/>
    <w:rsid w:val="000C4644"/>
    <w:rsid w:val="000C520B"/>
    <w:rsid w:val="000C767F"/>
    <w:rsid w:val="000D0EFD"/>
    <w:rsid w:val="000D1966"/>
    <w:rsid w:val="000D1983"/>
    <w:rsid w:val="000D4387"/>
    <w:rsid w:val="000D4D2E"/>
    <w:rsid w:val="000D552D"/>
    <w:rsid w:val="000D5A44"/>
    <w:rsid w:val="000E0184"/>
    <w:rsid w:val="000E0227"/>
    <w:rsid w:val="000E28F8"/>
    <w:rsid w:val="000E3220"/>
    <w:rsid w:val="000E3ED2"/>
    <w:rsid w:val="000F09C3"/>
    <w:rsid w:val="000F4A49"/>
    <w:rsid w:val="000F5FE9"/>
    <w:rsid w:val="000F650E"/>
    <w:rsid w:val="000F6E74"/>
    <w:rsid w:val="000F78B7"/>
    <w:rsid w:val="00101735"/>
    <w:rsid w:val="00101AD4"/>
    <w:rsid w:val="00103C31"/>
    <w:rsid w:val="00106486"/>
    <w:rsid w:val="00106540"/>
    <w:rsid w:val="00111E2C"/>
    <w:rsid w:val="0011326C"/>
    <w:rsid w:val="0011341C"/>
    <w:rsid w:val="001158D8"/>
    <w:rsid w:val="001208FA"/>
    <w:rsid w:val="0012198F"/>
    <w:rsid w:val="00122AC6"/>
    <w:rsid w:val="00123C2B"/>
    <w:rsid w:val="001240FE"/>
    <w:rsid w:val="00126275"/>
    <w:rsid w:val="00130B97"/>
    <w:rsid w:val="0013111A"/>
    <w:rsid w:val="00131F42"/>
    <w:rsid w:val="00135151"/>
    <w:rsid w:val="001357F1"/>
    <w:rsid w:val="00135CDD"/>
    <w:rsid w:val="00137147"/>
    <w:rsid w:val="001405FA"/>
    <w:rsid w:val="00140FA8"/>
    <w:rsid w:val="00142BAA"/>
    <w:rsid w:val="00142BBD"/>
    <w:rsid w:val="00142FEB"/>
    <w:rsid w:val="0014336D"/>
    <w:rsid w:val="00143A2D"/>
    <w:rsid w:val="00144039"/>
    <w:rsid w:val="00144314"/>
    <w:rsid w:val="0014453A"/>
    <w:rsid w:val="00145774"/>
    <w:rsid w:val="00145A41"/>
    <w:rsid w:val="001478D4"/>
    <w:rsid w:val="00147CC7"/>
    <w:rsid w:val="00151675"/>
    <w:rsid w:val="00152248"/>
    <w:rsid w:val="00153063"/>
    <w:rsid w:val="00155A20"/>
    <w:rsid w:val="00156A77"/>
    <w:rsid w:val="00157435"/>
    <w:rsid w:val="00157FD3"/>
    <w:rsid w:val="00161205"/>
    <w:rsid w:val="00161B86"/>
    <w:rsid w:val="00161EBB"/>
    <w:rsid w:val="001632C0"/>
    <w:rsid w:val="0016698E"/>
    <w:rsid w:val="00166BDD"/>
    <w:rsid w:val="00166FC2"/>
    <w:rsid w:val="00167C0C"/>
    <w:rsid w:val="00172B48"/>
    <w:rsid w:val="0017504D"/>
    <w:rsid w:val="0017671A"/>
    <w:rsid w:val="00176ECD"/>
    <w:rsid w:val="00177422"/>
    <w:rsid w:val="00183707"/>
    <w:rsid w:val="00184590"/>
    <w:rsid w:val="0018552F"/>
    <w:rsid w:val="00186423"/>
    <w:rsid w:val="001870D1"/>
    <w:rsid w:val="0018781E"/>
    <w:rsid w:val="001905D6"/>
    <w:rsid w:val="0019262D"/>
    <w:rsid w:val="0019508B"/>
    <w:rsid w:val="001962E8"/>
    <w:rsid w:val="00196B6A"/>
    <w:rsid w:val="001A1B35"/>
    <w:rsid w:val="001A1BCC"/>
    <w:rsid w:val="001A3BF0"/>
    <w:rsid w:val="001A48A2"/>
    <w:rsid w:val="001A5B5D"/>
    <w:rsid w:val="001A65FC"/>
    <w:rsid w:val="001A6F61"/>
    <w:rsid w:val="001B1EC1"/>
    <w:rsid w:val="001B24EC"/>
    <w:rsid w:val="001B27C8"/>
    <w:rsid w:val="001B53D4"/>
    <w:rsid w:val="001B56E2"/>
    <w:rsid w:val="001B5AD6"/>
    <w:rsid w:val="001B66DA"/>
    <w:rsid w:val="001B72B8"/>
    <w:rsid w:val="001C0581"/>
    <w:rsid w:val="001C1B2F"/>
    <w:rsid w:val="001C5C51"/>
    <w:rsid w:val="001C6675"/>
    <w:rsid w:val="001C69B3"/>
    <w:rsid w:val="001C7F40"/>
    <w:rsid w:val="001D04D9"/>
    <w:rsid w:val="001D1A0E"/>
    <w:rsid w:val="001D1BF3"/>
    <w:rsid w:val="001D2AE4"/>
    <w:rsid w:val="001D2B43"/>
    <w:rsid w:val="001D2D4F"/>
    <w:rsid w:val="001D5595"/>
    <w:rsid w:val="001D5968"/>
    <w:rsid w:val="001D7874"/>
    <w:rsid w:val="001D7F22"/>
    <w:rsid w:val="001E0406"/>
    <w:rsid w:val="001E0583"/>
    <w:rsid w:val="001E4024"/>
    <w:rsid w:val="001E70A5"/>
    <w:rsid w:val="001E7845"/>
    <w:rsid w:val="001F0F17"/>
    <w:rsid w:val="001F20F7"/>
    <w:rsid w:val="001F213E"/>
    <w:rsid w:val="001F3347"/>
    <w:rsid w:val="001F663E"/>
    <w:rsid w:val="001F69E4"/>
    <w:rsid w:val="001F6C0A"/>
    <w:rsid w:val="001F7941"/>
    <w:rsid w:val="00201DCB"/>
    <w:rsid w:val="00202251"/>
    <w:rsid w:val="00203297"/>
    <w:rsid w:val="00204B67"/>
    <w:rsid w:val="00205D1C"/>
    <w:rsid w:val="00206421"/>
    <w:rsid w:val="00206C2B"/>
    <w:rsid w:val="00206E77"/>
    <w:rsid w:val="00206E9B"/>
    <w:rsid w:val="00207BE5"/>
    <w:rsid w:val="002125B4"/>
    <w:rsid w:val="00212BB6"/>
    <w:rsid w:val="0021435C"/>
    <w:rsid w:val="002155B8"/>
    <w:rsid w:val="002165F4"/>
    <w:rsid w:val="00220BD1"/>
    <w:rsid w:val="002236D0"/>
    <w:rsid w:val="00223A03"/>
    <w:rsid w:val="00224839"/>
    <w:rsid w:val="002249B2"/>
    <w:rsid w:val="00226118"/>
    <w:rsid w:val="00226574"/>
    <w:rsid w:val="002278EC"/>
    <w:rsid w:val="0023201A"/>
    <w:rsid w:val="0023280E"/>
    <w:rsid w:val="002357D3"/>
    <w:rsid w:val="00236FD4"/>
    <w:rsid w:val="00237239"/>
    <w:rsid w:val="002377D1"/>
    <w:rsid w:val="002405AA"/>
    <w:rsid w:val="002442C2"/>
    <w:rsid w:val="00246781"/>
    <w:rsid w:val="002506BC"/>
    <w:rsid w:val="00250D5D"/>
    <w:rsid w:val="00251438"/>
    <w:rsid w:val="0025165E"/>
    <w:rsid w:val="0025303F"/>
    <w:rsid w:val="00254345"/>
    <w:rsid w:val="00254559"/>
    <w:rsid w:val="00254B59"/>
    <w:rsid w:val="00254D03"/>
    <w:rsid w:val="00255059"/>
    <w:rsid w:val="00256E68"/>
    <w:rsid w:val="002573B4"/>
    <w:rsid w:val="00262669"/>
    <w:rsid w:val="002629F8"/>
    <w:rsid w:val="00263E3B"/>
    <w:rsid w:val="00264557"/>
    <w:rsid w:val="00264BEE"/>
    <w:rsid w:val="00266D9A"/>
    <w:rsid w:val="0027049B"/>
    <w:rsid w:val="00273111"/>
    <w:rsid w:val="002803AA"/>
    <w:rsid w:val="002805AB"/>
    <w:rsid w:val="00280CDB"/>
    <w:rsid w:val="002824D5"/>
    <w:rsid w:val="00284204"/>
    <w:rsid w:val="002843F1"/>
    <w:rsid w:val="00286A6E"/>
    <w:rsid w:val="00287E22"/>
    <w:rsid w:val="00290C2A"/>
    <w:rsid w:val="00291773"/>
    <w:rsid w:val="00291C53"/>
    <w:rsid w:val="00295772"/>
    <w:rsid w:val="002A168C"/>
    <w:rsid w:val="002A1FF2"/>
    <w:rsid w:val="002A32B5"/>
    <w:rsid w:val="002A3DC7"/>
    <w:rsid w:val="002A423E"/>
    <w:rsid w:val="002A7C1C"/>
    <w:rsid w:val="002B1B68"/>
    <w:rsid w:val="002B3571"/>
    <w:rsid w:val="002B3DA1"/>
    <w:rsid w:val="002B481C"/>
    <w:rsid w:val="002B49E2"/>
    <w:rsid w:val="002B66E6"/>
    <w:rsid w:val="002B670D"/>
    <w:rsid w:val="002B7B00"/>
    <w:rsid w:val="002B7C44"/>
    <w:rsid w:val="002C16C3"/>
    <w:rsid w:val="002C2B17"/>
    <w:rsid w:val="002C311A"/>
    <w:rsid w:val="002C5866"/>
    <w:rsid w:val="002C6F28"/>
    <w:rsid w:val="002D0A1A"/>
    <w:rsid w:val="002D153F"/>
    <w:rsid w:val="002D3DD0"/>
    <w:rsid w:val="002D5A34"/>
    <w:rsid w:val="002D6D3D"/>
    <w:rsid w:val="002D70C9"/>
    <w:rsid w:val="002D7418"/>
    <w:rsid w:val="002E09AB"/>
    <w:rsid w:val="002E09B3"/>
    <w:rsid w:val="002E1F3A"/>
    <w:rsid w:val="002E246C"/>
    <w:rsid w:val="002E24A5"/>
    <w:rsid w:val="002E298A"/>
    <w:rsid w:val="002E3122"/>
    <w:rsid w:val="002E3837"/>
    <w:rsid w:val="002E39A5"/>
    <w:rsid w:val="002E46C0"/>
    <w:rsid w:val="002E64CF"/>
    <w:rsid w:val="002E6687"/>
    <w:rsid w:val="002F0D84"/>
    <w:rsid w:val="002F1377"/>
    <w:rsid w:val="002F27A6"/>
    <w:rsid w:val="002F2BBF"/>
    <w:rsid w:val="002F3C30"/>
    <w:rsid w:val="002F46C4"/>
    <w:rsid w:val="002F576B"/>
    <w:rsid w:val="003003AC"/>
    <w:rsid w:val="00301978"/>
    <w:rsid w:val="003027F0"/>
    <w:rsid w:val="0030332C"/>
    <w:rsid w:val="0030392A"/>
    <w:rsid w:val="00304BCD"/>
    <w:rsid w:val="00304CF2"/>
    <w:rsid w:val="003051C2"/>
    <w:rsid w:val="003074D9"/>
    <w:rsid w:val="00312296"/>
    <w:rsid w:val="0031267F"/>
    <w:rsid w:val="00314F0E"/>
    <w:rsid w:val="00321D8E"/>
    <w:rsid w:val="0032201D"/>
    <w:rsid w:val="003256A7"/>
    <w:rsid w:val="00325928"/>
    <w:rsid w:val="00326D9D"/>
    <w:rsid w:val="00326FA1"/>
    <w:rsid w:val="003275FC"/>
    <w:rsid w:val="00330CF2"/>
    <w:rsid w:val="00330EFD"/>
    <w:rsid w:val="00332863"/>
    <w:rsid w:val="00333292"/>
    <w:rsid w:val="003362C8"/>
    <w:rsid w:val="00336464"/>
    <w:rsid w:val="0033684D"/>
    <w:rsid w:val="00336E02"/>
    <w:rsid w:val="0033776E"/>
    <w:rsid w:val="00337B42"/>
    <w:rsid w:val="00341B42"/>
    <w:rsid w:val="00342036"/>
    <w:rsid w:val="0034348F"/>
    <w:rsid w:val="00344F59"/>
    <w:rsid w:val="0034570E"/>
    <w:rsid w:val="00346DBC"/>
    <w:rsid w:val="003501CE"/>
    <w:rsid w:val="0035176F"/>
    <w:rsid w:val="00351C19"/>
    <w:rsid w:val="003525D7"/>
    <w:rsid w:val="00352B6F"/>
    <w:rsid w:val="0035461F"/>
    <w:rsid w:val="00355568"/>
    <w:rsid w:val="003558F8"/>
    <w:rsid w:val="00356653"/>
    <w:rsid w:val="0035743F"/>
    <w:rsid w:val="003575D9"/>
    <w:rsid w:val="00357BE2"/>
    <w:rsid w:val="00361204"/>
    <w:rsid w:val="0036170C"/>
    <w:rsid w:val="003619EE"/>
    <w:rsid w:val="00361C01"/>
    <w:rsid w:val="00363E8E"/>
    <w:rsid w:val="0036482A"/>
    <w:rsid w:val="0036600A"/>
    <w:rsid w:val="00366E0F"/>
    <w:rsid w:val="00370190"/>
    <w:rsid w:val="00371DD7"/>
    <w:rsid w:val="00373669"/>
    <w:rsid w:val="00375C50"/>
    <w:rsid w:val="003761AC"/>
    <w:rsid w:val="00376FD6"/>
    <w:rsid w:val="00380687"/>
    <w:rsid w:val="00381744"/>
    <w:rsid w:val="00381A72"/>
    <w:rsid w:val="00384104"/>
    <w:rsid w:val="00384676"/>
    <w:rsid w:val="0038500F"/>
    <w:rsid w:val="003854EE"/>
    <w:rsid w:val="00387281"/>
    <w:rsid w:val="003905D5"/>
    <w:rsid w:val="00390857"/>
    <w:rsid w:val="003912EE"/>
    <w:rsid w:val="00393AF4"/>
    <w:rsid w:val="00394723"/>
    <w:rsid w:val="003A0DC7"/>
    <w:rsid w:val="003A1554"/>
    <w:rsid w:val="003A4BF3"/>
    <w:rsid w:val="003A6927"/>
    <w:rsid w:val="003B094F"/>
    <w:rsid w:val="003B2FC5"/>
    <w:rsid w:val="003B3228"/>
    <w:rsid w:val="003B35BA"/>
    <w:rsid w:val="003B420D"/>
    <w:rsid w:val="003B7AED"/>
    <w:rsid w:val="003C49F2"/>
    <w:rsid w:val="003C4CB0"/>
    <w:rsid w:val="003C5D0D"/>
    <w:rsid w:val="003C6C16"/>
    <w:rsid w:val="003C6E3A"/>
    <w:rsid w:val="003C7126"/>
    <w:rsid w:val="003C7D56"/>
    <w:rsid w:val="003D0E56"/>
    <w:rsid w:val="003D1240"/>
    <w:rsid w:val="003D2A34"/>
    <w:rsid w:val="003D3E1F"/>
    <w:rsid w:val="003D66DF"/>
    <w:rsid w:val="003D6F42"/>
    <w:rsid w:val="003D794D"/>
    <w:rsid w:val="003E1CD4"/>
    <w:rsid w:val="003E2F1E"/>
    <w:rsid w:val="003E3058"/>
    <w:rsid w:val="003E57D1"/>
    <w:rsid w:val="003E5D39"/>
    <w:rsid w:val="003E6ED0"/>
    <w:rsid w:val="003E76A9"/>
    <w:rsid w:val="003F00AD"/>
    <w:rsid w:val="003F0809"/>
    <w:rsid w:val="003F102C"/>
    <w:rsid w:val="003F3F87"/>
    <w:rsid w:val="003F4FA4"/>
    <w:rsid w:val="003F5F85"/>
    <w:rsid w:val="003F65D5"/>
    <w:rsid w:val="003F6A8C"/>
    <w:rsid w:val="003F6F2A"/>
    <w:rsid w:val="003F755C"/>
    <w:rsid w:val="00400344"/>
    <w:rsid w:val="00400BA8"/>
    <w:rsid w:val="0040117F"/>
    <w:rsid w:val="0040123C"/>
    <w:rsid w:val="004027DE"/>
    <w:rsid w:val="00402C10"/>
    <w:rsid w:val="00402C92"/>
    <w:rsid w:val="004058EF"/>
    <w:rsid w:val="00405B2D"/>
    <w:rsid w:val="00406F01"/>
    <w:rsid w:val="004128DE"/>
    <w:rsid w:val="00414345"/>
    <w:rsid w:val="00416918"/>
    <w:rsid w:val="00416D50"/>
    <w:rsid w:val="00416FD5"/>
    <w:rsid w:val="004173B2"/>
    <w:rsid w:val="00417772"/>
    <w:rsid w:val="00420E6A"/>
    <w:rsid w:val="00421156"/>
    <w:rsid w:val="00421315"/>
    <w:rsid w:val="00422911"/>
    <w:rsid w:val="00422F25"/>
    <w:rsid w:val="00423889"/>
    <w:rsid w:val="00423DFE"/>
    <w:rsid w:val="00425A9E"/>
    <w:rsid w:val="00425E41"/>
    <w:rsid w:val="0042640E"/>
    <w:rsid w:val="00426D6B"/>
    <w:rsid w:val="00431D90"/>
    <w:rsid w:val="00431E6C"/>
    <w:rsid w:val="00433CE7"/>
    <w:rsid w:val="00435B11"/>
    <w:rsid w:val="00435BF7"/>
    <w:rsid w:val="00436DCD"/>
    <w:rsid w:val="00440E95"/>
    <w:rsid w:val="0044122C"/>
    <w:rsid w:val="00445F16"/>
    <w:rsid w:val="0045100E"/>
    <w:rsid w:val="0045231D"/>
    <w:rsid w:val="00452738"/>
    <w:rsid w:val="004544EC"/>
    <w:rsid w:val="00456076"/>
    <w:rsid w:val="00456091"/>
    <w:rsid w:val="0045742A"/>
    <w:rsid w:val="004579D9"/>
    <w:rsid w:val="0046181E"/>
    <w:rsid w:val="004623BB"/>
    <w:rsid w:val="00462460"/>
    <w:rsid w:val="0046307B"/>
    <w:rsid w:val="004631F2"/>
    <w:rsid w:val="00466321"/>
    <w:rsid w:val="00470D77"/>
    <w:rsid w:val="00472C8A"/>
    <w:rsid w:val="004733F3"/>
    <w:rsid w:val="00473FA7"/>
    <w:rsid w:val="00477C17"/>
    <w:rsid w:val="00480282"/>
    <w:rsid w:val="00484B9B"/>
    <w:rsid w:val="004855F6"/>
    <w:rsid w:val="00485944"/>
    <w:rsid w:val="0048661E"/>
    <w:rsid w:val="00486975"/>
    <w:rsid w:val="00487D62"/>
    <w:rsid w:val="00492B5A"/>
    <w:rsid w:val="00494670"/>
    <w:rsid w:val="004955D8"/>
    <w:rsid w:val="004963B4"/>
    <w:rsid w:val="0049703F"/>
    <w:rsid w:val="00497092"/>
    <w:rsid w:val="004A0611"/>
    <w:rsid w:val="004A3823"/>
    <w:rsid w:val="004A47F3"/>
    <w:rsid w:val="004A566B"/>
    <w:rsid w:val="004A5AA2"/>
    <w:rsid w:val="004A74A2"/>
    <w:rsid w:val="004A74E9"/>
    <w:rsid w:val="004B069C"/>
    <w:rsid w:val="004B07B0"/>
    <w:rsid w:val="004B1AB9"/>
    <w:rsid w:val="004B2201"/>
    <w:rsid w:val="004B3D56"/>
    <w:rsid w:val="004B429A"/>
    <w:rsid w:val="004B43EB"/>
    <w:rsid w:val="004B4E6A"/>
    <w:rsid w:val="004B5A0D"/>
    <w:rsid w:val="004C062A"/>
    <w:rsid w:val="004C0ABB"/>
    <w:rsid w:val="004C34A7"/>
    <w:rsid w:val="004C35A7"/>
    <w:rsid w:val="004C4BF9"/>
    <w:rsid w:val="004D2DD9"/>
    <w:rsid w:val="004D45BE"/>
    <w:rsid w:val="004D5C08"/>
    <w:rsid w:val="004D6728"/>
    <w:rsid w:val="004D6A4F"/>
    <w:rsid w:val="004D6BB5"/>
    <w:rsid w:val="004D733C"/>
    <w:rsid w:val="004E26C8"/>
    <w:rsid w:val="004E3CA0"/>
    <w:rsid w:val="004E4473"/>
    <w:rsid w:val="004E6946"/>
    <w:rsid w:val="004F045B"/>
    <w:rsid w:val="004F06A3"/>
    <w:rsid w:val="004F1AD8"/>
    <w:rsid w:val="004F356E"/>
    <w:rsid w:val="004F3662"/>
    <w:rsid w:val="004F437E"/>
    <w:rsid w:val="004F62B3"/>
    <w:rsid w:val="004F6FAD"/>
    <w:rsid w:val="004F7A8E"/>
    <w:rsid w:val="005039CB"/>
    <w:rsid w:val="00503F45"/>
    <w:rsid w:val="0050427C"/>
    <w:rsid w:val="0050452E"/>
    <w:rsid w:val="00504AE8"/>
    <w:rsid w:val="0050558F"/>
    <w:rsid w:val="00505A23"/>
    <w:rsid w:val="00505A3C"/>
    <w:rsid w:val="00506286"/>
    <w:rsid w:val="00507775"/>
    <w:rsid w:val="00507F17"/>
    <w:rsid w:val="00510813"/>
    <w:rsid w:val="00511990"/>
    <w:rsid w:val="00511BD9"/>
    <w:rsid w:val="00511DE0"/>
    <w:rsid w:val="00511E84"/>
    <w:rsid w:val="00513D74"/>
    <w:rsid w:val="00513F4F"/>
    <w:rsid w:val="00514870"/>
    <w:rsid w:val="00514915"/>
    <w:rsid w:val="00514B9B"/>
    <w:rsid w:val="00516598"/>
    <w:rsid w:val="00516904"/>
    <w:rsid w:val="00517309"/>
    <w:rsid w:val="00517F02"/>
    <w:rsid w:val="005214E3"/>
    <w:rsid w:val="005224B6"/>
    <w:rsid w:val="00522A79"/>
    <w:rsid w:val="005237FE"/>
    <w:rsid w:val="00524303"/>
    <w:rsid w:val="005246C9"/>
    <w:rsid w:val="005258A2"/>
    <w:rsid w:val="0052603D"/>
    <w:rsid w:val="005306C4"/>
    <w:rsid w:val="00532669"/>
    <w:rsid w:val="00532B4D"/>
    <w:rsid w:val="00536A06"/>
    <w:rsid w:val="00537268"/>
    <w:rsid w:val="005401AE"/>
    <w:rsid w:val="005402D8"/>
    <w:rsid w:val="00540546"/>
    <w:rsid w:val="00542E07"/>
    <w:rsid w:val="00543459"/>
    <w:rsid w:val="00543763"/>
    <w:rsid w:val="0054435E"/>
    <w:rsid w:val="00545424"/>
    <w:rsid w:val="00545BC7"/>
    <w:rsid w:val="00545C5C"/>
    <w:rsid w:val="00546495"/>
    <w:rsid w:val="00546DBB"/>
    <w:rsid w:val="00547731"/>
    <w:rsid w:val="00550F20"/>
    <w:rsid w:val="005529E0"/>
    <w:rsid w:val="00552A76"/>
    <w:rsid w:val="00553DEB"/>
    <w:rsid w:val="00554A7B"/>
    <w:rsid w:val="00554FD7"/>
    <w:rsid w:val="00555133"/>
    <w:rsid w:val="0055572C"/>
    <w:rsid w:val="00555A9B"/>
    <w:rsid w:val="00556CB0"/>
    <w:rsid w:val="005575D9"/>
    <w:rsid w:val="005575FB"/>
    <w:rsid w:val="0056106A"/>
    <w:rsid w:val="00563363"/>
    <w:rsid w:val="005633B5"/>
    <w:rsid w:val="00564E2D"/>
    <w:rsid w:val="0057041F"/>
    <w:rsid w:val="005708C0"/>
    <w:rsid w:val="005720AE"/>
    <w:rsid w:val="00572EC6"/>
    <w:rsid w:val="005746EB"/>
    <w:rsid w:val="005762D2"/>
    <w:rsid w:val="0057700F"/>
    <w:rsid w:val="00577519"/>
    <w:rsid w:val="005853A1"/>
    <w:rsid w:val="005853A3"/>
    <w:rsid w:val="00586619"/>
    <w:rsid w:val="005876CC"/>
    <w:rsid w:val="00592292"/>
    <w:rsid w:val="00594D77"/>
    <w:rsid w:val="005953C7"/>
    <w:rsid w:val="005969E4"/>
    <w:rsid w:val="00597199"/>
    <w:rsid w:val="005977CB"/>
    <w:rsid w:val="005A06B7"/>
    <w:rsid w:val="005A1759"/>
    <w:rsid w:val="005A1C52"/>
    <w:rsid w:val="005A23C1"/>
    <w:rsid w:val="005A5B0F"/>
    <w:rsid w:val="005A68A7"/>
    <w:rsid w:val="005B1104"/>
    <w:rsid w:val="005B1E16"/>
    <w:rsid w:val="005B1FF4"/>
    <w:rsid w:val="005B283B"/>
    <w:rsid w:val="005B442B"/>
    <w:rsid w:val="005B6E84"/>
    <w:rsid w:val="005B706B"/>
    <w:rsid w:val="005B7CDE"/>
    <w:rsid w:val="005B7FBB"/>
    <w:rsid w:val="005C37A9"/>
    <w:rsid w:val="005C5D83"/>
    <w:rsid w:val="005C6B07"/>
    <w:rsid w:val="005D1891"/>
    <w:rsid w:val="005D238F"/>
    <w:rsid w:val="005D2689"/>
    <w:rsid w:val="005D36AB"/>
    <w:rsid w:val="005D46B6"/>
    <w:rsid w:val="005E31D6"/>
    <w:rsid w:val="005E4683"/>
    <w:rsid w:val="005E52CE"/>
    <w:rsid w:val="005E6482"/>
    <w:rsid w:val="005E6A3D"/>
    <w:rsid w:val="005E7C8E"/>
    <w:rsid w:val="005F3CBB"/>
    <w:rsid w:val="005F5681"/>
    <w:rsid w:val="005F56EA"/>
    <w:rsid w:val="005F6407"/>
    <w:rsid w:val="005F7871"/>
    <w:rsid w:val="00604636"/>
    <w:rsid w:val="006050FC"/>
    <w:rsid w:val="00606449"/>
    <w:rsid w:val="00606D2C"/>
    <w:rsid w:val="006109FC"/>
    <w:rsid w:val="00610CEB"/>
    <w:rsid w:val="00611DD4"/>
    <w:rsid w:val="00612B00"/>
    <w:rsid w:val="0061585F"/>
    <w:rsid w:val="00615B2C"/>
    <w:rsid w:val="0061609D"/>
    <w:rsid w:val="0061668A"/>
    <w:rsid w:val="00617CC3"/>
    <w:rsid w:val="00621D62"/>
    <w:rsid w:val="0062331B"/>
    <w:rsid w:val="00625C59"/>
    <w:rsid w:val="006264CA"/>
    <w:rsid w:val="0062651D"/>
    <w:rsid w:val="00627CA6"/>
    <w:rsid w:val="00630216"/>
    <w:rsid w:val="00630CC3"/>
    <w:rsid w:val="006329DB"/>
    <w:rsid w:val="00632B50"/>
    <w:rsid w:val="00632E5C"/>
    <w:rsid w:val="00633684"/>
    <w:rsid w:val="0063533D"/>
    <w:rsid w:val="006361A0"/>
    <w:rsid w:val="0063661A"/>
    <w:rsid w:val="006377A6"/>
    <w:rsid w:val="00637A3D"/>
    <w:rsid w:val="006411EF"/>
    <w:rsid w:val="00641326"/>
    <w:rsid w:val="00643791"/>
    <w:rsid w:val="006437CE"/>
    <w:rsid w:val="0065289C"/>
    <w:rsid w:val="00652C11"/>
    <w:rsid w:val="00653CA0"/>
    <w:rsid w:val="006551B0"/>
    <w:rsid w:val="006578F3"/>
    <w:rsid w:val="0066028F"/>
    <w:rsid w:val="006604EC"/>
    <w:rsid w:val="00661AA2"/>
    <w:rsid w:val="00661E89"/>
    <w:rsid w:val="006706D6"/>
    <w:rsid w:val="00673796"/>
    <w:rsid w:val="00673860"/>
    <w:rsid w:val="0067446C"/>
    <w:rsid w:val="006748B8"/>
    <w:rsid w:val="00676C14"/>
    <w:rsid w:val="00677170"/>
    <w:rsid w:val="006775C3"/>
    <w:rsid w:val="006779D2"/>
    <w:rsid w:val="00681A9F"/>
    <w:rsid w:val="00682C84"/>
    <w:rsid w:val="00686644"/>
    <w:rsid w:val="00687E78"/>
    <w:rsid w:val="0069290A"/>
    <w:rsid w:val="0069775A"/>
    <w:rsid w:val="00697813"/>
    <w:rsid w:val="006A1E40"/>
    <w:rsid w:val="006A3EE8"/>
    <w:rsid w:val="006A5E20"/>
    <w:rsid w:val="006A72BF"/>
    <w:rsid w:val="006A77D0"/>
    <w:rsid w:val="006B0344"/>
    <w:rsid w:val="006B03F2"/>
    <w:rsid w:val="006B0EA5"/>
    <w:rsid w:val="006B1053"/>
    <w:rsid w:val="006B1ABD"/>
    <w:rsid w:val="006B1C10"/>
    <w:rsid w:val="006B37DC"/>
    <w:rsid w:val="006B4F68"/>
    <w:rsid w:val="006B6F38"/>
    <w:rsid w:val="006C0592"/>
    <w:rsid w:val="006C0EEE"/>
    <w:rsid w:val="006C272E"/>
    <w:rsid w:val="006C30C9"/>
    <w:rsid w:val="006C3482"/>
    <w:rsid w:val="006C3961"/>
    <w:rsid w:val="006C5479"/>
    <w:rsid w:val="006C5FF6"/>
    <w:rsid w:val="006C69EC"/>
    <w:rsid w:val="006C7977"/>
    <w:rsid w:val="006D13B5"/>
    <w:rsid w:val="006D526B"/>
    <w:rsid w:val="006E03E0"/>
    <w:rsid w:val="006E12FF"/>
    <w:rsid w:val="006E19C8"/>
    <w:rsid w:val="006E3303"/>
    <w:rsid w:val="006E4E2C"/>
    <w:rsid w:val="006E607E"/>
    <w:rsid w:val="006F00B6"/>
    <w:rsid w:val="006F2685"/>
    <w:rsid w:val="006F3AD7"/>
    <w:rsid w:val="006F57F6"/>
    <w:rsid w:val="006F7E29"/>
    <w:rsid w:val="00700298"/>
    <w:rsid w:val="00700884"/>
    <w:rsid w:val="00701645"/>
    <w:rsid w:val="00702576"/>
    <w:rsid w:val="00702C1D"/>
    <w:rsid w:val="00703208"/>
    <w:rsid w:val="00705C35"/>
    <w:rsid w:val="007065C8"/>
    <w:rsid w:val="00706816"/>
    <w:rsid w:val="00706C5D"/>
    <w:rsid w:val="007075E0"/>
    <w:rsid w:val="00710039"/>
    <w:rsid w:val="00713DBC"/>
    <w:rsid w:val="00713FCF"/>
    <w:rsid w:val="0071667F"/>
    <w:rsid w:val="00717D02"/>
    <w:rsid w:val="007216A4"/>
    <w:rsid w:val="00722A57"/>
    <w:rsid w:val="00725CBB"/>
    <w:rsid w:val="00726843"/>
    <w:rsid w:val="007276BB"/>
    <w:rsid w:val="007311A1"/>
    <w:rsid w:val="00731EA2"/>
    <w:rsid w:val="00732922"/>
    <w:rsid w:val="0074041B"/>
    <w:rsid w:val="007414CF"/>
    <w:rsid w:val="00746F9C"/>
    <w:rsid w:val="00747734"/>
    <w:rsid w:val="00750FC3"/>
    <w:rsid w:val="0075162E"/>
    <w:rsid w:val="00751C11"/>
    <w:rsid w:val="007521A3"/>
    <w:rsid w:val="007522DE"/>
    <w:rsid w:val="0075236E"/>
    <w:rsid w:val="00752CA9"/>
    <w:rsid w:val="00754034"/>
    <w:rsid w:val="00756556"/>
    <w:rsid w:val="00756BF0"/>
    <w:rsid w:val="00756F75"/>
    <w:rsid w:val="0076119C"/>
    <w:rsid w:val="007613C3"/>
    <w:rsid w:val="007616D8"/>
    <w:rsid w:val="007618C4"/>
    <w:rsid w:val="007620FB"/>
    <w:rsid w:val="0076392A"/>
    <w:rsid w:val="00764971"/>
    <w:rsid w:val="00764E87"/>
    <w:rsid w:val="00766C43"/>
    <w:rsid w:val="00767425"/>
    <w:rsid w:val="00767980"/>
    <w:rsid w:val="00770B19"/>
    <w:rsid w:val="00774217"/>
    <w:rsid w:val="0077463F"/>
    <w:rsid w:val="00775A4D"/>
    <w:rsid w:val="007773A9"/>
    <w:rsid w:val="007778D1"/>
    <w:rsid w:val="00777CEE"/>
    <w:rsid w:val="00780039"/>
    <w:rsid w:val="00781587"/>
    <w:rsid w:val="0078174F"/>
    <w:rsid w:val="00781F9F"/>
    <w:rsid w:val="007821E4"/>
    <w:rsid w:val="007822EF"/>
    <w:rsid w:val="007836EA"/>
    <w:rsid w:val="00784CDA"/>
    <w:rsid w:val="007850B9"/>
    <w:rsid w:val="00785616"/>
    <w:rsid w:val="00785BA6"/>
    <w:rsid w:val="00785FC9"/>
    <w:rsid w:val="007906C4"/>
    <w:rsid w:val="0079295C"/>
    <w:rsid w:val="007940EA"/>
    <w:rsid w:val="007967E8"/>
    <w:rsid w:val="007969B3"/>
    <w:rsid w:val="00797D63"/>
    <w:rsid w:val="00797E2F"/>
    <w:rsid w:val="007A2170"/>
    <w:rsid w:val="007A22BF"/>
    <w:rsid w:val="007A251A"/>
    <w:rsid w:val="007A2A1D"/>
    <w:rsid w:val="007A3323"/>
    <w:rsid w:val="007A7A09"/>
    <w:rsid w:val="007B0B31"/>
    <w:rsid w:val="007B396A"/>
    <w:rsid w:val="007B44BA"/>
    <w:rsid w:val="007B72B8"/>
    <w:rsid w:val="007B7A58"/>
    <w:rsid w:val="007C04C8"/>
    <w:rsid w:val="007C146A"/>
    <w:rsid w:val="007C21B5"/>
    <w:rsid w:val="007C2C4A"/>
    <w:rsid w:val="007C3028"/>
    <w:rsid w:val="007C619B"/>
    <w:rsid w:val="007C6604"/>
    <w:rsid w:val="007D3887"/>
    <w:rsid w:val="007D686A"/>
    <w:rsid w:val="007D6A9C"/>
    <w:rsid w:val="007D77B5"/>
    <w:rsid w:val="007E099F"/>
    <w:rsid w:val="007E1AC2"/>
    <w:rsid w:val="007E2007"/>
    <w:rsid w:val="007E2D75"/>
    <w:rsid w:val="007E4BD2"/>
    <w:rsid w:val="007E6B17"/>
    <w:rsid w:val="007E70C2"/>
    <w:rsid w:val="007E7C50"/>
    <w:rsid w:val="007F7452"/>
    <w:rsid w:val="007F7474"/>
    <w:rsid w:val="00801393"/>
    <w:rsid w:val="00802F88"/>
    <w:rsid w:val="00805883"/>
    <w:rsid w:val="0081293E"/>
    <w:rsid w:val="00812F75"/>
    <w:rsid w:val="00815084"/>
    <w:rsid w:val="00815465"/>
    <w:rsid w:val="00815E18"/>
    <w:rsid w:val="00817025"/>
    <w:rsid w:val="00817E9A"/>
    <w:rsid w:val="008215D6"/>
    <w:rsid w:val="0082162B"/>
    <w:rsid w:val="00823925"/>
    <w:rsid w:val="00824D7B"/>
    <w:rsid w:val="0082746E"/>
    <w:rsid w:val="008306BD"/>
    <w:rsid w:val="00831A80"/>
    <w:rsid w:val="00831DA3"/>
    <w:rsid w:val="00832544"/>
    <w:rsid w:val="00833743"/>
    <w:rsid w:val="008340A4"/>
    <w:rsid w:val="00834A1E"/>
    <w:rsid w:val="00835C5F"/>
    <w:rsid w:val="00835E51"/>
    <w:rsid w:val="0083650E"/>
    <w:rsid w:val="008377A7"/>
    <w:rsid w:val="00840094"/>
    <w:rsid w:val="0084269A"/>
    <w:rsid w:val="00844CED"/>
    <w:rsid w:val="00844D7D"/>
    <w:rsid w:val="008459FB"/>
    <w:rsid w:val="00850F03"/>
    <w:rsid w:val="00851D6E"/>
    <w:rsid w:val="00851E7E"/>
    <w:rsid w:val="0085262B"/>
    <w:rsid w:val="00853636"/>
    <w:rsid w:val="008542E3"/>
    <w:rsid w:val="00854F78"/>
    <w:rsid w:val="0085538D"/>
    <w:rsid w:val="00855826"/>
    <w:rsid w:val="00860660"/>
    <w:rsid w:val="00861A7D"/>
    <w:rsid w:val="00862C4E"/>
    <w:rsid w:val="008638DD"/>
    <w:rsid w:val="0086475C"/>
    <w:rsid w:val="00865329"/>
    <w:rsid w:val="00865A75"/>
    <w:rsid w:val="008676D3"/>
    <w:rsid w:val="00867806"/>
    <w:rsid w:val="00870C82"/>
    <w:rsid w:val="0087135F"/>
    <w:rsid w:val="00871C61"/>
    <w:rsid w:val="00872054"/>
    <w:rsid w:val="008720FE"/>
    <w:rsid w:val="00872D94"/>
    <w:rsid w:val="00873CA8"/>
    <w:rsid w:val="0087459F"/>
    <w:rsid w:val="00875BCF"/>
    <w:rsid w:val="00876A9F"/>
    <w:rsid w:val="00880364"/>
    <w:rsid w:val="008805B7"/>
    <w:rsid w:val="00880CDD"/>
    <w:rsid w:val="00881A9C"/>
    <w:rsid w:val="00891592"/>
    <w:rsid w:val="00891E9E"/>
    <w:rsid w:val="008927CF"/>
    <w:rsid w:val="00892D5E"/>
    <w:rsid w:val="00893F2C"/>
    <w:rsid w:val="008949E5"/>
    <w:rsid w:val="00894B15"/>
    <w:rsid w:val="008956E9"/>
    <w:rsid w:val="00895AA8"/>
    <w:rsid w:val="008966AD"/>
    <w:rsid w:val="008967FC"/>
    <w:rsid w:val="0089720B"/>
    <w:rsid w:val="00897571"/>
    <w:rsid w:val="008A2F68"/>
    <w:rsid w:val="008A4514"/>
    <w:rsid w:val="008A68CC"/>
    <w:rsid w:val="008B3BD2"/>
    <w:rsid w:val="008B4256"/>
    <w:rsid w:val="008B4FA6"/>
    <w:rsid w:val="008B5282"/>
    <w:rsid w:val="008B6394"/>
    <w:rsid w:val="008B7C17"/>
    <w:rsid w:val="008B7D36"/>
    <w:rsid w:val="008C0815"/>
    <w:rsid w:val="008C11D9"/>
    <w:rsid w:val="008C2D01"/>
    <w:rsid w:val="008C40E6"/>
    <w:rsid w:val="008C4C9A"/>
    <w:rsid w:val="008C5ADB"/>
    <w:rsid w:val="008C63A0"/>
    <w:rsid w:val="008C7181"/>
    <w:rsid w:val="008D03DA"/>
    <w:rsid w:val="008D0789"/>
    <w:rsid w:val="008D0F7A"/>
    <w:rsid w:val="008D5841"/>
    <w:rsid w:val="008D68E4"/>
    <w:rsid w:val="008E0506"/>
    <w:rsid w:val="008E0CFF"/>
    <w:rsid w:val="008E0FC1"/>
    <w:rsid w:val="008E1C10"/>
    <w:rsid w:val="008E296D"/>
    <w:rsid w:val="008E2DCD"/>
    <w:rsid w:val="008E3F18"/>
    <w:rsid w:val="008E5D6B"/>
    <w:rsid w:val="008E76F0"/>
    <w:rsid w:val="008E7D11"/>
    <w:rsid w:val="008F0B07"/>
    <w:rsid w:val="008F15FE"/>
    <w:rsid w:val="008F224F"/>
    <w:rsid w:val="008F2C45"/>
    <w:rsid w:val="008F2D29"/>
    <w:rsid w:val="008F2F33"/>
    <w:rsid w:val="008F479D"/>
    <w:rsid w:val="008F5187"/>
    <w:rsid w:val="008F5583"/>
    <w:rsid w:val="008F59FF"/>
    <w:rsid w:val="008F5ADE"/>
    <w:rsid w:val="008F60D8"/>
    <w:rsid w:val="00901243"/>
    <w:rsid w:val="00901F94"/>
    <w:rsid w:val="00902519"/>
    <w:rsid w:val="00902727"/>
    <w:rsid w:val="0090312B"/>
    <w:rsid w:val="00903979"/>
    <w:rsid w:val="00904132"/>
    <w:rsid w:val="009104B9"/>
    <w:rsid w:val="0091061B"/>
    <w:rsid w:val="0091138A"/>
    <w:rsid w:val="00911B98"/>
    <w:rsid w:val="0091218C"/>
    <w:rsid w:val="0091272C"/>
    <w:rsid w:val="00912CF6"/>
    <w:rsid w:val="0091481B"/>
    <w:rsid w:val="00915E60"/>
    <w:rsid w:val="009165EA"/>
    <w:rsid w:val="0091736D"/>
    <w:rsid w:val="00917B2E"/>
    <w:rsid w:val="0092087A"/>
    <w:rsid w:val="009222D6"/>
    <w:rsid w:val="00926698"/>
    <w:rsid w:val="0093037A"/>
    <w:rsid w:val="009304BF"/>
    <w:rsid w:val="00931D32"/>
    <w:rsid w:val="009330D6"/>
    <w:rsid w:val="00936549"/>
    <w:rsid w:val="0094154D"/>
    <w:rsid w:val="0094224F"/>
    <w:rsid w:val="00943418"/>
    <w:rsid w:val="00943AA8"/>
    <w:rsid w:val="00943DD4"/>
    <w:rsid w:val="0094426B"/>
    <w:rsid w:val="0095155F"/>
    <w:rsid w:val="009525BC"/>
    <w:rsid w:val="0095280A"/>
    <w:rsid w:val="00953016"/>
    <w:rsid w:val="00953568"/>
    <w:rsid w:val="009535D7"/>
    <w:rsid w:val="0095420F"/>
    <w:rsid w:val="00954429"/>
    <w:rsid w:val="00955313"/>
    <w:rsid w:val="00955C63"/>
    <w:rsid w:val="009563CE"/>
    <w:rsid w:val="009604AC"/>
    <w:rsid w:val="00963D59"/>
    <w:rsid w:val="00965AE6"/>
    <w:rsid w:val="0096757A"/>
    <w:rsid w:val="00971BA8"/>
    <w:rsid w:val="00972DE2"/>
    <w:rsid w:val="00973DDD"/>
    <w:rsid w:val="00974BCB"/>
    <w:rsid w:val="00974DFA"/>
    <w:rsid w:val="00975983"/>
    <w:rsid w:val="00976328"/>
    <w:rsid w:val="0097680D"/>
    <w:rsid w:val="0097690C"/>
    <w:rsid w:val="00977937"/>
    <w:rsid w:val="0097794C"/>
    <w:rsid w:val="009779F7"/>
    <w:rsid w:val="0098076D"/>
    <w:rsid w:val="00980AF1"/>
    <w:rsid w:val="00982438"/>
    <w:rsid w:val="00982E73"/>
    <w:rsid w:val="00983B60"/>
    <w:rsid w:val="0098404C"/>
    <w:rsid w:val="009849E8"/>
    <w:rsid w:val="00985283"/>
    <w:rsid w:val="00985745"/>
    <w:rsid w:val="00986DDD"/>
    <w:rsid w:val="0098780A"/>
    <w:rsid w:val="00987E00"/>
    <w:rsid w:val="00992221"/>
    <w:rsid w:val="00993AF4"/>
    <w:rsid w:val="009942CA"/>
    <w:rsid w:val="00994A7F"/>
    <w:rsid w:val="00995992"/>
    <w:rsid w:val="0099797D"/>
    <w:rsid w:val="00997B5B"/>
    <w:rsid w:val="009A0199"/>
    <w:rsid w:val="009A03E5"/>
    <w:rsid w:val="009A0F3B"/>
    <w:rsid w:val="009A1BB4"/>
    <w:rsid w:val="009A2628"/>
    <w:rsid w:val="009A3200"/>
    <w:rsid w:val="009A4005"/>
    <w:rsid w:val="009A5FDA"/>
    <w:rsid w:val="009A692C"/>
    <w:rsid w:val="009B0897"/>
    <w:rsid w:val="009B0AE9"/>
    <w:rsid w:val="009B2287"/>
    <w:rsid w:val="009B3739"/>
    <w:rsid w:val="009B4B1C"/>
    <w:rsid w:val="009B5060"/>
    <w:rsid w:val="009B67EF"/>
    <w:rsid w:val="009B6E4D"/>
    <w:rsid w:val="009B6EAC"/>
    <w:rsid w:val="009B7BD9"/>
    <w:rsid w:val="009C125E"/>
    <w:rsid w:val="009C31F2"/>
    <w:rsid w:val="009C34CD"/>
    <w:rsid w:val="009C4F55"/>
    <w:rsid w:val="009C55FE"/>
    <w:rsid w:val="009C58AC"/>
    <w:rsid w:val="009C6191"/>
    <w:rsid w:val="009C65B4"/>
    <w:rsid w:val="009C7DD5"/>
    <w:rsid w:val="009D0457"/>
    <w:rsid w:val="009D0A54"/>
    <w:rsid w:val="009D7BAE"/>
    <w:rsid w:val="009E1967"/>
    <w:rsid w:val="009E201F"/>
    <w:rsid w:val="009E227D"/>
    <w:rsid w:val="009E400E"/>
    <w:rsid w:val="009E5019"/>
    <w:rsid w:val="009E50CD"/>
    <w:rsid w:val="009E51C9"/>
    <w:rsid w:val="009F2F67"/>
    <w:rsid w:val="009F30DA"/>
    <w:rsid w:val="009F339B"/>
    <w:rsid w:val="009F5E38"/>
    <w:rsid w:val="00A01CE6"/>
    <w:rsid w:val="00A04F1B"/>
    <w:rsid w:val="00A0501B"/>
    <w:rsid w:val="00A06102"/>
    <w:rsid w:val="00A06981"/>
    <w:rsid w:val="00A07995"/>
    <w:rsid w:val="00A131E8"/>
    <w:rsid w:val="00A14947"/>
    <w:rsid w:val="00A16F7F"/>
    <w:rsid w:val="00A227D0"/>
    <w:rsid w:val="00A25A71"/>
    <w:rsid w:val="00A267D4"/>
    <w:rsid w:val="00A26B2C"/>
    <w:rsid w:val="00A274FA"/>
    <w:rsid w:val="00A30766"/>
    <w:rsid w:val="00A30CFB"/>
    <w:rsid w:val="00A31A7F"/>
    <w:rsid w:val="00A32A83"/>
    <w:rsid w:val="00A33B46"/>
    <w:rsid w:val="00A347B1"/>
    <w:rsid w:val="00A368DB"/>
    <w:rsid w:val="00A3737C"/>
    <w:rsid w:val="00A3743C"/>
    <w:rsid w:val="00A410BF"/>
    <w:rsid w:val="00A422F4"/>
    <w:rsid w:val="00A42343"/>
    <w:rsid w:val="00A423AA"/>
    <w:rsid w:val="00A437E0"/>
    <w:rsid w:val="00A44ED6"/>
    <w:rsid w:val="00A453A0"/>
    <w:rsid w:val="00A45B8C"/>
    <w:rsid w:val="00A46250"/>
    <w:rsid w:val="00A47778"/>
    <w:rsid w:val="00A52056"/>
    <w:rsid w:val="00A52AF5"/>
    <w:rsid w:val="00A53EC6"/>
    <w:rsid w:val="00A54015"/>
    <w:rsid w:val="00A54D7A"/>
    <w:rsid w:val="00A55222"/>
    <w:rsid w:val="00A55C0F"/>
    <w:rsid w:val="00A5631F"/>
    <w:rsid w:val="00A57CB2"/>
    <w:rsid w:val="00A601F0"/>
    <w:rsid w:val="00A61A9A"/>
    <w:rsid w:val="00A629CA"/>
    <w:rsid w:val="00A62C33"/>
    <w:rsid w:val="00A63807"/>
    <w:rsid w:val="00A638D0"/>
    <w:rsid w:val="00A64415"/>
    <w:rsid w:val="00A64BD1"/>
    <w:rsid w:val="00A6534B"/>
    <w:rsid w:val="00A67685"/>
    <w:rsid w:val="00A67B1C"/>
    <w:rsid w:val="00A71ACD"/>
    <w:rsid w:val="00A72ADB"/>
    <w:rsid w:val="00A72B20"/>
    <w:rsid w:val="00A7521F"/>
    <w:rsid w:val="00A7618A"/>
    <w:rsid w:val="00A761D5"/>
    <w:rsid w:val="00A76F4A"/>
    <w:rsid w:val="00A76FC5"/>
    <w:rsid w:val="00A80492"/>
    <w:rsid w:val="00A811FF"/>
    <w:rsid w:val="00A8248D"/>
    <w:rsid w:val="00A83953"/>
    <w:rsid w:val="00A83967"/>
    <w:rsid w:val="00A83BEF"/>
    <w:rsid w:val="00A8417E"/>
    <w:rsid w:val="00A85655"/>
    <w:rsid w:val="00A86143"/>
    <w:rsid w:val="00A8713F"/>
    <w:rsid w:val="00A90BA1"/>
    <w:rsid w:val="00A9229C"/>
    <w:rsid w:val="00A929C0"/>
    <w:rsid w:val="00A9385E"/>
    <w:rsid w:val="00A949C7"/>
    <w:rsid w:val="00A95503"/>
    <w:rsid w:val="00A95CF7"/>
    <w:rsid w:val="00A96A46"/>
    <w:rsid w:val="00A97A9A"/>
    <w:rsid w:val="00A97F86"/>
    <w:rsid w:val="00A97FE3"/>
    <w:rsid w:val="00AA0671"/>
    <w:rsid w:val="00AA09CC"/>
    <w:rsid w:val="00AA0BEE"/>
    <w:rsid w:val="00AA15BB"/>
    <w:rsid w:val="00AA2531"/>
    <w:rsid w:val="00AA440A"/>
    <w:rsid w:val="00AA517D"/>
    <w:rsid w:val="00AA56AB"/>
    <w:rsid w:val="00AA7940"/>
    <w:rsid w:val="00AB156D"/>
    <w:rsid w:val="00AB1E09"/>
    <w:rsid w:val="00AB3652"/>
    <w:rsid w:val="00AB4064"/>
    <w:rsid w:val="00AB5330"/>
    <w:rsid w:val="00AB7747"/>
    <w:rsid w:val="00AC0AF2"/>
    <w:rsid w:val="00AC14CE"/>
    <w:rsid w:val="00AC2A56"/>
    <w:rsid w:val="00AC5017"/>
    <w:rsid w:val="00AC7977"/>
    <w:rsid w:val="00AD055E"/>
    <w:rsid w:val="00AD47A7"/>
    <w:rsid w:val="00AD5D86"/>
    <w:rsid w:val="00AE296A"/>
    <w:rsid w:val="00AE3B13"/>
    <w:rsid w:val="00AE792C"/>
    <w:rsid w:val="00AE7B22"/>
    <w:rsid w:val="00AF0CBF"/>
    <w:rsid w:val="00AF257F"/>
    <w:rsid w:val="00AF33CF"/>
    <w:rsid w:val="00AF4D50"/>
    <w:rsid w:val="00AF51DE"/>
    <w:rsid w:val="00AF557E"/>
    <w:rsid w:val="00AF6179"/>
    <w:rsid w:val="00AF6CED"/>
    <w:rsid w:val="00B001F8"/>
    <w:rsid w:val="00B00F09"/>
    <w:rsid w:val="00B0221F"/>
    <w:rsid w:val="00B02D5E"/>
    <w:rsid w:val="00B05E61"/>
    <w:rsid w:val="00B063E4"/>
    <w:rsid w:val="00B07EF7"/>
    <w:rsid w:val="00B10772"/>
    <w:rsid w:val="00B113B7"/>
    <w:rsid w:val="00B1295A"/>
    <w:rsid w:val="00B12A92"/>
    <w:rsid w:val="00B143EA"/>
    <w:rsid w:val="00B156AF"/>
    <w:rsid w:val="00B158C1"/>
    <w:rsid w:val="00B15A7A"/>
    <w:rsid w:val="00B20A45"/>
    <w:rsid w:val="00B21545"/>
    <w:rsid w:val="00B21A52"/>
    <w:rsid w:val="00B221B7"/>
    <w:rsid w:val="00B22C0B"/>
    <w:rsid w:val="00B22C5C"/>
    <w:rsid w:val="00B238C1"/>
    <w:rsid w:val="00B243DE"/>
    <w:rsid w:val="00B24AF0"/>
    <w:rsid w:val="00B24F30"/>
    <w:rsid w:val="00B25D1B"/>
    <w:rsid w:val="00B276A8"/>
    <w:rsid w:val="00B30917"/>
    <w:rsid w:val="00B31ABF"/>
    <w:rsid w:val="00B32F39"/>
    <w:rsid w:val="00B33A50"/>
    <w:rsid w:val="00B33BE3"/>
    <w:rsid w:val="00B3452D"/>
    <w:rsid w:val="00B34661"/>
    <w:rsid w:val="00B361D7"/>
    <w:rsid w:val="00B37BFE"/>
    <w:rsid w:val="00B40015"/>
    <w:rsid w:val="00B40066"/>
    <w:rsid w:val="00B402DC"/>
    <w:rsid w:val="00B40A9E"/>
    <w:rsid w:val="00B41A33"/>
    <w:rsid w:val="00B442A0"/>
    <w:rsid w:val="00B44567"/>
    <w:rsid w:val="00B4493E"/>
    <w:rsid w:val="00B44CA6"/>
    <w:rsid w:val="00B50A78"/>
    <w:rsid w:val="00B50EA6"/>
    <w:rsid w:val="00B52DF4"/>
    <w:rsid w:val="00B53B5D"/>
    <w:rsid w:val="00B561F3"/>
    <w:rsid w:val="00B6055E"/>
    <w:rsid w:val="00B60F43"/>
    <w:rsid w:val="00B61356"/>
    <w:rsid w:val="00B615DE"/>
    <w:rsid w:val="00B6317D"/>
    <w:rsid w:val="00B656A9"/>
    <w:rsid w:val="00B66105"/>
    <w:rsid w:val="00B66E3E"/>
    <w:rsid w:val="00B721FD"/>
    <w:rsid w:val="00B7356A"/>
    <w:rsid w:val="00B737D0"/>
    <w:rsid w:val="00B76474"/>
    <w:rsid w:val="00B7723F"/>
    <w:rsid w:val="00B77C26"/>
    <w:rsid w:val="00B77C74"/>
    <w:rsid w:val="00B801AE"/>
    <w:rsid w:val="00B80534"/>
    <w:rsid w:val="00B808A8"/>
    <w:rsid w:val="00B82774"/>
    <w:rsid w:val="00B8433C"/>
    <w:rsid w:val="00B857F5"/>
    <w:rsid w:val="00B8704F"/>
    <w:rsid w:val="00B87491"/>
    <w:rsid w:val="00B91524"/>
    <w:rsid w:val="00B91591"/>
    <w:rsid w:val="00B949C2"/>
    <w:rsid w:val="00B95EE2"/>
    <w:rsid w:val="00B971D9"/>
    <w:rsid w:val="00BA1CC7"/>
    <w:rsid w:val="00BA231C"/>
    <w:rsid w:val="00BA29E9"/>
    <w:rsid w:val="00BA3998"/>
    <w:rsid w:val="00BA48F4"/>
    <w:rsid w:val="00BA5FD1"/>
    <w:rsid w:val="00BA7142"/>
    <w:rsid w:val="00BA7202"/>
    <w:rsid w:val="00BA7CE5"/>
    <w:rsid w:val="00BB0222"/>
    <w:rsid w:val="00BB1DEB"/>
    <w:rsid w:val="00BB237C"/>
    <w:rsid w:val="00BB2408"/>
    <w:rsid w:val="00BB3A22"/>
    <w:rsid w:val="00BB41A3"/>
    <w:rsid w:val="00BB4DA3"/>
    <w:rsid w:val="00BB5323"/>
    <w:rsid w:val="00BC0039"/>
    <w:rsid w:val="00BC047E"/>
    <w:rsid w:val="00BC04F0"/>
    <w:rsid w:val="00BC053D"/>
    <w:rsid w:val="00BC07DC"/>
    <w:rsid w:val="00BC0BDF"/>
    <w:rsid w:val="00BC1E92"/>
    <w:rsid w:val="00BC2941"/>
    <w:rsid w:val="00BC32DC"/>
    <w:rsid w:val="00BC3379"/>
    <w:rsid w:val="00BC35B6"/>
    <w:rsid w:val="00BC43D3"/>
    <w:rsid w:val="00BC4E22"/>
    <w:rsid w:val="00BC517C"/>
    <w:rsid w:val="00BC57AD"/>
    <w:rsid w:val="00BD004E"/>
    <w:rsid w:val="00BD1B51"/>
    <w:rsid w:val="00BD207A"/>
    <w:rsid w:val="00BD27B6"/>
    <w:rsid w:val="00BD4596"/>
    <w:rsid w:val="00BD598B"/>
    <w:rsid w:val="00BD763D"/>
    <w:rsid w:val="00BD7931"/>
    <w:rsid w:val="00BE1405"/>
    <w:rsid w:val="00BE2263"/>
    <w:rsid w:val="00BE312D"/>
    <w:rsid w:val="00BE4D31"/>
    <w:rsid w:val="00BE6E83"/>
    <w:rsid w:val="00BE6EFF"/>
    <w:rsid w:val="00BE73BF"/>
    <w:rsid w:val="00BF035E"/>
    <w:rsid w:val="00BF0E3D"/>
    <w:rsid w:val="00BF17B8"/>
    <w:rsid w:val="00BF1C20"/>
    <w:rsid w:val="00BF3AA5"/>
    <w:rsid w:val="00BF3D22"/>
    <w:rsid w:val="00BF5B59"/>
    <w:rsid w:val="00BF6544"/>
    <w:rsid w:val="00BF71FF"/>
    <w:rsid w:val="00BF75B5"/>
    <w:rsid w:val="00C01A67"/>
    <w:rsid w:val="00C02B12"/>
    <w:rsid w:val="00C05801"/>
    <w:rsid w:val="00C05B29"/>
    <w:rsid w:val="00C07317"/>
    <w:rsid w:val="00C10149"/>
    <w:rsid w:val="00C10578"/>
    <w:rsid w:val="00C135BC"/>
    <w:rsid w:val="00C15C63"/>
    <w:rsid w:val="00C15C95"/>
    <w:rsid w:val="00C172AF"/>
    <w:rsid w:val="00C21186"/>
    <w:rsid w:val="00C21ED8"/>
    <w:rsid w:val="00C23A29"/>
    <w:rsid w:val="00C2596A"/>
    <w:rsid w:val="00C25F0F"/>
    <w:rsid w:val="00C267F1"/>
    <w:rsid w:val="00C26851"/>
    <w:rsid w:val="00C27537"/>
    <w:rsid w:val="00C300D1"/>
    <w:rsid w:val="00C30649"/>
    <w:rsid w:val="00C31B0A"/>
    <w:rsid w:val="00C328FE"/>
    <w:rsid w:val="00C32FB6"/>
    <w:rsid w:val="00C33507"/>
    <w:rsid w:val="00C336EE"/>
    <w:rsid w:val="00C367F4"/>
    <w:rsid w:val="00C3748F"/>
    <w:rsid w:val="00C37839"/>
    <w:rsid w:val="00C408AF"/>
    <w:rsid w:val="00C4409D"/>
    <w:rsid w:val="00C44E72"/>
    <w:rsid w:val="00C45A06"/>
    <w:rsid w:val="00C45A08"/>
    <w:rsid w:val="00C4737F"/>
    <w:rsid w:val="00C47E5B"/>
    <w:rsid w:val="00C50A12"/>
    <w:rsid w:val="00C51BAF"/>
    <w:rsid w:val="00C523D5"/>
    <w:rsid w:val="00C52780"/>
    <w:rsid w:val="00C53B04"/>
    <w:rsid w:val="00C55E88"/>
    <w:rsid w:val="00C56755"/>
    <w:rsid w:val="00C56CD7"/>
    <w:rsid w:val="00C56F97"/>
    <w:rsid w:val="00C61E4B"/>
    <w:rsid w:val="00C64233"/>
    <w:rsid w:val="00C64BFF"/>
    <w:rsid w:val="00C666A2"/>
    <w:rsid w:val="00C66BC5"/>
    <w:rsid w:val="00C67146"/>
    <w:rsid w:val="00C67BB2"/>
    <w:rsid w:val="00C67BE5"/>
    <w:rsid w:val="00C67C39"/>
    <w:rsid w:val="00C67FBC"/>
    <w:rsid w:val="00C704E9"/>
    <w:rsid w:val="00C7321E"/>
    <w:rsid w:val="00C73709"/>
    <w:rsid w:val="00C747DA"/>
    <w:rsid w:val="00C74DB9"/>
    <w:rsid w:val="00C7536A"/>
    <w:rsid w:val="00C763C9"/>
    <w:rsid w:val="00C768F4"/>
    <w:rsid w:val="00C768F5"/>
    <w:rsid w:val="00C80057"/>
    <w:rsid w:val="00C80299"/>
    <w:rsid w:val="00C80C1B"/>
    <w:rsid w:val="00C810BA"/>
    <w:rsid w:val="00C818FB"/>
    <w:rsid w:val="00C82232"/>
    <w:rsid w:val="00C82913"/>
    <w:rsid w:val="00C83E78"/>
    <w:rsid w:val="00C843B9"/>
    <w:rsid w:val="00C849D6"/>
    <w:rsid w:val="00C85093"/>
    <w:rsid w:val="00C855F8"/>
    <w:rsid w:val="00C90AE3"/>
    <w:rsid w:val="00C90FEC"/>
    <w:rsid w:val="00C92336"/>
    <w:rsid w:val="00C952D5"/>
    <w:rsid w:val="00C972B1"/>
    <w:rsid w:val="00CA0B8C"/>
    <w:rsid w:val="00CA2CCE"/>
    <w:rsid w:val="00CA36DA"/>
    <w:rsid w:val="00CA3D7E"/>
    <w:rsid w:val="00CA43FD"/>
    <w:rsid w:val="00CA4A53"/>
    <w:rsid w:val="00CA5AD5"/>
    <w:rsid w:val="00CA7EF8"/>
    <w:rsid w:val="00CB1A02"/>
    <w:rsid w:val="00CB6BB2"/>
    <w:rsid w:val="00CB6D19"/>
    <w:rsid w:val="00CC1469"/>
    <w:rsid w:val="00CC16F2"/>
    <w:rsid w:val="00CC242C"/>
    <w:rsid w:val="00CC365D"/>
    <w:rsid w:val="00CC456D"/>
    <w:rsid w:val="00CC489B"/>
    <w:rsid w:val="00CC71EF"/>
    <w:rsid w:val="00CD091D"/>
    <w:rsid w:val="00CD0AE5"/>
    <w:rsid w:val="00CD104F"/>
    <w:rsid w:val="00CD16A7"/>
    <w:rsid w:val="00CD2BCD"/>
    <w:rsid w:val="00CD31F7"/>
    <w:rsid w:val="00CD3A4C"/>
    <w:rsid w:val="00CE022F"/>
    <w:rsid w:val="00CE10E9"/>
    <w:rsid w:val="00CE1328"/>
    <w:rsid w:val="00CE2612"/>
    <w:rsid w:val="00CE2910"/>
    <w:rsid w:val="00CE2BA6"/>
    <w:rsid w:val="00CE2C3E"/>
    <w:rsid w:val="00CE3F53"/>
    <w:rsid w:val="00CE4C30"/>
    <w:rsid w:val="00CE5393"/>
    <w:rsid w:val="00CE5C7B"/>
    <w:rsid w:val="00CE5F1A"/>
    <w:rsid w:val="00CE65D8"/>
    <w:rsid w:val="00CE70EE"/>
    <w:rsid w:val="00CE789E"/>
    <w:rsid w:val="00CF0010"/>
    <w:rsid w:val="00CF36BE"/>
    <w:rsid w:val="00CF38F2"/>
    <w:rsid w:val="00CF5AFA"/>
    <w:rsid w:val="00CF6000"/>
    <w:rsid w:val="00CF668A"/>
    <w:rsid w:val="00CF690C"/>
    <w:rsid w:val="00CF73A1"/>
    <w:rsid w:val="00D003F3"/>
    <w:rsid w:val="00D00861"/>
    <w:rsid w:val="00D02A9D"/>
    <w:rsid w:val="00D0309E"/>
    <w:rsid w:val="00D0364F"/>
    <w:rsid w:val="00D06834"/>
    <w:rsid w:val="00D06AF5"/>
    <w:rsid w:val="00D12017"/>
    <w:rsid w:val="00D14E60"/>
    <w:rsid w:val="00D16454"/>
    <w:rsid w:val="00D2080B"/>
    <w:rsid w:val="00D21A08"/>
    <w:rsid w:val="00D26A83"/>
    <w:rsid w:val="00D272C6"/>
    <w:rsid w:val="00D273D3"/>
    <w:rsid w:val="00D308ED"/>
    <w:rsid w:val="00D30F3E"/>
    <w:rsid w:val="00D312A6"/>
    <w:rsid w:val="00D33B22"/>
    <w:rsid w:val="00D35B9C"/>
    <w:rsid w:val="00D36D86"/>
    <w:rsid w:val="00D428AA"/>
    <w:rsid w:val="00D44841"/>
    <w:rsid w:val="00D45623"/>
    <w:rsid w:val="00D50A34"/>
    <w:rsid w:val="00D5169D"/>
    <w:rsid w:val="00D5342D"/>
    <w:rsid w:val="00D53EFA"/>
    <w:rsid w:val="00D54517"/>
    <w:rsid w:val="00D5466E"/>
    <w:rsid w:val="00D553A8"/>
    <w:rsid w:val="00D5605E"/>
    <w:rsid w:val="00D56945"/>
    <w:rsid w:val="00D57581"/>
    <w:rsid w:val="00D60AD3"/>
    <w:rsid w:val="00D6179F"/>
    <w:rsid w:val="00D62E8E"/>
    <w:rsid w:val="00D65D15"/>
    <w:rsid w:val="00D66EE6"/>
    <w:rsid w:val="00D7072B"/>
    <w:rsid w:val="00D73DF4"/>
    <w:rsid w:val="00D755D2"/>
    <w:rsid w:val="00D75E58"/>
    <w:rsid w:val="00D764C5"/>
    <w:rsid w:val="00D76A5F"/>
    <w:rsid w:val="00D802F1"/>
    <w:rsid w:val="00D80831"/>
    <w:rsid w:val="00D813D0"/>
    <w:rsid w:val="00D847EB"/>
    <w:rsid w:val="00D860C1"/>
    <w:rsid w:val="00D87446"/>
    <w:rsid w:val="00D87EFF"/>
    <w:rsid w:val="00D92265"/>
    <w:rsid w:val="00D934E9"/>
    <w:rsid w:val="00D942D6"/>
    <w:rsid w:val="00D94A7C"/>
    <w:rsid w:val="00D95896"/>
    <w:rsid w:val="00D95CCC"/>
    <w:rsid w:val="00D96A59"/>
    <w:rsid w:val="00D9752D"/>
    <w:rsid w:val="00D97621"/>
    <w:rsid w:val="00D9778D"/>
    <w:rsid w:val="00D97AC4"/>
    <w:rsid w:val="00D97E30"/>
    <w:rsid w:val="00DA059F"/>
    <w:rsid w:val="00DA2FD4"/>
    <w:rsid w:val="00DA3CBE"/>
    <w:rsid w:val="00DA4AD6"/>
    <w:rsid w:val="00DA5A4F"/>
    <w:rsid w:val="00DB1E1C"/>
    <w:rsid w:val="00DB2983"/>
    <w:rsid w:val="00DB2C05"/>
    <w:rsid w:val="00DB597F"/>
    <w:rsid w:val="00DB62A2"/>
    <w:rsid w:val="00DC0617"/>
    <w:rsid w:val="00DC071D"/>
    <w:rsid w:val="00DC1257"/>
    <w:rsid w:val="00DC1461"/>
    <w:rsid w:val="00DC2447"/>
    <w:rsid w:val="00DC3DC0"/>
    <w:rsid w:val="00DC4930"/>
    <w:rsid w:val="00DC5837"/>
    <w:rsid w:val="00DC5B2B"/>
    <w:rsid w:val="00DD1A5B"/>
    <w:rsid w:val="00DD1E7F"/>
    <w:rsid w:val="00DD2427"/>
    <w:rsid w:val="00DD276C"/>
    <w:rsid w:val="00DD318D"/>
    <w:rsid w:val="00DD562D"/>
    <w:rsid w:val="00DD57EF"/>
    <w:rsid w:val="00DD65C9"/>
    <w:rsid w:val="00DE0383"/>
    <w:rsid w:val="00DE175C"/>
    <w:rsid w:val="00DE1F39"/>
    <w:rsid w:val="00DE2FFE"/>
    <w:rsid w:val="00DE3620"/>
    <w:rsid w:val="00DE3D10"/>
    <w:rsid w:val="00DE4E58"/>
    <w:rsid w:val="00DE6B18"/>
    <w:rsid w:val="00DE778B"/>
    <w:rsid w:val="00DF035E"/>
    <w:rsid w:val="00DF2E12"/>
    <w:rsid w:val="00DF2F2E"/>
    <w:rsid w:val="00DF3C56"/>
    <w:rsid w:val="00DF41F2"/>
    <w:rsid w:val="00DF514A"/>
    <w:rsid w:val="00DF6690"/>
    <w:rsid w:val="00DF6804"/>
    <w:rsid w:val="00E002B4"/>
    <w:rsid w:val="00E0358D"/>
    <w:rsid w:val="00E04323"/>
    <w:rsid w:val="00E070A2"/>
    <w:rsid w:val="00E12104"/>
    <w:rsid w:val="00E138F0"/>
    <w:rsid w:val="00E13A35"/>
    <w:rsid w:val="00E15390"/>
    <w:rsid w:val="00E169AB"/>
    <w:rsid w:val="00E16ABE"/>
    <w:rsid w:val="00E17014"/>
    <w:rsid w:val="00E176B3"/>
    <w:rsid w:val="00E177B2"/>
    <w:rsid w:val="00E220D8"/>
    <w:rsid w:val="00E2656A"/>
    <w:rsid w:val="00E279AB"/>
    <w:rsid w:val="00E3027B"/>
    <w:rsid w:val="00E30DE4"/>
    <w:rsid w:val="00E31980"/>
    <w:rsid w:val="00E32611"/>
    <w:rsid w:val="00E33C4C"/>
    <w:rsid w:val="00E34AF2"/>
    <w:rsid w:val="00E34F78"/>
    <w:rsid w:val="00E374D4"/>
    <w:rsid w:val="00E37892"/>
    <w:rsid w:val="00E40036"/>
    <w:rsid w:val="00E407CC"/>
    <w:rsid w:val="00E411EE"/>
    <w:rsid w:val="00E412D0"/>
    <w:rsid w:val="00E42718"/>
    <w:rsid w:val="00E4318A"/>
    <w:rsid w:val="00E43E61"/>
    <w:rsid w:val="00E44E61"/>
    <w:rsid w:val="00E47840"/>
    <w:rsid w:val="00E47916"/>
    <w:rsid w:val="00E47A88"/>
    <w:rsid w:val="00E50F30"/>
    <w:rsid w:val="00E515DC"/>
    <w:rsid w:val="00E5163C"/>
    <w:rsid w:val="00E52F4C"/>
    <w:rsid w:val="00E54984"/>
    <w:rsid w:val="00E56322"/>
    <w:rsid w:val="00E60982"/>
    <w:rsid w:val="00E62C62"/>
    <w:rsid w:val="00E64316"/>
    <w:rsid w:val="00E654C1"/>
    <w:rsid w:val="00E65D97"/>
    <w:rsid w:val="00E65E23"/>
    <w:rsid w:val="00E66648"/>
    <w:rsid w:val="00E67425"/>
    <w:rsid w:val="00E67FA5"/>
    <w:rsid w:val="00E70B58"/>
    <w:rsid w:val="00E72A5A"/>
    <w:rsid w:val="00E73354"/>
    <w:rsid w:val="00E73B16"/>
    <w:rsid w:val="00E74D3C"/>
    <w:rsid w:val="00E76DF8"/>
    <w:rsid w:val="00E8001E"/>
    <w:rsid w:val="00E86356"/>
    <w:rsid w:val="00E86BC3"/>
    <w:rsid w:val="00E8764F"/>
    <w:rsid w:val="00E87D27"/>
    <w:rsid w:val="00E9242D"/>
    <w:rsid w:val="00E9371F"/>
    <w:rsid w:val="00E9372C"/>
    <w:rsid w:val="00E96C66"/>
    <w:rsid w:val="00E970DF"/>
    <w:rsid w:val="00EA12AE"/>
    <w:rsid w:val="00EA27F2"/>
    <w:rsid w:val="00EA41D0"/>
    <w:rsid w:val="00EA5252"/>
    <w:rsid w:val="00EA7832"/>
    <w:rsid w:val="00EA7DC9"/>
    <w:rsid w:val="00EA7F7C"/>
    <w:rsid w:val="00EB0FC9"/>
    <w:rsid w:val="00EB1213"/>
    <w:rsid w:val="00EB468E"/>
    <w:rsid w:val="00EB5255"/>
    <w:rsid w:val="00EB59C5"/>
    <w:rsid w:val="00EB5C47"/>
    <w:rsid w:val="00EB7920"/>
    <w:rsid w:val="00EC10E2"/>
    <w:rsid w:val="00EC10F5"/>
    <w:rsid w:val="00EC17D3"/>
    <w:rsid w:val="00EC1C07"/>
    <w:rsid w:val="00EC2E02"/>
    <w:rsid w:val="00EC6402"/>
    <w:rsid w:val="00ED0539"/>
    <w:rsid w:val="00ED0639"/>
    <w:rsid w:val="00ED159A"/>
    <w:rsid w:val="00ED1C78"/>
    <w:rsid w:val="00ED1EEB"/>
    <w:rsid w:val="00ED73F1"/>
    <w:rsid w:val="00EE0EC7"/>
    <w:rsid w:val="00EE21D8"/>
    <w:rsid w:val="00EE55F7"/>
    <w:rsid w:val="00EE77F0"/>
    <w:rsid w:val="00EF21E2"/>
    <w:rsid w:val="00EF362C"/>
    <w:rsid w:val="00EF4755"/>
    <w:rsid w:val="00EF5B99"/>
    <w:rsid w:val="00EF7135"/>
    <w:rsid w:val="00F001F1"/>
    <w:rsid w:val="00F01371"/>
    <w:rsid w:val="00F01A27"/>
    <w:rsid w:val="00F0215E"/>
    <w:rsid w:val="00F027DB"/>
    <w:rsid w:val="00F03447"/>
    <w:rsid w:val="00F05D9C"/>
    <w:rsid w:val="00F05F06"/>
    <w:rsid w:val="00F065BE"/>
    <w:rsid w:val="00F10212"/>
    <w:rsid w:val="00F109E1"/>
    <w:rsid w:val="00F1271B"/>
    <w:rsid w:val="00F12D28"/>
    <w:rsid w:val="00F12DEE"/>
    <w:rsid w:val="00F1341E"/>
    <w:rsid w:val="00F13B76"/>
    <w:rsid w:val="00F14A7A"/>
    <w:rsid w:val="00F1750B"/>
    <w:rsid w:val="00F1779D"/>
    <w:rsid w:val="00F179DD"/>
    <w:rsid w:val="00F17D2C"/>
    <w:rsid w:val="00F17F06"/>
    <w:rsid w:val="00F2019B"/>
    <w:rsid w:val="00F22985"/>
    <w:rsid w:val="00F23C92"/>
    <w:rsid w:val="00F24AE7"/>
    <w:rsid w:val="00F2535B"/>
    <w:rsid w:val="00F26559"/>
    <w:rsid w:val="00F27FE9"/>
    <w:rsid w:val="00F30722"/>
    <w:rsid w:val="00F30E3A"/>
    <w:rsid w:val="00F31436"/>
    <w:rsid w:val="00F322D6"/>
    <w:rsid w:val="00F32C5A"/>
    <w:rsid w:val="00F33038"/>
    <w:rsid w:val="00F3383E"/>
    <w:rsid w:val="00F37CE6"/>
    <w:rsid w:val="00F37FB4"/>
    <w:rsid w:val="00F42546"/>
    <w:rsid w:val="00F4267B"/>
    <w:rsid w:val="00F42C71"/>
    <w:rsid w:val="00F439FE"/>
    <w:rsid w:val="00F465A7"/>
    <w:rsid w:val="00F47C47"/>
    <w:rsid w:val="00F5027D"/>
    <w:rsid w:val="00F50535"/>
    <w:rsid w:val="00F50B7C"/>
    <w:rsid w:val="00F517EA"/>
    <w:rsid w:val="00F53571"/>
    <w:rsid w:val="00F53EB6"/>
    <w:rsid w:val="00F54740"/>
    <w:rsid w:val="00F550E6"/>
    <w:rsid w:val="00F554F6"/>
    <w:rsid w:val="00F55DAF"/>
    <w:rsid w:val="00F60BC0"/>
    <w:rsid w:val="00F6395C"/>
    <w:rsid w:val="00F6496B"/>
    <w:rsid w:val="00F67056"/>
    <w:rsid w:val="00F674D3"/>
    <w:rsid w:val="00F67A00"/>
    <w:rsid w:val="00F72071"/>
    <w:rsid w:val="00F74345"/>
    <w:rsid w:val="00F76BDB"/>
    <w:rsid w:val="00F77708"/>
    <w:rsid w:val="00F77D4C"/>
    <w:rsid w:val="00F80671"/>
    <w:rsid w:val="00F808A6"/>
    <w:rsid w:val="00F80A0A"/>
    <w:rsid w:val="00F80AB0"/>
    <w:rsid w:val="00F80C30"/>
    <w:rsid w:val="00F81C30"/>
    <w:rsid w:val="00F8295C"/>
    <w:rsid w:val="00F82B19"/>
    <w:rsid w:val="00F83342"/>
    <w:rsid w:val="00F837B3"/>
    <w:rsid w:val="00F90D92"/>
    <w:rsid w:val="00F90F7B"/>
    <w:rsid w:val="00F9212D"/>
    <w:rsid w:val="00F925C3"/>
    <w:rsid w:val="00F929B8"/>
    <w:rsid w:val="00F942A6"/>
    <w:rsid w:val="00F95D29"/>
    <w:rsid w:val="00F95E06"/>
    <w:rsid w:val="00F965DA"/>
    <w:rsid w:val="00F96F8E"/>
    <w:rsid w:val="00FA0EAF"/>
    <w:rsid w:val="00FA3DF9"/>
    <w:rsid w:val="00FA406A"/>
    <w:rsid w:val="00FA418D"/>
    <w:rsid w:val="00FA5190"/>
    <w:rsid w:val="00FA5863"/>
    <w:rsid w:val="00FA649D"/>
    <w:rsid w:val="00FA741A"/>
    <w:rsid w:val="00FA7999"/>
    <w:rsid w:val="00FA7CBE"/>
    <w:rsid w:val="00FB503A"/>
    <w:rsid w:val="00FB516C"/>
    <w:rsid w:val="00FC17C8"/>
    <w:rsid w:val="00FC1A73"/>
    <w:rsid w:val="00FC1DF5"/>
    <w:rsid w:val="00FC22BF"/>
    <w:rsid w:val="00FC3493"/>
    <w:rsid w:val="00FD0236"/>
    <w:rsid w:val="00FD02AB"/>
    <w:rsid w:val="00FD098E"/>
    <w:rsid w:val="00FD18F4"/>
    <w:rsid w:val="00FD54DB"/>
    <w:rsid w:val="00FD619F"/>
    <w:rsid w:val="00FD6BCE"/>
    <w:rsid w:val="00FD78C1"/>
    <w:rsid w:val="00FE0E54"/>
    <w:rsid w:val="00FE1987"/>
    <w:rsid w:val="00FE2B24"/>
    <w:rsid w:val="00FE3298"/>
    <w:rsid w:val="00FE4371"/>
    <w:rsid w:val="00FE4CB2"/>
    <w:rsid w:val="00FE4CDF"/>
    <w:rsid w:val="00FE65C6"/>
    <w:rsid w:val="00FE6AA1"/>
    <w:rsid w:val="00FF1918"/>
    <w:rsid w:val="00FF34EC"/>
    <w:rsid w:val="00FF4516"/>
    <w:rsid w:val="00FF4AA2"/>
    <w:rsid w:val="00FF62AA"/>
    <w:rsid w:val="01290F7E"/>
    <w:rsid w:val="015D1E09"/>
    <w:rsid w:val="01CD7566"/>
    <w:rsid w:val="02697903"/>
    <w:rsid w:val="02F96569"/>
    <w:rsid w:val="03EA7B21"/>
    <w:rsid w:val="05D2339D"/>
    <w:rsid w:val="05F83EAE"/>
    <w:rsid w:val="063E7D85"/>
    <w:rsid w:val="07293586"/>
    <w:rsid w:val="07295285"/>
    <w:rsid w:val="07636392"/>
    <w:rsid w:val="07770C56"/>
    <w:rsid w:val="07FB4F7A"/>
    <w:rsid w:val="092217DD"/>
    <w:rsid w:val="093A7294"/>
    <w:rsid w:val="0A263993"/>
    <w:rsid w:val="0A2D3AC2"/>
    <w:rsid w:val="0AA755DF"/>
    <w:rsid w:val="0B120D44"/>
    <w:rsid w:val="0BD27BF6"/>
    <w:rsid w:val="0C3B3C7D"/>
    <w:rsid w:val="0CAB2EAE"/>
    <w:rsid w:val="0D621C7D"/>
    <w:rsid w:val="0E257D00"/>
    <w:rsid w:val="0E73034D"/>
    <w:rsid w:val="0F13775A"/>
    <w:rsid w:val="0F1F3F42"/>
    <w:rsid w:val="0F5F45FE"/>
    <w:rsid w:val="0F8325B6"/>
    <w:rsid w:val="0F9A112B"/>
    <w:rsid w:val="1038606B"/>
    <w:rsid w:val="106D2F64"/>
    <w:rsid w:val="10B63710"/>
    <w:rsid w:val="10F10820"/>
    <w:rsid w:val="111C2F7A"/>
    <w:rsid w:val="11665CA1"/>
    <w:rsid w:val="13951726"/>
    <w:rsid w:val="139D7789"/>
    <w:rsid w:val="141836DA"/>
    <w:rsid w:val="14396509"/>
    <w:rsid w:val="14DD2C3C"/>
    <w:rsid w:val="16087E1D"/>
    <w:rsid w:val="16173EE6"/>
    <w:rsid w:val="162B4B2F"/>
    <w:rsid w:val="17514DF8"/>
    <w:rsid w:val="17701D14"/>
    <w:rsid w:val="17735226"/>
    <w:rsid w:val="189F624C"/>
    <w:rsid w:val="18DF6487"/>
    <w:rsid w:val="18E1300A"/>
    <w:rsid w:val="19FD4A34"/>
    <w:rsid w:val="1A1C66C0"/>
    <w:rsid w:val="1A42393B"/>
    <w:rsid w:val="1AAD45DE"/>
    <w:rsid w:val="1AE03F3F"/>
    <w:rsid w:val="1B046F80"/>
    <w:rsid w:val="1B3267B5"/>
    <w:rsid w:val="1B40161D"/>
    <w:rsid w:val="1B441859"/>
    <w:rsid w:val="1B6606B1"/>
    <w:rsid w:val="1C5E7925"/>
    <w:rsid w:val="1CFD070F"/>
    <w:rsid w:val="1D147360"/>
    <w:rsid w:val="1D5F6196"/>
    <w:rsid w:val="1D6132A5"/>
    <w:rsid w:val="1D8E56D5"/>
    <w:rsid w:val="1E7A43DA"/>
    <w:rsid w:val="1F120D17"/>
    <w:rsid w:val="1FE7539E"/>
    <w:rsid w:val="20384412"/>
    <w:rsid w:val="20671BE0"/>
    <w:rsid w:val="20963CB8"/>
    <w:rsid w:val="20A81A1B"/>
    <w:rsid w:val="20B07FB6"/>
    <w:rsid w:val="20B646FB"/>
    <w:rsid w:val="213B74B1"/>
    <w:rsid w:val="215A2310"/>
    <w:rsid w:val="21DE318A"/>
    <w:rsid w:val="21EF5B80"/>
    <w:rsid w:val="22576990"/>
    <w:rsid w:val="22F47480"/>
    <w:rsid w:val="23DE1C48"/>
    <w:rsid w:val="240210CD"/>
    <w:rsid w:val="249A6287"/>
    <w:rsid w:val="24BF09F7"/>
    <w:rsid w:val="24C06B31"/>
    <w:rsid w:val="252D53FE"/>
    <w:rsid w:val="25EC2D81"/>
    <w:rsid w:val="277057A2"/>
    <w:rsid w:val="2838132E"/>
    <w:rsid w:val="28A95289"/>
    <w:rsid w:val="29206EB8"/>
    <w:rsid w:val="29595666"/>
    <w:rsid w:val="29874881"/>
    <w:rsid w:val="29E325E0"/>
    <w:rsid w:val="2A452503"/>
    <w:rsid w:val="2AF53506"/>
    <w:rsid w:val="2BA936A8"/>
    <w:rsid w:val="2C315A5A"/>
    <w:rsid w:val="2C4B1C25"/>
    <w:rsid w:val="2CEB1350"/>
    <w:rsid w:val="2D9E56F5"/>
    <w:rsid w:val="2E667F96"/>
    <w:rsid w:val="2E8226AB"/>
    <w:rsid w:val="2F8B7FD8"/>
    <w:rsid w:val="2F9A4C35"/>
    <w:rsid w:val="2FD065E6"/>
    <w:rsid w:val="2FD96870"/>
    <w:rsid w:val="303A3C0D"/>
    <w:rsid w:val="304405EF"/>
    <w:rsid w:val="30580BC9"/>
    <w:rsid w:val="30874C00"/>
    <w:rsid w:val="311E2ED7"/>
    <w:rsid w:val="315619EE"/>
    <w:rsid w:val="315C449C"/>
    <w:rsid w:val="31B82709"/>
    <w:rsid w:val="31D05482"/>
    <w:rsid w:val="32400B34"/>
    <w:rsid w:val="329E6876"/>
    <w:rsid w:val="333015F2"/>
    <w:rsid w:val="33473F91"/>
    <w:rsid w:val="334B6320"/>
    <w:rsid w:val="33D934D4"/>
    <w:rsid w:val="33FE2F6A"/>
    <w:rsid w:val="340E07E5"/>
    <w:rsid w:val="34235BF7"/>
    <w:rsid w:val="35062FB7"/>
    <w:rsid w:val="353E7B6B"/>
    <w:rsid w:val="3564526A"/>
    <w:rsid w:val="358C5FA8"/>
    <w:rsid w:val="35C15DF1"/>
    <w:rsid w:val="35F679D1"/>
    <w:rsid w:val="36074A7F"/>
    <w:rsid w:val="36923549"/>
    <w:rsid w:val="36B75FBF"/>
    <w:rsid w:val="36BD0C45"/>
    <w:rsid w:val="37E00298"/>
    <w:rsid w:val="38B302F9"/>
    <w:rsid w:val="38F12CD3"/>
    <w:rsid w:val="38F94775"/>
    <w:rsid w:val="392971ED"/>
    <w:rsid w:val="39325651"/>
    <w:rsid w:val="3989607A"/>
    <w:rsid w:val="39A76873"/>
    <w:rsid w:val="3A872856"/>
    <w:rsid w:val="3B3763D1"/>
    <w:rsid w:val="3C2F6E1E"/>
    <w:rsid w:val="3C3B3206"/>
    <w:rsid w:val="3C4F64BA"/>
    <w:rsid w:val="3CDA245A"/>
    <w:rsid w:val="3CE75BCF"/>
    <w:rsid w:val="3D180B2E"/>
    <w:rsid w:val="3D1E06B7"/>
    <w:rsid w:val="3EDA0523"/>
    <w:rsid w:val="3F107DFB"/>
    <w:rsid w:val="407A6407"/>
    <w:rsid w:val="41AC541D"/>
    <w:rsid w:val="4200449D"/>
    <w:rsid w:val="423A3BCC"/>
    <w:rsid w:val="424E57D2"/>
    <w:rsid w:val="42B26C49"/>
    <w:rsid w:val="433A6FE6"/>
    <w:rsid w:val="43480868"/>
    <w:rsid w:val="4350713C"/>
    <w:rsid w:val="4363143A"/>
    <w:rsid w:val="436653E0"/>
    <w:rsid w:val="43C4431A"/>
    <w:rsid w:val="44B951CC"/>
    <w:rsid w:val="44CD14E0"/>
    <w:rsid w:val="44F20B0B"/>
    <w:rsid w:val="452E5F4C"/>
    <w:rsid w:val="45612018"/>
    <w:rsid w:val="458946E9"/>
    <w:rsid w:val="45A47C0E"/>
    <w:rsid w:val="45C52A7B"/>
    <w:rsid w:val="46577FD6"/>
    <w:rsid w:val="4677113D"/>
    <w:rsid w:val="46D955A7"/>
    <w:rsid w:val="47133957"/>
    <w:rsid w:val="474C403D"/>
    <w:rsid w:val="47A07E0C"/>
    <w:rsid w:val="4870272E"/>
    <w:rsid w:val="48CC6426"/>
    <w:rsid w:val="48DB5895"/>
    <w:rsid w:val="49CF3448"/>
    <w:rsid w:val="49DC7715"/>
    <w:rsid w:val="4A023139"/>
    <w:rsid w:val="4A7B576F"/>
    <w:rsid w:val="4AF561A9"/>
    <w:rsid w:val="4B0D2264"/>
    <w:rsid w:val="4C4A0649"/>
    <w:rsid w:val="4C7E5ECA"/>
    <w:rsid w:val="4C876AA5"/>
    <w:rsid w:val="4CDF1BF4"/>
    <w:rsid w:val="4D0E00FB"/>
    <w:rsid w:val="4D176606"/>
    <w:rsid w:val="4DEC4FB0"/>
    <w:rsid w:val="4E075D8A"/>
    <w:rsid w:val="4EC00FAD"/>
    <w:rsid w:val="4EC62601"/>
    <w:rsid w:val="4F6D3466"/>
    <w:rsid w:val="4F9843DC"/>
    <w:rsid w:val="4FC62A8C"/>
    <w:rsid w:val="4FE20F0D"/>
    <w:rsid w:val="4FE51552"/>
    <w:rsid w:val="50504C4B"/>
    <w:rsid w:val="509C6E7C"/>
    <w:rsid w:val="5162104E"/>
    <w:rsid w:val="53A039CC"/>
    <w:rsid w:val="53A1505A"/>
    <w:rsid w:val="54063E08"/>
    <w:rsid w:val="541D1402"/>
    <w:rsid w:val="543437E8"/>
    <w:rsid w:val="54C45A17"/>
    <w:rsid w:val="54EB3EA5"/>
    <w:rsid w:val="54F73313"/>
    <w:rsid w:val="54F80955"/>
    <w:rsid w:val="555170A7"/>
    <w:rsid w:val="5587536D"/>
    <w:rsid w:val="559B174B"/>
    <w:rsid w:val="55CE0CF4"/>
    <w:rsid w:val="56B22A9C"/>
    <w:rsid w:val="57B72A76"/>
    <w:rsid w:val="57C3426C"/>
    <w:rsid w:val="57CE1F93"/>
    <w:rsid w:val="588743D1"/>
    <w:rsid w:val="5887701A"/>
    <w:rsid w:val="599A5392"/>
    <w:rsid w:val="59C0439F"/>
    <w:rsid w:val="5A237F3B"/>
    <w:rsid w:val="5ABE2233"/>
    <w:rsid w:val="5B445318"/>
    <w:rsid w:val="5BA0378F"/>
    <w:rsid w:val="5BB64468"/>
    <w:rsid w:val="5BDF5D95"/>
    <w:rsid w:val="5BFE7528"/>
    <w:rsid w:val="5C34136B"/>
    <w:rsid w:val="5D5E3A5B"/>
    <w:rsid w:val="5E2467F1"/>
    <w:rsid w:val="5F1A2B43"/>
    <w:rsid w:val="5FB837BB"/>
    <w:rsid w:val="5FC83878"/>
    <w:rsid w:val="60CC405A"/>
    <w:rsid w:val="61E215D8"/>
    <w:rsid w:val="621B3775"/>
    <w:rsid w:val="62364782"/>
    <w:rsid w:val="626014F0"/>
    <w:rsid w:val="62735DD1"/>
    <w:rsid w:val="63787A48"/>
    <w:rsid w:val="6394356A"/>
    <w:rsid w:val="63B76FCF"/>
    <w:rsid w:val="63C61B2C"/>
    <w:rsid w:val="63D40BE9"/>
    <w:rsid w:val="64102431"/>
    <w:rsid w:val="642503DD"/>
    <w:rsid w:val="64265F03"/>
    <w:rsid w:val="64A5243A"/>
    <w:rsid w:val="64F531DE"/>
    <w:rsid w:val="65373578"/>
    <w:rsid w:val="671F124A"/>
    <w:rsid w:val="677A33C6"/>
    <w:rsid w:val="681F6961"/>
    <w:rsid w:val="68610A2F"/>
    <w:rsid w:val="68805514"/>
    <w:rsid w:val="692439B8"/>
    <w:rsid w:val="69316E2F"/>
    <w:rsid w:val="694E2071"/>
    <w:rsid w:val="69766163"/>
    <w:rsid w:val="697A3B33"/>
    <w:rsid w:val="69D44760"/>
    <w:rsid w:val="6A2B7DCF"/>
    <w:rsid w:val="6A40750E"/>
    <w:rsid w:val="6A520EC7"/>
    <w:rsid w:val="6AF87E20"/>
    <w:rsid w:val="6B1D005F"/>
    <w:rsid w:val="6B322639"/>
    <w:rsid w:val="6C2641E2"/>
    <w:rsid w:val="6C636C38"/>
    <w:rsid w:val="6D5F0386"/>
    <w:rsid w:val="6DB34098"/>
    <w:rsid w:val="6DB545B6"/>
    <w:rsid w:val="6DB77F96"/>
    <w:rsid w:val="6DE02FB4"/>
    <w:rsid w:val="6E514CED"/>
    <w:rsid w:val="6EB14E0A"/>
    <w:rsid w:val="6EB563D5"/>
    <w:rsid w:val="6ED92677"/>
    <w:rsid w:val="6F225983"/>
    <w:rsid w:val="6FFC5590"/>
    <w:rsid w:val="706D1DD0"/>
    <w:rsid w:val="70856B87"/>
    <w:rsid w:val="70D527EE"/>
    <w:rsid w:val="715B5300"/>
    <w:rsid w:val="71D27F8A"/>
    <w:rsid w:val="72553024"/>
    <w:rsid w:val="727837E4"/>
    <w:rsid w:val="73122968"/>
    <w:rsid w:val="731F5D5E"/>
    <w:rsid w:val="73C51AD5"/>
    <w:rsid w:val="741E793C"/>
    <w:rsid w:val="745E3944"/>
    <w:rsid w:val="749D2461"/>
    <w:rsid w:val="74A215D5"/>
    <w:rsid w:val="75694E60"/>
    <w:rsid w:val="7635099D"/>
    <w:rsid w:val="77156DEB"/>
    <w:rsid w:val="77536BB7"/>
    <w:rsid w:val="77762421"/>
    <w:rsid w:val="77B56B1F"/>
    <w:rsid w:val="780F09F4"/>
    <w:rsid w:val="78A90480"/>
    <w:rsid w:val="7A364017"/>
    <w:rsid w:val="7A8265E1"/>
    <w:rsid w:val="7B686D42"/>
    <w:rsid w:val="7B841746"/>
    <w:rsid w:val="7BE303F2"/>
    <w:rsid w:val="7C6C5AC7"/>
    <w:rsid w:val="7C965F62"/>
    <w:rsid w:val="7CA71742"/>
    <w:rsid w:val="7CC6544B"/>
    <w:rsid w:val="7D0239FF"/>
    <w:rsid w:val="7D5E40CD"/>
    <w:rsid w:val="7DCD56F2"/>
    <w:rsid w:val="7F001CE7"/>
    <w:rsid w:val="7F284165"/>
    <w:rsid w:val="7FB3469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unhideWhenUsed="0" w:uiPriority="0" w:semiHidden="0" w:name="Strong" w:locked="1"/>
    <w:lsdException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99"/>
    <w:pPr>
      <w:keepNext/>
      <w:overflowPunct w:val="0"/>
      <w:snapToGrid w:val="0"/>
      <w:spacing w:line="360" w:lineRule="auto"/>
      <w:outlineLvl w:val="0"/>
    </w:pPr>
    <w:rPr>
      <w:rFonts w:eastAsia="黑体"/>
      <w:b/>
      <w:bCs/>
      <w:color w:val="000000"/>
      <w:kern w:val="44"/>
      <w:sz w:val="28"/>
      <w:szCs w:val="30"/>
    </w:rPr>
  </w:style>
  <w:style w:type="paragraph" w:styleId="3">
    <w:name w:val="heading 2"/>
    <w:basedOn w:val="1"/>
    <w:next w:val="1"/>
    <w:link w:val="103"/>
    <w:autoRedefine/>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2">
    <w:name w:val="Default Paragraph Font"/>
    <w:autoRedefine/>
    <w:semiHidden/>
    <w:unhideWhenUsed/>
    <w:qFormat/>
    <w:uiPriority w:val="1"/>
  </w:style>
  <w:style w:type="table" w:default="1" w:styleId="20">
    <w:name w:val="Normal Table"/>
    <w:autoRedefine/>
    <w:semiHidden/>
    <w:unhideWhenUsed/>
    <w:qFormat/>
    <w:uiPriority w:val="99"/>
    <w:tblPr>
      <w:tblCellMar>
        <w:top w:w="0" w:type="dxa"/>
        <w:left w:w="108" w:type="dxa"/>
        <w:bottom w:w="0" w:type="dxa"/>
        <w:right w:w="108" w:type="dxa"/>
      </w:tblCellMar>
    </w:tblPr>
  </w:style>
  <w:style w:type="paragraph" w:styleId="4">
    <w:name w:val="Normal Indent"/>
    <w:basedOn w:val="1"/>
    <w:autoRedefine/>
    <w:qFormat/>
    <w:locked/>
    <w:uiPriority w:val="0"/>
    <w:pPr>
      <w:ind w:firstLine="420" w:firstLineChars="200"/>
    </w:pPr>
  </w:style>
  <w:style w:type="paragraph" w:styleId="5">
    <w:name w:val="annotation text"/>
    <w:basedOn w:val="1"/>
    <w:link w:val="36"/>
    <w:autoRedefine/>
    <w:qFormat/>
    <w:uiPriority w:val="99"/>
    <w:pPr>
      <w:jc w:val="left"/>
    </w:pPr>
    <w:rPr>
      <w:kern w:val="0"/>
      <w:sz w:val="24"/>
      <w:szCs w:val="20"/>
    </w:rPr>
  </w:style>
  <w:style w:type="paragraph" w:styleId="6">
    <w:name w:val="Body Text"/>
    <w:basedOn w:val="1"/>
    <w:next w:val="7"/>
    <w:link w:val="35"/>
    <w:autoRedefine/>
    <w:qFormat/>
    <w:uiPriority w:val="0"/>
    <w:pPr>
      <w:widowControl/>
      <w:snapToGrid w:val="0"/>
      <w:spacing w:before="60" w:after="160" w:line="259" w:lineRule="auto"/>
      <w:ind w:right="113"/>
    </w:pPr>
    <w:rPr>
      <w:kern w:val="0"/>
      <w:sz w:val="18"/>
      <w:szCs w:val="20"/>
    </w:rPr>
  </w:style>
  <w:style w:type="paragraph" w:customStyle="1" w:styleId="7">
    <w:name w:val="Normal (Web)1"/>
    <w:basedOn w:val="1"/>
    <w:next w:val="8"/>
    <w:qFormat/>
    <w:uiPriority w:val="0"/>
    <w:pPr>
      <w:widowControl/>
      <w:jc w:val="left"/>
    </w:pPr>
    <w:rPr>
      <w:rFonts w:ascii="宋体" w:hAnsi="Times New Roman" w:eastAsia="宋体" w:cs="Times New Roman"/>
      <w:kern w:val="0"/>
      <w:sz w:val="24"/>
      <w:szCs w:val="21"/>
    </w:rPr>
  </w:style>
  <w:style w:type="paragraph" w:customStyle="1" w:styleId="8">
    <w:name w:val="Date1"/>
    <w:basedOn w:val="1"/>
    <w:next w:val="1"/>
    <w:qFormat/>
    <w:uiPriority w:val="0"/>
    <w:pPr>
      <w:ind w:left="2500" w:leftChars="2500"/>
    </w:pPr>
    <w:rPr>
      <w:rFonts w:ascii="Times New Roman" w:hAnsi="Times New Roman" w:eastAsia="宋体" w:cs="Times New Roman"/>
    </w:rPr>
  </w:style>
  <w:style w:type="paragraph" w:styleId="9">
    <w:name w:val="Body Text Indent"/>
    <w:basedOn w:val="1"/>
    <w:link w:val="44"/>
    <w:autoRedefine/>
    <w:qFormat/>
    <w:uiPriority w:val="0"/>
    <w:pPr>
      <w:spacing w:after="120"/>
      <w:ind w:left="420" w:leftChars="200"/>
    </w:pPr>
    <w:rPr>
      <w:kern w:val="0"/>
      <w:sz w:val="24"/>
      <w:szCs w:val="20"/>
    </w:rPr>
  </w:style>
  <w:style w:type="paragraph" w:styleId="10">
    <w:name w:val="Date"/>
    <w:basedOn w:val="1"/>
    <w:next w:val="1"/>
    <w:link w:val="31"/>
    <w:autoRedefine/>
    <w:qFormat/>
    <w:uiPriority w:val="0"/>
    <w:pPr>
      <w:ind w:left="100" w:leftChars="2500"/>
    </w:pPr>
    <w:rPr>
      <w:kern w:val="0"/>
      <w:sz w:val="24"/>
      <w:szCs w:val="20"/>
    </w:rPr>
  </w:style>
  <w:style w:type="paragraph" w:styleId="11">
    <w:name w:val="Balloon Text"/>
    <w:basedOn w:val="1"/>
    <w:link w:val="40"/>
    <w:autoRedefine/>
    <w:semiHidden/>
    <w:qFormat/>
    <w:uiPriority w:val="0"/>
    <w:rPr>
      <w:kern w:val="0"/>
      <w:sz w:val="18"/>
      <w:szCs w:val="20"/>
    </w:rPr>
  </w:style>
  <w:style w:type="paragraph" w:styleId="12">
    <w:name w:val="footer"/>
    <w:basedOn w:val="1"/>
    <w:link w:val="30"/>
    <w:autoRedefine/>
    <w:qFormat/>
    <w:uiPriority w:val="99"/>
    <w:pPr>
      <w:tabs>
        <w:tab w:val="center" w:pos="4153"/>
        <w:tab w:val="right" w:pos="8306"/>
      </w:tabs>
      <w:snapToGrid w:val="0"/>
      <w:jc w:val="left"/>
    </w:pPr>
    <w:rPr>
      <w:kern w:val="0"/>
      <w:sz w:val="18"/>
      <w:szCs w:val="20"/>
    </w:rPr>
  </w:style>
  <w:style w:type="paragraph" w:styleId="13">
    <w:name w:val="header"/>
    <w:basedOn w:val="1"/>
    <w:link w:val="42"/>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4">
    <w:name w:val="toc 1"/>
    <w:basedOn w:val="1"/>
    <w:next w:val="1"/>
    <w:autoRedefine/>
    <w:qFormat/>
    <w:locked/>
    <w:uiPriority w:val="39"/>
  </w:style>
  <w:style w:type="paragraph" w:styleId="15">
    <w:name w:val="toc 2"/>
    <w:basedOn w:val="1"/>
    <w:next w:val="1"/>
    <w:autoRedefine/>
    <w:qFormat/>
    <w:locked/>
    <w:uiPriority w:val="39"/>
    <w:pPr>
      <w:ind w:left="420" w:leftChars="200"/>
    </w:pPr>
  </w:style>
  <w:style w:type="paragraph" w:styleId="16">
    <w:name w:val="Body Text 2"/>
    <w:basedOn w:val="1"/>
    <w:link w:val="66"/>
    <w:autoRedefine/>
    <w:qFormat/>
    <w:locked/>
    <w:uiPriority w:val="0"/>
    <w:pPr>
      <w:spacing w:after="120" w:line="480" w:lineRule="auto"/>
      <w:ind w:firstLine="480" w:firstLineChars="200"/>
    </w:pPr>
  </w:style>
  <w:style w:type="paragraph" w:styleId="17">
    <w:name w:val="Normal (Web)"/>
    <w:basedOn w:val="1"/>
    <w:link w:val="33"/>
    <w:autoRedefine/>
    <w:qFormat/>
    <w:uiPriority w:val="0"/>
    <w:pPr>
      <w:widowControl/>
      <w:spacing w:before="100" w:beforeAutospacing="1" w:after="100" w:afterAutospacing="1"/>
      <w:jc w:val="left"/>
    </w:pPr>
    <w:rPr>
      <w:rFonts w:ascii="宋体" w:hAnsi="宋体"/>
      <w:kern w:val="0"/>
      <w:sz w:val="24"/>
      <w:szCs w:val="20"/>
    </w:rPr>
  </w:style>
  <w:style w:type="paragraph" w:styleId="18">
    <w:name w:val="annotation subject"/>
    <w:basedOn w:val="5"/>
    <w:next w:val="5"/>
    <w:link w:val="41"/>
    <w:autoRedefine/>
    <w:semiHidden/>
    <w:qFormat/>
    <w:uiPriority w:val="0"/>
    <w:rPr>
      <w:b/>
    </w:rPr>
  </w:style>
  <w:style w:type="paragraph" w:styleId="19">
    <w:name w:val="Body Text First Indent"/>
    <w:basedOn w:val="6"/>
    <w:next w:val="1"/>
    <w:link w:val="63"/>
    <w:autoRedefine/>
    <w:qFormat/>
    <w:locked/>
    <w:uiPriority w:val="0"/>
    <w:pPr>
      <w:spacing w:after="120"/>
      <w:ind w:firstLine="420" w:firstLineChars="100"/>
    </w:pPr>
  </w:style>
  <w:style w:type="table" w:styleId="21">
    <w:name w:val="Table Grid"/>
    <w:basedOn w:val="2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autoRedefine/>
    <w:qFormat/>
    <w:locked/>
    <w:uiPriority w:val="0"/>
  </w:style>
  <w:style w:type="character" w:styleId="24">
    <w:name w:val="Hyperlink"/>
    <w:basedOn w:val="22"/>
    <w:autoRedefine/>
    <w:unhideWhenUsed/>
    <w:qFormat/>
    <w:locked/>
    <w:uiPriority w:val="99"/>
    <w:rPr>
      <w:color w:val="0563C1" w:themeColor="hyperlink"/>
      <w:u w:val="single"/>
      <w14:textFill>
        <w14:solidFill>
          <w14:schemeClr w14:val="hlink"/>
        </w14:solidFill>
      </w14:textFill>
    </w:rPr>
  </w:style>
  <w:style w:type="character" w:styleId="25">
    <w:name w:val="annotation reference"/>
    <w:autoRedefine/>
    <w:semiHidden/>
    <w:qFormat/>
    <w:uiPriority w:val="0"/>
    <w:rPr>
      <w:sz w:val="21"/>
    </w:rPr>
  </w:style>
  <w:style w:type="character" w:styleId="26">
    <w:name w:val="HTML Cite"/>
    <w:autoRedefine/>
    <w:qFormat/>
    <w:locked/>
    <w:uiPriority w:val="0"/>
    <w:rPr>
      <w:rFonts w:ascii="Times New Roman" w:hAnsi="Times New Roman"/>
      <w:szCs w:val="20"/>
    </w:rPr>
  </w:style>
  <w:style w:type="paragraph" w:customStyle="1" w:styleId="27">
    <w:name w:val="li_正文"/>
    <w:basedOn w:val="1"/>
    <w:autoRedefine/>
    <w:qFormat/>
    <w:uiPriority w:val="0"/>
    <w:pPr>
      <w:widowControl w:val="0"/>
      <w:topLinePunct/>
      <w:adjustRightInd w:val="0"/>
      <w:snapToGrid w:val="0"/>
      <w:spacing w:line="360" w:lineRule="auto"/>
      <w:ind w:firstLine="700" w:firstLineChars="250"/>
      <w:textAlignment w:val="auto"/>
    </w:pPr>
    <w:rPr>
      <w:rFonts w:ascii="宋体" w:hAnsi="宋体"/>
      <w:sz w:val="28"/>
      <w:szCs w:val="28"/>
      <w:u w:val="none" w:color="auto"/>
    </w:rPr>
  </w:style>
  <w:style w:type="paragraph" w:customStyle="1" w:styleId="28">
    <w:name w:val="Default"/>
    <w:basedOn w:val="29"/>
    <w:next w:val="1"/>
    <w:autoRedefine/>
    <w:qFormat/>
    <w:uiPriority w:val="0"/>
    <w:pPr>
      <w:widowControl w:val="0"/>
      <w:autoSpaceDE w:val="0"/>
      <w:autoSpaceDN w:val="0"/>
      <w:adjustRightInd w:val="0"/>
      <w:spacing w:line="380" w:lineRule="exact"/>
      <w:jc w:val="center"/>
    </w:pPr>
    <w:rPr>
      <w:rFonts w:ascii="宋体" w:hAnsi="Times New Roman" w:eastAsia="宋体" w:cs="Times New Roman"/>
      <w:color w:val="000000"/>
      <w:sz w:val="24"/>
      <w:szCs w:val="24"/>
      <w:lang w:val="en-US" w:eastAsia="zh-CN" w:bidi="ar-SA"/>
    </w:rPr>
  </w:style>
  <w:style w:type="paragraph" w:customStyle="1" w:styleId="2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30">
    <w:name w:val="页脚 字符1"/>
    <w:link w:val="12"/>
    <w:autoRedefine/>
    <w:qFormat/>
    <w:locked/>
    <w:uiPriority w:val="99"/>
    <w:rPr>
      <w:sz w:val="18"/>
    </w:rPr>
  </w:style>
  <w:style w:type="character" w:customStyle="1" w:styleId="31">
    <w:name w:val="日期 字符1"/>
    <w:link w:val="10"/>
    <w:autoRedefine/>
    <w:qFormat/>
    <w:locked/>
    <w:uiPriority w:val="0"/>
    <w:rPr>
      <w:rFonts w:ascii="Times New Roman" w:hAnsi="Times New Roman" w:eastAsia="宋体"/>
      <w:sz w:val="24"/>
    </w:rPr>
  </w:style>
  <w:style w:type="character" w:customStyle="1" w:styleId="32">
    <w:name w:val="页脚 字符"/>
    <w:basedOn w:val="22"/>
    <w:autoRedefine/>
    <w:qFormat/>
    <w:uiPriority w:val="99"/>
  </w:style>
  <w:style w:type="character" w:customStyle="1" w:styleId="33">
    <w:name w:val="普通(网站) 字符"/>
    <w:link w:val="17"/>
    <w:autoRedefine/>
    <w:qFormat/>
    <w:locked/>
    <w:uiPriority w:val="0"/>
    <w:rPr>
      <w:rFonts w:ascii="宋体" w:hAnsi="宋体" w:eastAsia="宋体"/>
      <w:sz w:val="24"/>
    </w:rPr>
  </w:style>
  <w:style w:type="character" w:customStyle="1" w:styleId="34">
    <w:name w:val="正文文本 字符1"/>
    <w:autoRedefine/>
    <w:semiHidden/>
    <w:qFormat/>
    <w:uiPriority w:val="0"/>
    <w:rPr>
      <w:rFonts w:ascii="Times New Roman" w:hAnsi="Times New Roman" w:eastAsia="宋体"/>
      <w:sz w:val="24"/>
    </w:rPr>
  </w:style>
  <w:style w:type="character" w:customStyle="1" w:styleId="35">
    <w:name w:val="正文文本 字符"/>
    <w:link w:val="6"/>
    <w:autoRedefine/>
    <w:qFormat/>
    <w:locked/>
    <w:uiPriority w:val="0"/>
    <w:rPr>
      <w:sz w:val="18"/>
    </w:rPr>
  </w:style>
  <w:style w:type="character" w:customStyle="1" w:styleId="36">
    <w:name w:val="批注文字 字符"/>
    <w:link w:val="5"/>
    <w:autoRedefine/>
    <w:qFormat/>
    <w:locked/>
    <w:uiPriority w:val="99"/>
    <w:rPr>
      <w:rFonts w:ascii="Times New Roman" w:hAnsi="Times New Roman" w:eastAsia="宋体"/>
      <w:sz w:val="24"/>
    </w:rPr>
  </w:style>
  <w:style w:type="character" w:customStyle="1" w:styleId="37">
    <w:name w:val="表格 Char"/>
    <w:link w:val="38"/>
    <w:autoRedefine/>
    <w:qFormat/>
    <w:locked/>
    <w:uiPriority w:val="0"/>
    <w:rPr>
      <w:rFonts w:ascii="宋体"/>
      <w:sz w:val="21"/>
    </w:rPr>
  </w:style>
  <w:style w:type="paragraph" w:customStyle="1" w:styleId="38">
    <w:name w:val="表格"/>
    <w:basedOn w:val="1"/>
    <w:next w:val="1"/>
    <w:link w:val="37"/>
    <w:autoRedefine/>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autoRedefine/>
    <w:semiHidden/>
    <w:qFormat/>
    <w:uiPriority w:val="0"/>
    <w:rPr>
      <w:rFonts w:ascii="Times New Roman" w:hAnsi="Times New Roman" w:eastAsia="宋体"/>
      <w:sz w:val="24"/>
    </w:rPr>
  </w:style>
  <w:style w:type="character" w:customStyle="1" w:styleId="40">
    <w:name w:val="批注框文本 字符"/>
    <w:link w:val="11"/>
    <w:autoRedefine/>
    <w:semiHidden/>
    <w:qFormat/>
    <w:locked/>
    <w:uiPriority w:val="0"/>
    <w:rPr>
      <w:rFonts w:ascii="Times New Roman" w:hAnsi="Times New Roman" w:eastAsia="宋体"/>
      <w:sz w:val="18"/>
    </w:rPr>
  </w:style>
  <w:style w:type="character" w:customStyle="1" w:styleId="41">
    <w:name w:val="批注主题 字符"/>
    <w:link w:val="18"/>
    <w:autoRedefine/>
    <w:semiHidden/>
    <w:qFormat/>
    <w:locked/>
    <w:uiPriority w:val="0"/>
    <w:rPr>
      <w:rFonts w:ascii="Times New Roman" w:hAnsi="Times New Roman" w:eastAsia="宋体"/>
      <w:b/>
      <w:kern w:val="2"/>
      <w:sz w:val="24"/>
    </w:rPr>
  </w:style>
  <w:style w:type="character" w:customStyle="1" w:styleId="42">
    <w:name w:val="页眉 字符"/>
    <w:link w:val="13"/>
    <w:autoRedefine/>
    <w:qFormat/>
    <w:locked/>
    <w:uiPriority w:val="99"/>
    <w:rPr>
      <w:sz w:val="18"/>
    </w:rPr>
  </w:style>
  <w:style w:type="character" w:customStyle="1" w:styleId="43">
    <w:name w:val="批注文字 字符1"/>
    <w:autoRedefine/>
    <w:semiHidden/>
    <w:qFormat/>
    <w:uiPriority w:val="0"/>
    <w:rPr>
      <w:rFonts w:ascii="Times New Roman" w:hAnsi="Times New Roman" w:eastAsia="宋体"/>
      <w:sz w:val="24"/>
    </w:rPr>
  </w:style>
  <w:style w:type="character" w:customStyle="1" w:styleId="44">
    <w:name w:val="正文文本缩进 字符"/>
    <w:link w:val="9"/>
    <w:autoRedefine/>
    <w:semiHidden/>
    <w:qFormat/>
    <w:locked/>
    <w:uiPriority w:val="0"/>
    <w:rPr>
      <w:rFonts w:ascii="Times New Roman" w:hAnsi="Times New Roman" w:eastAsia="宋体"/>
      <w:sz w:val="24"/>
    </w:rPr>
  </w:style>
  <w:style w:type="paragraph" w:customStyle="1" w:styleId="45">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6">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47">
    <w:name w:val="表头"/>
    <w:basedOn w:val="1"/>
    <w:link w:val="50"/>
    <w:autoRedefine/>
    <w:qFormat/>
    <w:uiPriority w:val="0"/>
    <w:pPr>
      <w:jc w:val="center"/>
    </w:pPr>
    <w:rPr>
      <w:rFonts w:eastAsia="黑体"/>
      <w:b/>
    </w:rPr>
  </w:style>
  <w:style w:type="character" w:customStyle="1" w:styleId="48">
    <w:name w:val="【表中文字】 Char"/>
    <w:link w:val="49"/>
    <w:autoRedefine/>
    <w:qFormat/>
    <w:locked/>
    <w:uiPriority w:val="0"/>
    <w:rPr>
      <w:kern w:val="2"/>
      <w:sz w:val="21"/>
      <w:szCs w:val="24"/>
    </w:rPr>
  </w:style>
  <w:style w:type="paragraph" w:customStyle="1" w:styleId="49">
    <w:name w:val="【表中文字】"/>
    <w:basedOn w:val="1"/>
    <w:link w:val="48"/>
    <w:autoRedefine/>
    <w:qFormat/>
    <w:uiPriority w:val="0"/>
    <w:pPr>
      <w:jc w:val="center"/>
    </w:pPr>
  </w:style>
  <w:style w:type="character" w:customStyle="1" w:styleId="50">
    <w:name w:val="表头 字符"/>
    <w:link w:val="47"/>
    <w:autoRedefine/>
    <w:qFormat/>
    <w:uiPriority w:val="0"/>
    <w:rPr>
      <w:rFonts w:eastAsia="黑体"/>
      <w:b/>
      <w:kern w:val="2"/>
      <w:sz w:val="21"/>
      <w:szCs w:val="24"/>
    </w:rPr>
  </w:style>
  <w:style w:type="character" w:customStyle="1" w:styleId="51">
    <w:name w:val="表格文字 字符"/>
    <w:link w:val="52"/>
    <w:autoRedefine/>
    <w:qFormat/>
    <w:uiPriority w:val="0"/>
    <w:rPr>
      <w:rFonts w:cs="宋体"/>
      <w:sz w:val="21"/>
      <w:szCs w:val="24"/>
    </w:rPr>
  </w:style>
  <w:style w:type="paragraph" w:customStyle="1" w:styleId="52">
    <w:name w:val="表格文字"/>
    <w:basedOn w:val="1"/>
    <w:link w:val="51"/>
    <w:autoRedefine/>
    <w:qFormat/>
    <w:uiPriority w:val="0"/>
    <w:pPr>
      <w:widowControl/>
      <w:jc w:val="center"/>
    </w:pPr>
    <w:rPr>
      <w:rFonts w:cs="宋体"/>
      <w:kern w:val="0"/>
    </w:rPr>
  </w:style>
  <w:style w:type="character" w:customStyle="1" w:styleId="53">
    <w:name w:val="【正文】 Char1"/>
    <w:link w:val="54"/>
    <w:autoRedefine/>
    <w:qFormat/>
    <w:locked/>
    <w:uiPriority w:val="0"/>
    <w:rPr>
      <w:kern w:val="2"/>
      <w:sz w:val="24"/>
      <w:szCs w:val="24"/>
    </w:rPr>
  </w:style>
  <w:style w:type="paragraph" w:customStyle="1" w:styleId="54">
    <w:name w:val="【正文】"/>
    <w:basedOn w:val="1"/>
    <w:link w:val="53"/>
    <w:autoRedefine/>
    <w:qFormat/>
    <w:uiPriority w:val="0"/>
    <w:pPr>
      <w:spacing w:line="360" w:lineRule="auto"/>
      <w:ind w:firstLine="200" w:firstLineChars="200"/>
    </w:pPr>
    <w:rPr>
      <w:sz w:val="24"/>
    </w:rPr>
  </w:style>
  <w:style w:type="character" w:customStyle="1" w:styleId="55">
    <w:name w:val="【表头】 Char"/>
    <w:link w:val="56"/>
    <w:autoRedefine/>
    <w:qFormat/>
    <w:uiPriority w:val="0"/>
    <w:rPr>
      <w:rFonts w:eastAsia="黑体"/>
      <w:b/>
      <w:sz w:val="24"/>
    </w:rPr>
  </w:style>
  <w:style w:type="paragraph" w:customStyle="1" w:styleId="56">
    <w:name w:val="【表头】"/>
    <w:basedOn w:val="1"/>
    <w:link w:val="55"/>
    <w:autoRedefine/>
    <w:qFormat/>
    <w:uiPriority w:val="0"/>
    <w:pPr>
      <w:keepNext/>
      <w:adjustRightInd w:val="0"/>
      <w:snapToGrid w:val="0"/>
      <w:jc w:val="center"/>
    </w:pPr>
    <w:rPr>
      <w:rFonts w:eastAsia="黑体"/>
      <w:b/>
      <w:kern w:val="0"/>
      <w:sz w:val="24"/>
      <w:szCs w:val="20"/>
    </w:rPr>
  </w:style>
  <w:style w:type="paragraph" w:customStyle="1" w:styleId="57">
    <w:name w:val="正文1"/>
    <w:basedOn w:val="12"/>
    <w:next w:val="1"/>
    <w:link w:val="58"/>
    <w:autoRedefine/>
    <w:qFormat/>
    <w:uiPriority w:val="0"/>
    <w:pPr>
      <w:spacing w:line="360" w:lineRule="auto"/>
      <w:ind w:firstLine="480" w:firstLineChars="200"/>
      <w:jc w:val="both"/>
    </w:pPr>
    <w:rPr>
      <w:rFonts w:ascii="Times New Roman" w:hAnsi="Times New Roman" w:eastAsia="宋体" w:cs="宋体"/>
      <w:sz w:val="24"/>
      <w:lang w:val="en-US" w:eastAsia="zh-CN" w:bidi="ar-SA"/>
    </w:rPr>
  </w:style>
  <w:style w:type="character" w:customStyle="1" w:styleId="58">
    <w:name w:val="Normal Char"/>
    <w:link w:val="57"/>
    <w:autoRedefine/>
    <w:qFormat/>
    <w:uiPriority w:val="0"/>
    <w:rPr>
      <w:rFonts w:cs="宋体"/>
      <w:sz w:val="24"/>
    </w:rPr>
  </w:style>
  <w:style w:type="paragraph" w:customStyle="1" w:styleId="59">
    <w:name w:val="《正文》"/>
    <w:basedOn w:val="1"/>
    <w:link w:val="61"/>
    <w:autoRedefine/>
    <w:qFormat/>
    <w:uiPriority w:val="0"/>
    <w:pPr>
      <w:spacing w:line="360" w:lineRule="auto"/>
      <w:ind w:firstLine="200" w:firstLineChars="200"/>
    </w:pPr>
    <w:rPr>
      <w:sz w:val="24"/>
    </w:rPr>
  </w:style>
  <w:style w:type="paragraph" w:customStyle="1" w:styleId="60">
    <w:name w:val="标题2"/>
    <w:basedOn w:val="54"/>
    <w:link w:val="62"/>
    <w:autoRedefine/>
    <w:qFormat/>
    <w:uiPriority w:val="0"/>
    <w:pPr>
      <w:ind w:firstLine="0" w:firstLineChars="0"/>
      <w:outlineLvl w:val="1"/>
    </w:pPr>
    <w:rPr>
      <w:b/>
      <w:snapToGrid w:val="0"/>
    </w:rPr>
  </w:style>
  <w:style w:type="character" w:customStyle="1" w:styleId="61">
    <w:name w:val="《正文》 字符"/>
    <w:link w:val="59"/>
    <w:autoRedefine/>
    <w:qFormat/>
    <w:uiPriority w:val="0"/>
    <w:rPr>
      <w:kern w:val="2"/>
      <w:sz w:val="24"/>
      <w:szCs w:val="24"/>
    </w:rPr>
  </w:style>
  <w:style w:type="character" w:customStyle="1" w:styleId="62">
    <w:name w:val="标题2 字符"/>
    <w:link w:val="60"/>
    <w:autoRedefine/>
    <w:qFormat/>
    <w:uiPriority w:val="0"/>
    <w:rPr>
      <w:b/>
      <w:snapToGrid w:val="0"/>
      <w:kern w:val="2"/>
      <w:sz w:val="24"/>
      <w:szCs w:val="24"/>
    </w:rPr>
  </w:style>
  <w:style w:type="character" w:customStyle="1" w:styleId="63">
    <w:name w:val="正文文本首行缩进 字符"/>
    <w:link w:val="19"/>
    <w:autoRedefine/>
    <w:qFormat/>
    <w:uiPriority w:val="0"/>
    <w:rPr>
      <w:kern w:val="2"/>
      <w:sz w:val="21"/>
      <w:szCs w:val="24"/>
    </w:rPr>
  </w:style>
  <w:style w:type="character" w:customStyle="1" w:styleId="64">
    <w:name w:val="【表中文字】- 字符"/>
    <w:link w:val="65"/>
    <w:autoRedefine/>
    <w:qFormat/>
    <w:uiPriority w:val="0"/>
  </w:style>
  <w:style w:type="paragraph" w:customStyle="1" w:styleId="65">
    <w:name w:val="【表中文字】-"/>
    <w:basedOn w:val="1"/>
    <w:link w:val="64"/>
    <w:autoRedefine/>
    <w:qFormat/>
    <w:uiPriority w:val="0"/>
    <w:pPr>
      <w:jc w:val="center"/>
    </w:pPr>
    <w:rPr>
      <w:kern w:val="0"/>
      <w:sz w:val="20"/>
      <w:szCs w:val="20"/>
    </w:rPr>
  </w:style>
  <w:style w:type="character" w:customStyle="1" w:styleId="66">
    <w:name w:val="正文文本 2 字符"/>
    <w:basedOn w:val="22"/>
    <w:link w:val="16"/>
    <w:autoRedefine/>
    <w:qFormat/>
    <w:uiPriority w:val="0"/>
    <w:rPr>
      <w:kern w:val="2"/>
      <w:sz w:val="21"/>
      <w:szCs w:val="24"/>
    </w:rPr>
  </w:style>
  <w:style w:type="character" w:customStyle="1" w:styleId="67">
    <w:name w:val="【表中文字】 Char Char"/>
    <w:autoRedefine/>
    <w:qFormat/>
    <w:uiPriority w:val="0"/>
    <w:rPr>
      <w:rFonts w:ascii="Calibri" w:hAnsi="Calibri"/>
    </w:rPr>
  </w:style>
  <w:style w:type="character" w:customStyle="1" w:styleId="68">
    <w:name w:val="正 Char1"/>
    <w:link w:val="69"/>
    <w:autoRedefine/>
    <w:qFormat/>
    <w:uiPriority w:val="0"/>
    <w:rPr>
      <w:rFonts w:ascii="Calibri" w:hAnsi="Calibri" w:cs="宋体"/>
      <w:kern w:val="2"/>
      <w:sz w:val="24"/>
    </w:rPr>
  </w:style>
  <w:style w:type="paragraph" w:customStyle="1" w:styleId="69">
    <w:name w:val="正"/>
    <w:basedOn w:val="1"/>
    <w:link w:val="68"/>
    <w:autoRedefine/>
    <w:qFormat/>
    <w:uiPriority w:val="0"/>
    <w:pPr>
      <w:spacing w:beforeLines="25" w:afterLines="25" w:line="440" w:lineRule="exact"/>
      <w:ind w:firstLine="200" w:firstLineChars="200"/>
    </w:pPr>
    <w:rPr>
      <w:rFonts w:ascii="Calibri" w:hAnsi="Calibri" w:cs="宋体"/>
      <w:sz w:val="24"/>
      <w:szCs w:val="20"/>
    </w:rPr>
  </w:style>
  <w:style w:type="table" w:customStyle="1" w:styleId="70">
    <w:name w:val="[表格样式]"/>
    <w:basedOn w:val="20"/>
    <w:autoRedefine/>
    <w:qFormat/>
    <w:uiPriority w:val="99"/>
    <w:pPr>
      <w:adjustRightInd w:val="0"/>
      <w:snapToGrid w:val="0"/>
      <w:jc w:val="center"/>
    </w:pPr>
    <w:rPr>
      <w:rFonts w:cstheme="minorBidi"/>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71">
    <w:name w:val="正文部分 Char"/>
    <w:autoRedefine/>
    <w:qFormat/>
    <w:uiPriority w:val="0"/>
    <w:rPr>
      <w:rFonts w:ascii="宋体" w:hAnsi="宋体" w:eastAsia="宋体" w:cs="宋体"/>
      <w:bCs/>
      <w:sz w:val="28"/>
      <w:szCs w:val="32"/>
      <w:lang w:val="en-US" w:eastAsia="zh-CN" w:bidi="ar-SA"/>
    </w:rPr>
  </w:style>
  <w:style w:type="paragraph" w:customStyle="1" w:styleId="72">
    <w:name w:val="正文（首行缩进两字） Char"/>
    <w:basedOn w:val="1"/>
    <w:autoRedefine/>
    <w:qFormat/>
    <w:uiPriority w:val="0"/>
    <w:pPr>
      <w:widowControl/>
      <w:spacing w:line="360" w:lineRule="auto"/>
      <w:ind w:firstLine="420"/>
    </w:pPr>
    <w:rPr>
      <w:kern w:val="0"/>
      <w:sz w:val="24"/>
      <w:szCs w:val="20"/>
    </w:rPr>
  </w:style>
  <w:style w:type="paragraph" w:customStyle="1" w:styleId="73">
    <w:name w:val="- 页码 -"/>
    <w:autoRedefine/>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74">
    <w:name w:val="List Paragraph"/>
    <w:basedOn w:val="1"/>
    <w:autoRedefine/>
    <w:qFormat/>
    <w:uiPriority w:val="99"/>
    <w:pPr>
      <w:ind w:firstLine="420" w:firstLineChars="200"/>
    </w:pPr>
  </w:style>
  <w:style w:type="paragraph" w:customStyle="1" w:styleId="75">
    <w:name w:val="首行缩进正文"/>
    <w:basedOn w:val="1"/>
    <w:link w:val="77"/>
    <w:autoRedefine/>
    <w:qFormat/>
    <w:uiPriority w:val="0"/>
    <w:pPr>
      <w:autoSpaceDE w:val="0"/>
      <w:autoSpaceDN w:val="0"/>
      <w:adjustRightInd w:val="0"/>
      <w:snapToGrid w:val="0"/>
      <w:spacing w:line="500" w:lineRule="exact"/>
      <w:ind w:firstLine="480" w:firstLineChars="200"/>
    </w:pPr>
    <w:rPr>
      <w:color w:val="4472C4" w:themeColor="accent1"/>
      <w:kern w:val="0"/>
      <w:sz w:val="24"/>
      <w14:textFill>
        <w14:solidFill>
          <w14:schemeClr w14:val="accent1"/>
        </w14:solidFill>
      </w14:textFill>
    </w:rPr>
  </w:style>
  <w:style w:type="paragraph" w:customStyle="1" w:styleId="76">
    <w:name w:val="【表头】0"/>
    <w:basedOn w:val="47"/>
    <w:link w:val="79"/>
    <w:autoRedefine/>
    <w:qFormat/>
    <w:uiPriority w:val="0"/>
    <w:pPr>
      <w:adjustRightInd w:val="0"/>
      <w:snapToGrid w:val="0"/>
      <w:spacing w:line="400" w:lineRule="exact"/>
    </w:pPr>
    <w:rPr>
      <w:rFonts w:eastAsia="宋体"/>
      <w:sz w:val="24"/>
    </w:rPr>
  </w:style>
  <w:style w:type="character" w:customStyle="1" w:styleId="77">
    <w:name w:val="首行缩进正文 字符"/>
    <w:basedOn w:val="22"/>
    <w:link w:val="75"/>
    <w:autoRedefine/>
    <w:qFormat/>
    <w:uiPriority w:val="0"/>
    <w:rPr>
      <w:color w:val="4472C4" w:themeColor="accent1"/>
      <w:sz w:val="24"/>
      <w:szCs w:val="24"/>
      <w14:textFill>
        <w14:solidFill>
          <w14:schemeClr w14:val="accent1"/>
        </w14:solidFill>
      </w14:textFill>
    </w:rPr>
  </w:style>
  <w:style w:type="paragraph" w:customStyle="1" w:styleId="78">
    <w:name w:val="【表中表】居中"/>
    <w:basedOn w:val="1"/>
    <w:link w:val="81"/>
    <w:autoRedefine/>
    <w:qFormat/>
    <w:uiPriority w:val="0"/>
    <w:pPr>
      <w:autoSpaceDE w:val="0"/>
      <w:autoSpaceDN w:val="0"/>
      <w:adjustRightInd w:val="0"/>
      <w:snapToGrid w:val="0"/>
      <w:jc w:val="center"/>
    </w:pPr>
    <w:rPr>
      <w:color w:val="4472C4" w:themeColor="accent1"/>
      <w14:textFill>
        <w14:solidFill>
          <w14:schemeClr w14:val="accent1"/>
        </w14:solidFill>
      </w14:textFill>
    </w:rPr>
  </w:style>
  <w:style w:type="character" w:customStyle="1" w:styleId="79">
    <w:name w:val="【表头】0 字符"/>
    <w:basedOn w:val="50"/>
    <w:link w:val="76"/>
    <w:autoRedefine/>
    <w:qFormat/>
    <w:uiPriority w:val="0"/>
    <w:rPr>
      <w:rFonts w:eastAsia="黑体"/>
      <w:kern w:val="2"/>
      <w:sz w:val="24"/>
      <w:szCs w:val="24"/>
    </w:rPr>
  </w:style>
  <w:style w:type="paragraph" w:customStyle="1" w:styleId="80">
    <w:name w:val="表中表-两端"/>
    <w:basedOn w:val="78"/>
    <w:link w:val="83"/>
    <w:autoRedefine/>
    <w:qFormat/>
    <w:uiPriority w:val="0"/>
    <w:pPr>
      <w:jc w:val="both"/>
    </w:pPr>
  </w:style>
  <w:style w:type="character" w:customStyle="1" w:styleId="81">
    <w:name w:val="【表中表】居中 字符"/>
    <w:basedOn w:val="22"/>
    <w:link w:val="78"/>
    <w:autoRedefine/>
    <w:qFormat/>
    <w:uiPriority w:val="0"/>
    <w:rPr>
      <w:color w:val="4472C4" w:themeColor="accent1"/>
      <w:kern w:val="2"/>
      <w:sz w:val="21"/>
      <w:szCs w:val="24"/>
      <w14:textFill>
        <w14:solidFill>
          <w14:schemeClr w14:val="accent1"/>
        </w14:solidFill>
      </w14:textFill>
    </w:rPr>
  </w:style>
  <w:style w:type="paragraph" w:customStyle="1" w:styleId="82">
    <w:name w:val="一、"/>
    <w:basedOn w:val="75"/>
    <w:link w:val="84"/>
    <w:autoRedefine/>
    <w:qFormat/>
    <w:uiPriority w:val="0"/>
    <w:pPr>
      <w:ind w:firstLine="482"/>
    </w:pPr>
    <w:rPr>
      <w:b/>
      <w:bCs/>
    </w:rPr>
  </w:style>
  <w:style w:type="character" w:customStyle="1" w:styleId="83">
    <w:name w:val="表中表-两端 字符"/>
    <w:basedOn w:val="81"/>
    <w:link w:val="80"/>
    <w:autoRedefine/>
    <w:qFormat/>
    <w:uiPriority w:val="0"/>
    <w:rPr>
      <w:color w:val="4472C4" w:themeColor="accent1"/>
      <w:kern w:val="2"/>
      <w:sz w:val="21"/>
      <w:szCs w:val="24"/>
      <w14:textFill>
        <w14:solidFill>
          <w14:schemeClr w14:val="accent1"/>
        </w14:solidFill>
      </w14:textFill>
    </w:rPr>
  </w:style>
  <w:style w:type="character" w:customStyle="1" w:styleId="84">
    <w:name w:val="一、 字符"/>
    <w:basedOn w:val="77"/>
    <w:link w:val="82"/>
    <w:autoRedefine/>
    <w:qFormat/>
    <w:uiPriority w:val="0"/>
    <w:rPr>
      <w:b/>
      <w:bCs/>
      <w:color w:val="4472C4" w:themeColor="accent1"/>
      <w:sz w:val="24"/>
      <w:szCs w:val="24"/>
      <w14:textFill>
        <w14:solidFill>
          <w14:schemeClr w14:val="accent1"/>
        </w14:solidFill>
      </w14:textFill>
    </w:rPr>
  </w:style>
  <w:style w:type="paragraph" w:customStyle="1" w:styleId="85">
    <w:name w:val="【正文+】"/>
    <w:basedOn w:val="75"/>
    <w:link w:val="87"/>
    <w:autoRedefine/>
    <w:qFormat/>
    <w:uiPriority w:val="0"/>
    <w:pPr>
      <w:autoSpaceDE/>
      <w:autoSpaceDN/>
    </w:pPr>
    <w:rPr>
      <w:rFonts w:eastAsia="仿宋" w:cs="宋体"/>
      <w:color w:val="000000" w:themeColor="text1"/>
      <w14:textFill>
        <w14:solidFill>
          <w14:schemeClr w14:val="tx1"/>
        </w14:solidFill>
      </w14:textFill>
    </w:rPr>
  </w:style>
  <w:style w:type="paragraph" w:customStyle="1" w:styleId="86">
    <w:name w:val="【表中表】"/>
    <w:basedOn w:val="1"/>
    <w:link w:val="88"/>
    <w:autoRedefine/>
    <w:qFormat/>
    <w:uiPriority w:val="0"/>
    <w:pPr>
      <w:adjustRightInd w:val="0"/>
      <w:snapToGrid w:val="0"/>
      <w:jc w:val="center"/>
    </w:pPr>
    <w:rPr>
      <w:rFonts w:eastAsia="仿宋"/>
      <w:kern w:val="0"/>
    </w:rPr>
  </w:style>
  <w:style w:type="character" w:customStyle="1" w:styleId="87">
    <w:name w:val="【正文+】 字符"/>
    <w:basedOn w:val="77"/>
    <w:link w:val="85"/>
    <w:autoRedefine/>
    <w:qFormat/>
    <w:uiPriority w:val="0"/>
    <w:rPr>
      <w:rFonts w:eastAsia="仿宋" w:cs="宋体"/>
      <w:color w:val="000000" w:themeColor="text1"/>
      <w:sz w:val="24"/>
      <w:szCs w:val="24"/>
      <w14:textFill>
        <w14:solidFill>
          <w14:schemeClr w14:val="tx1"/>
        </w14:solidFill>
      </w14:textFill>
    </w:rPr>
  </w:style>
  <w:style w:type="character" w:customStyle="1" w:styleId="88">
    <w:name w:val="【表中表】 字符"/>
    <w:basedOn w:val="22"/>
    <w:link w:val="86"/>
    <w:autoRedefine/>
    <w:qFormat/>
    <w:uiPriority w:val="0"/>
    <w:rPr>
      <w:rFonts w:eastAsia="仿宋"/>
      <w:sz w:val="21"/>
      <w:szCs w:val="24"/>
    </w:rPr>
  </w:style>
  <w:style w:type="character" w:customStyle="1" w:styleId="89">
    <w:name w:val="【正文】 Char"/>
    <w:autoRedefine/>
    <w:qFormat/>
    <w:uiPriority w:val="0"/>
    <w:rPr>
      <w:rFonts w:cs="宋体"/>
      <w:color w:val="000000" w:themeColor="text1"/>
      <w:sz w:val="24"/>
      <w:szCs w:val="24"/>
      <w14:textFill>
        <w14:solidFill>
          <w14:schemeClr w14:val="tx1"/>
        </w14:solidFill>
      </w14:textFill>
    </w:rPr>
  </w:style>
  <w:style w:type="character" w:customStyle="1" w:styleId="90">
    <w:name w:val="C【表中文字】- 字符"/>
    <w:link w:val="91"/>
    <w:autoRedefine/>
    <w:qFormat/>
    <w:uiPriority w:val="0"/>
    <w:rPr>
      <w:sz w:val="18"/>
    </w:rPr>
  </w:style>
  <w:style w:type="paragraph" w:customStyle="1" w:styleId="91">
    <w:name w:val="C【表中文字】-"/>
    <w:basedOn w:val="1"/>
    <w:link w:val="90"/>
    <w:autoRedefine/>
    <w:qFormat/>
    <w:uiPriority w:val="0"/>
    <w:pPr>
      <w:adjustRightInd w:val="0"/>
      <w:snapToGrid w:val="0"/>
      <w:jc w:val="center"/>
    </w:pPr>
    <w:rPr>
      <w:kern w:val="0"/>
      <w:sz w:val="18"/>
      <w:szCs w:val="20"/>
    </w:rPr>
  </w:style>
  <w:style w:type="paragraph" w:customStyle="1" w:styleId="92">
    <w:name w:val="C首行缩进正文"/>
    <w:basedOn w:val="54"/>
    <w:link w:val="93"/>
    <w:autoRedefine/>
    <w:qFormat/>
    <w:uiPriority w:val="0"/>
    <w:rPr>
      <w:rFonts w:cs="宋体"/>
      <w:color w:val="000000" w:themeColor="text1"/>
      <w:kern w:val="0"/>
      <w:sz w:val="21"/>
      <w14:textFill>
        <w14:solidFill>
          <w14:schemeClr w14:val="tx1"/>
        </w14:solidFill>
      </w14:textFill>
    </w:rPr>
  </w:style>
  <w:style w:type="character" w:customStyle="1" w:styleId="93">
    <w:name w:val="C首行缩进正文 字符"/>
    <w:basedOn w:val="89"/>
    <w:link w:val="92"/>
    <w:autoRedefine/>
    <w:qFormat/>
    <w:uiPriority w:val="0"/>
    <w:rPr>
      <w:rFonts w:cs="宋体"/>
      <w:color w:val="000000" w:themeColor="text1"/>
      <w:sz w:val="21"/>
      <w:szCs w:val="24"/>
      <w14:textFill>
        <w14:solidFill>
          <w14:schemeClr w14:val="tx1"/>
        </w14:solidFill>
      </w14:textFill>
    </w:rPr>
  </w:style>
  <w:style w:type="character" w:customStyle="1" w:styleId="94">
    <w:name w:val="神-安表格 字符"/>
    <w:link w:val="95"/>
    <w:autoRedefine/>
    <w:qFormat/>
    <w:locked/>
    <w:uiPriority w:val="0"/>
    <w:rPr>
      <w:color w:val="000000"/>
      <w:kern w:val="2"/>
      <w:sz w:val="21"/>
      <w:szCs w:val="24"/>
    </w:rPr>
  </w:style>
  <w:style w:type="paragraph" w:customStyle="1" w:styleId="95">
    <w:name w:val="神-安表格"/>
    <w:basedOn w:val="1"/>
    <w:link w:val="94"/>
    <w:autoRedefine/>
    <w:qFormat/>
    <w:uiPriority w:val="0"/>
    <w:pPr>
      <w:adjustRightInd w:val="0"/>
      <w:snapToGrid w:val="0"/>
      <w:jc w:val="center"/>
    </w:pPr>
    <w:rPr>
      <w:color w:val="000000"/>
    </w:rPr>
  </w:style>
  <w:style w:type="paragraph" w:customStyle="1" w:styleId="96">
    <w:name w:val="AAA首行缩进2字符正文"/>
    <w:basedOn w:val="75"/>
    <w:autoRedefine/>
    <w:qFormat/>
    <w:uiPriority w:val="0"/>
    <w:pPr>
      <w:autoSpaceDE/>
      <w:autoSpaceDN/>
      <w:ind w:firstLine="200"/>
    </w:pPr>
    <w:rPr>
      <w:rFonts w:eastAsia="仿宋" w:cs="宋体"/>
      <w:color w:val="000000" w:themeColor="text1"/>
      <w14:textFill>
        <w14:solidFill>
          <w14:schemeClr w14:val="tx1"/>
        </w14:solidFill>
      </w14:textFill>
    </w:rPr>
  </w:style>
  <w:style w:type="paragraph" w:customStyle="1" w:styleId="97">
    <w:name w:val="列表段落1"/>
    <w:basedOn w:val="1"/>
    <w:autoRedefine/>
    <w:qFormat/>
    <w:uiPriority w:val="34"/>
    <w:pPr>
      <w:ind w:firstLine="420" w:firstLineChars="200"/>
    </w:pPr>
    <w:rPr>
      <w:szCs w:val="20"/>
    </w:rPr>
  </w:style>
  <w:style w:type="paragraph" w:customStyle="1" w:styleId="98">
    <w:name w:val="AAA正文1"/>
    <w:basedOn w:val="1"/>
    <w:link w:val="99"/>
    <w:autoRedefine/>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character" w:customStyle="1" w:styleId="99">
    <w:name w:val="AAA正文1 字符"/>
    <w:basedOn w:val="22"/>
    <w:link w:val="98"/>
    <w:autoRedefine/>
    <w:qFormat/>
    <w:uiPriority w:val="0"/>
    <w:rPr>
      <w:rFonts w:eastAsia="仿宋"/>
      <w:color w:val="000000" w:themeColor="text1"/>
      <w:kern w:val="2"/>
      <w:sz w:val="24"/>
      <w:szCs w:val="24"/>
      <w14:textFill>
        <w14:solidFill>
          <w14:schemeClr w14:val="tx1"/>
        </w14:solidFill>
      </w14:textFill>
    </w:rPr>
  </w:style>
  <w:style w:type="character" w:customStyle="1" w:styleId="100">
    <w:name w:val="内容 Char"/>
    <w:link w:val="101"/>
    <w:autoRedefine/>
    <w:qFormat/>
    <w:uiPriority w:val="0"/>
    <w:rPr>
      <w:color w:val="000000"/>
      <w:kern w:val="2"/>
      <w:sz w:val="24"/>
      <w:szCs w:val="24"/>
    </w:rPr>
  </w:style>
  <w:style w:type="paragraph" w:customStyle="1" w:styleId="101">
    <w:name w:val="内容"/>
    <w:basedOn w:val="1"/>
    <w:link w:val="100"/>
    <w:autoRedefine/>
    <w:qFormat/>
    <w:uiPriority w:val="0"/>
    <w:pPr>
      <w:widowControl/>
      <w:spacing w:beforeLines="50" w:afterLines="50"/>
      <w:ind w:firstLine="200" w:firstLineChars="200"/>
      <w:jc w:val="left"/>
    </w:pPr>
    <w:rPr>
      <w:color w:val="000000"/>
      <w:sz w:val="24"/>
    </w:rPr>
  </w:style>
  <w:style w:type="paragraph" w:customStyle="1" w:styleId="102">
    <w:name w:val="11111"/>
    <w:basedOn w:val="1"/>
    <w:next w:val="1"/>
    <w:autoRedefine/>
    <w:qFormat/>
    <w:uiPriority w:val="0"/>
    <w:pPr>
      <w:spacing w:line="360" w:lineRule="auto"/>
      <w:ind w:firstLine="200" w:firstLineChars="200"/>
    </w:pPr>
    <w:rPr>
      <w:rFonts w:ascii="宋体" w:hAnsi="宋体" w:eastAsia="Times New Roman" w:cs="宋体"/>
      <w:sz w:val="24"/>
    </w:rPr>
  </w:style>
  <w:style w:type="character" w:customStyle="1" w:styleId="103">
    <w:name w:val="标题 2 字符"/>
    <w:basedOn w:val="22"/>
    <w:link w:val="3"/>
    <w:autoRedefine/>
    <w:semiHidden/>
    <w:qFormat/>
    <w:uiPriority w:val="0"/>
    <w:rPr>
      <w:rFonts w:asciiTheme="majorHAnsi" w:hAnsiTheme="majorHAnsi" w:eastAsiaTheme="majorEastAsia" w:cstheme="majorBidi"/>
      <w:b/>
      <w:bCs/>
      <w:kern w:val="2"/>
      <w:sz w:val="32"/>
      <w:szCs w:val="32"/>
    </w:rPr>
  </w:style>
  <w:style w:type="paragraph" w:customStyle="1" w:styleId="104">
    <w:name w:val="【表格】1"/>
    <w:next w:val="19"/>
    <w:autoRedefine/>
    <w:qFormat/>
    <w:uiPriority w:val="0"/>
    <w:pPr>
      <w:widowControl w:val="0"/>
      <w:spacing w:after="160" w:line="0" w:lineRule="atLeast"/>
      <w:jc w:val="center"/>
    </w:pPr>
    <w:rPr>
      <w:rFonts w:ascii="Times New Roman" w:hAnsi="Times New Roman" w:eastAsia="宋体" w:cs="Times New Roman"/>
      <w:color w:val="000000"/>
      <w:sz w:val="21"/>
      <w:szCs w:val="18"/>
      <w:lang w:val="en-US" w:eastAsia="zh-CN" w:bidi="ar-SA"/>
    </w:rPr>
  </w:style>
  <w:style w:type="paragraph" w:customStyle="1" w:styleId="105">
    <w:name w:val="_Style 4"/>
    <w:autoRedefine/>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106">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7">
    <w:name w:val="正文首行缩进1"/>
    <w:basedOn w:val="6"/>
    <w:autoRedefine/>
    <w:unhideWhenUsed/>
    <w:qFormat/>
    <w:uiPriority w:val="99"/>
    <w:pPr>
      <w:adjustRightInd w:val="0"/>
      <w:spacing w:before="0" w:after="0" w:line="360" w:lineRule="auto"/>
      <w:ind w:right="0" w:firstLine="200" w:firstLineChars="200"/>
    </w:pPr>
    <w:rPr>
      <w:kern w:val="2"/>
      <w:sz w:val="24"/>
      <w:szCs w:val="21"/>
    </w:rPr>
  </w:style>
  <w:style w:type="paragraph" w:customStyle="1" w:styleId="108">
    <w:name w:val="列出段落1"/>
    <w:basedOn w:val="1"/>
    <w:next w:val="1"/>
    <w:qFormat/>
    <w:uiPriority w:val="0"/>
    <w:pPr>
      <w:spacing w:line="460" w:lineRule="exact"/>
      <w:ind w:firstLine="480"/>
      <w:jc w:val="center"/>
    </w:pPr>
    <w:rPr>
      <w:rFonts w:ascii="Times New Roman" w:hAnsi="Times New Roman" w:eastAsia="黑体" w:cs="Times New Roman"/>
      <w:sz w:val="24"/>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3.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2.xml"/><Relationship Id="rId39"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TargetMode="External"/><Relationship Id="rId38" Type="http://schemas.openxmlformats.org/officeDocument/2006/relationships/image" Target="media/image20.png"/><Relationship Id="rId37"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TargetMode="External"/><Relationship Id="rId36" Type="http://schemas.openxmlformats.org/officeDocument/2006/relationships/image" Target="media/image19.png"/><Relationship Id="rId35"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TargetMode="External"/><Relationship Id="rId34" Type="http://schemas.openxmlformats.org/officeDocument/2006/relationships/image" Target="media/image18.png"/><Relationship Id="rId33"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TargetMode="External"/><Relationship Id="rId32" Type="http://schemas.openxmlformats.org/officeDocument/2006/relationships/image" Target="media/image17.png"/><Relationship Id="rId31"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TargetMode="External"/><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TargetMode="External"/><Relationship Id="rId28" Type="http://schemas.openxmlformats.org/officeDocument/2006/relationships/image" Target="media/image15.png"/><Relationship Id="rId27"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TargetMode="External"/><Relationship Id="rId26" Type="http://schemas.openxmlformats.org/officeDocument/2006/relationships/image" Target="media/image14.png"/><Relationship Id="rId25"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TargetMode="External"/><Relationship Id="rId24" Type="http://schemas.openxmlformats.org/officeDocument/2006/relationships/image" Target="media/image13.png"/><Relationship Id="rId23"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TargetMode="External"/><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FA2FF9-128A-4312-9B48-2FF64527707C}">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88</Pages>
  <Words>33031</Words>
  <Characters>36369</Characters>
  <Lines>1</Lines>
  <Paragraphs>1</Paragraphs>
  <TotalTime>41</TotalTime>
  <ScaleCrop>false</ScaleCrop>
  <LinksUpToDate>false</LinksUpToDate>
  <CharactersWithSpaces>36536</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2023-01-30T01:05:00Z</dcterms:created>
  <dc:creator>lhj</dc:creator>
  <cp:lastModifiedBy>嘻嘻嘻...</cp:lastModifiedBy>
  <cp:lastPrinted>2023-01-30T01:06:00Z</cp:lastPrinted>
  <dcterms:modified xsi:type="dcterms:W3CDTF">2024-07-18T02:26:38Z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08D51A497AB2446AA1AE5A6437E25B90_13</vt:lpwstr>
  </property>
</Properties>
</file>