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FB488BD">
      <w:pPr>
        <w:ind w:firstLine="880"/>
        <w:rPr>
          <w:color w:val="auto"/>
          <w:sz w:val="44"/>
          <w:szCs w:val="44"/>
        </w:rPr>
      </w:pPr>
    </w:p>
    <w:p w14:paraId="719A68F7">
      <w:pPr>
        <w:ind w:firstLine="880"/>
        <w:rPr>
          <w:color w:val="auto"/>
          <w:sz w:val="44"/>
          <w:szCs w:val="44"/>
        </w:rPr>
      </w:pPr>
    </w:p>
    <w:p w14:paraId="0E1C9F2B">
      <w:pPr>
        <w:ind w:firstLine="880"/>
        <w:rPr>
          <w:color w:val="auto"/>
          <w:sz w:val="44"/>
          <w:szCs w:val="44"/>
        </w:rPr>
      </w:pPr>
    </w:p>
    <w:p w14:paraId="7246044D">
      <w:pPr>
        <w:ind w:firstLine="880"/>
        <w:rPr>
          <w:color w:val="auto"/>
          <w:sz w:val="44"/>
          <w:szCs w:val="44"/>
        </w:rPr>
      </w:pPr>
    </w:p>
    <w:p w14:paraId="036D31E5">
      <w:pPr>
        <w:ind w:firstLine="880"/>
        <w:rPr>
          <w:color w:val="auto"/>
          <w:sz w:val="44"/>
          <w:szCs w:val="44"/>
        </w:rPr>
      </w:pPr>
    </w:p>
    <w:p w14:paraId="7265ED9A">
      <w:pPr>
        <w:ind w:firstLine="880"/>
        <w:rPr>
          <w:color w:val="auto"/>
          <w:sz w:val="44"/>
          <w:szCs w:val="44"/>
        </w:rPr>
      </w:pPr>
    </w:p>
    <w:p w14:paraId="7C138B66">
      <w:pPr>
        <w:pStyle w:val="61"/>
        <w:ind w:firstLine="0" w:firstLineChars="0"/>
        <w:jc w:val="center"/>
        <w:rPr>
          <w:color w:val="auto"/>
        </w:rPr>
      </w:pPr>
      <w:r>
        <w:rPr>
          <w:color w:val="auto"/>
          <w:sz w:val="72"/>
          <w:szCs w:val="72"/>
        </w:rPr>
        <w:t>建设项目环境影响报告表</w:t>
      </w:r>
      <w:r>
        <w:rPr>
          <w:color w:val="auto"/>
          <w:sz w:val="48"/>
          <w:szCs w:val="48"/>
        </w:rPr>
        <w:t>（污染影响类）</w:t>
      </w:r>
    </w:p>
    <w:p w14:paraId="1F2B8B6F">
      <w:pPr>
        <w:ind w:firstLine="880"/>
        <w:rPr>
          <w:color w:val="auto"/>
          <w:sz w:val="44"/>
          <w:szCs w:val="44"/>
        </w:rPr>
      </w:pPr>
    </w:p>
    <w:p w14:paraId="26C27693">
      <w:pPr>
        <w:ind w:firstLine="880"/>
        <w:rPr>
          <w:color w:val="auto"/>
          <w:sz w:val="44"/>
          <w:szCs w:val="44"/>
        </w:rPr>
      </w:pPr>
    </w:p>
    <w:p w14:paraId="15176C55">
      <w:pPr>
        <w:ind w:firstLine="880"/>
        <w:rPr>
          <w:color w:val="auto"/>
          <w:sz w:val="44"/>
          <w:szCs w:val="44"/>
        </w:rPr>
      </w:pPr>
    </w:p>
    <w:p w14:paraId="762C6D3A">
      <w:pPr>
        <w:ind w:firstLine="880"/>
        <w:rPr>
          <w:color w:val="auto"/>
          <w:sz w:val="44"/>
          <w:szCs w:val="44"/>
        </w:rPr>
      </w:pPr>
    </w:p>
    <w:p w14:paraId="461028DB">
      <w:pPr>
        <w:ind w:firstLine="880"/>
        <w:rPr>
          <w:color w:val="auto"/>
          <w:sz w:val="44"/>
          <w:szCs w:val="44"/>
        </w:rPr>
      </w:pPr>
    </w:p>
    <w:p w14:paraId="0ADC0040">
      <w:pPr>
        <w:ind w:firstLine="880"/>
        <w:rPr>
          <w:color w:val="auto"/>
          <w:sz w:val="44"/>
          <w:szCs w:val="44"/>
        </w:rPr>
      </w:pPr>
    </w:p>
    <w:p w14:paraId="090EBBE6">
      <w:pPr>
        <w:ind w:firstLine="880"/>
        <w:rPr>
          <w:color w:val="auto"/>
          <w:sz w:val="44"/>
          <w:szCs w:val="44"/>
        </w:rPr>
      </w:pPr>
    </w:p>
    <w:p w14:paraId="5E604374">
      <w:pPr>
        <w:adjustRightInd w:val="0"/>
        <w:snapToGrid w:val="0"/>
        <w:spacing w:line="288" w:lineRule="auto"/>
        <w:jc w:val="both"/>
        <w:rPr>
          <w:b/>
          <w:bCs/>
          <w:color w:val="auto"/>
          <w:sz w:val="28"/>
          <w:szCs w:val="28"/>
          <w:u w:val="single"/>
        </w:rPr>
      </w:pPr>
      <w:r>
        <w:rPr>
          <w:b/>
          <w:bCs/>
          <w:color w:val="auto"/>
          <w:sz w:val="28"/>
          <w:szCs w:val="28"/>
        </w:rPr>
        <w:t>项目名称：</w:t>
      </w:r>
      <w:r>
        <w:rPr>
          <w:rFonts w:hint="eastAsia"/>
          <w:b/>
          <w:bCs/>
          <w:color w:val="auto"/>
          <w:sz w:val="28"/>
          <w:szCs w:val="28"/>
          <w:u w:val="single"/>
          <w:lang w:val="en-US" w:eastAsia="zh-CN"/>
        </w:rPr>
        <w:t>桦南县宏祥报废农机回收有限责任公司农机报废拆解项目</w:t>
      </w:r>
    </w:p>
    <w:p w14:paraId="4A22F453">
      <w:pPr>
        <w:adjustRightInd w:val="0"/>
        <w:snapToGrid w:val="0"/>
        <w:spacing w:line="288" w:lineRule="auto"/>
        <w:ind w:firstLine="843" w:firstLineChars="300"/>
        <w:rPr>
          <w:b/>
          <w:bCs/>
          <w:color w:val="auto"/>
          <w:sz w:val="28"/>
          <w:szCs w:val="28"/>
        </w:rPr>
      </w:pPr>
      <w:r>
        <w:rPr>
          <w:b/>
          <w:bCs/>
          <w:color w:val="auto"/>
          <w:sz w:val="28"/>
          <w:szCs w:val="28"/>
        </w:rPr>
        <w:t>建设单位（盖章）：</w:t>
      </w:r>
      <w:r>
        <w:rPr>
          <w:rFonts w:hint="eastAsia"/>
          <w:b/>
          <w:bCs/>
          <w:color w:val="auto"/>
          <w:sz w:val="28"/>
          <w:szCs w:val="28"/>
          <w:u w:val="single"/>
          <w:lang w:eastAsia="zh-CN"/>
        </w:rPr>
        <w:t>桦南县宏祥报废农机回收有限责任公司</w:t>
      </w:r>
      <w:r>
        <w:rPr>
          <w:b/>
          <w:bCs/>
          <w:color w:val="auto"/>
          <w:sz w:val="28"/>
          <w:szCs w:val="28"/>
          <w:u w:val="single"/>
        </w:rPr>
        <w:t xml:space="preserve">  </w:t>
      </w:r>
    </w:p>
    <w:p w14:paraId="71A375B5">
      <w:pPr>
        <w:adjustRightInd w:val="0"/>
        <w:snapToGrid w:val="0"/>
        <w:spacing w:line="288" w:lineRule="auto"/>
        <w:ind w:firstLine="843" w:firstLineChars="300"/>
        <w:rPr>
          <w:color w:val="auto"/>
          <w:sz w:val="36"/>
          <w:szCs w:val="36"/>
        </w:rPr>
      </w:pPr>
      <w:r>
        <w:rPr>
          <w:b/>
          <w:bCs/>
          <w:color w:val="auto"/>
          <w:sz w:val="28"/>
          <w:szCs w:val="28"/>
        </w:rPr>
        <w:t>编制日期：</w:t>
      </w:r>
      <w:r>
        <w:rPr>
          <w:b/>
          <w:bCs/>
          <w:color w:val="auto"/>
          <w:sz w:val="28"/>
          <w:szCs w:val="28"/>
          <w:u w:val="single"/>
        </w:rPr>
        <w:t xml:space="preserve">            202</w:t>
      </w:r>
      <w:r>
        <w:rPr>
          <w:rFonts w:hint="eastAsia"/>
          <w:b/>
          <w:bCs/>
          <w:color w:val="auto"/>
          <w:sz w:val="28"/>
          <w:szCs w:val="28"/>
          <w:u w:val="single"/>
          <w:lang w:val="en-US" w:eastAsia="zh-CN"/>
        </w:rPr>
        <w:t>4</w:t>
      </w:r>
      <w:r>
        <w:rPr>
          <w:b/>
          <w:bCs/>
          <w:color w:val="auto"/>
          <w:sz w:val="28"/>
          <w:szCs w:val="28"/>
          <w:u w:val="single"/>
        </w:rPr>
        <w:t>年</w:t>
      </w:r>
      <w:r>
        <w:rPr>
          <w:rFonts w:hint="eastAsia"/>
          <w:b/>
          <w:bCs/>
          <w:color w:val="auto"/>
          <w:sz w:val="28"/>
          <w:szCs w:val="28"/>
          <w:u w:val="single"/>
          <w:lang w:val="en-US" w:eastAsia="zh-CN"/>
        </w:rPr>
        <w:t>8</w:t>
      </w:r>
      <w:r>
        <w:rPr>
          <w:b/>
          <w:bCs/>
          <w:color w:val="auto"/>
          <w:sz w:val="28"/>
          <w:szCs w:val="28"/>
          <w:u w:val="single"/>
        </w:rPr>
        <w:t xml:space="preserve">月              </w:t>
      </w:r>
      <w:bookmarkStart w:id="0" w:name="_Hlk57884087"/>
      <w:r>
        <w:rPr>
          <w:b/>
          <w:bCs/>
          <w:color w:val="auto"/>
          <w:sz w:val="28"/>
          <w:szCs w:val="28"/>
          <w:u w:val="single"/>
        </w:rPr>
        <w:t xml:space="preserve">     </w:t>
      </w:r>
    </w:p>
    <w:p w14:paraId="05F2A6B6">
      <w:pPr>
        <w:ind w:firstLine="880"/>
        <w:rPr>
          <w:color w:val="auto"/>
          <w:sz w:val="44"/>
          <w:szCs w:val="44"/>
        </w:rPr>
      </w:pPr>
    </w:p>
    <w:p w14:paraId="5C3AC1FC">
      <w:pPr>
        <w:ind w:firstLine="880"/>
        <w:rPr>
          <w:color w:val="auto"/>
          <w:sz w:val="44"/>
          <w:szCs w:val="44"/>
        </w:rPr>
      </w:pPr>
    </w:p>
    <w:p w14:paraId="43C9C338">
      <w:pPr>
        <w:ind w:firstLine="880"/>
        <w:rPr>
          <w:color w:val="auto"/>
          <w:sz w:val="44"/>
          <w:szCs w:val="44"/>
        </w:rPr>
      </w:pPr>
    </w:p>
    <w:p w14:paraId="33E621E6">
      <w:pPr>
        <w:rPr>
          <w:color w:val="auto"/>
          <w:sz w:val="44"/>
          <w:szCs w:val="44"/>
        </w:rPr>
      </w:pPr>
    </w:p>
    <w:bookmarkEnd w:id="0"/>
    <w:p w14:paraId="4205769B">
      <w:pPr>
        <w:adjustRightInd w:val="0"/>
        <w:snapToGrid w:val="0"/>
        <w:spacing w:line="288" w:lineRule="auto"/>
        <w:jc w:val="center"/>
        <w:rPr>
          <w:color w:val="auto"/>
          <w:sz w:val="36"/>
          <w:szCs w:val="36"/>
        </w:rPr>
      </w:pPr>
      <w:r>
        <w:rPr>
          <w:color w:val="auto"/>
          <w:sz w:val="36"/>
          <w:szCs w:val="36"/>
        </w:rPr>
        <w:t>中华人民共和国生态环境部制</w:t>
      </w:r>
    </w:p>
    <w:p w14:paraId="1FB4E5E3">
      <w:pPr>
        <w:rPr>
          <w:b/>
          <w:bCs/>
          <w:color w:val="auto"/>
          <w:sz w:val="32"/>
          <w:szCs w:val="32"/>
        </w:rPr>
      </w:pPr>
      <w:r>
        <w:rPr>
          <w:b/>
          <w:bCs/>
          <w:color w:val="auto"/>
          <w:sz w:val="32"/>
          <w:szCs w:val="32"/>
        </w:rPr>
        <w:br w:type="page"/>
      </w:r>
    </w:p>
    <w:p w14:paraId="0A2AF21B">
      <w:pPr>
        <w:pStyle w:val="15"/>
        <w:rPr>
          <w:rFonts w:hint="eastAsia" w:eastAsia="宋体"/>
          <w:color w:val="auto"/>
          <w:lang w:eastAsia="zh-CN"/>
        </w:rPr>
      </w:pPr>
    </w:p>
    <w:p w14:paraId="6B7A3179">
      <w:pPr>
        <w:rPr>
          <w:rFonts w:hint="eastAsia" w:eastAsia="宋体"/>
          <w:color w:val="auto"/>
          <w:lang w:eastAsia="zh-CN"/>
        </w:rPr>
      </w:pPr>
      <w:r>
        <w:drawing>
          <wp:inline distT="0" distB="0" distL="114300" distR="114300">
            <wp:extent cx="4772025" cy="7365365"/>
            <wp:effectExtent l="0" t="0" r="9525" b="698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2"/>
                    <a:stretch>
                      <a:fillRect/>
                    </a:stretch>
                  </pic:blipFill>
                  <pic:spPr>
                    <a:xfrm>
                      <a:off x="0" y="0"/>
                      <a:ext cx="4772025" cy="7365365"/>
                    </a:xfrm>
                    <a:prstGeom prst="rect">
                      <a:avLst/>
                    </a:prstGeom>
                    <a:noFill/>
                    <a:ln>
                      <a:noFill/>
                    </a:ln>
                  </pic:spPr>
                </pic:pic>
              </a:graphicData>
            </a:graphic>
          </wp:inline>
        </w:drawing>
      </w:r>
      <w:r>
        <w:rPr>
          <w:rFonts w:hint="eastAsia" w:eastAsia="宋体"/>
          <w:color w:val="auto"/>
          <w:lang w:eastAsia="zh-CN"/>
        </w:rPr>
        <w:br w:type="page"/>
      </w:r>
    </w:p>
    <w:p w14:paraId="11878410">
      <w:pPr>
        <w:rPr>
          <w:rFonts w:hint="eastAsia"/>
          <w:color w:val="auto"/>
          <w:lang w:eastAsia="zh-CN"/>
        </w:rPr>
      </w:pPr>
    </w:p>
    <w:p w14:paraId="33DA5A91">
      <w:pPr>
        <w:spacing w:line="360" w:lineRule="auto"/>
        <w:jc w:val="center"/>
        <w:rPr>
          <w:b/>
          <w:bCs/>
          <w:color w:val="auto"/>
          <w:sz w:val="32"/>
          <w:szCs w:val="32"/>
        </w:rPr>
      </w:pPr>
      <w:r>
        <w:rPr>
          <w:b/>
          <w:bCs/>
          <w:color w:val="auto"/>
          <w:sz w:val="32"/>
          <w:szCs w:val="32"/>
        </w:rPr>
        <w:t>目  录</w:t>
      </w:r>
    </w:p>
    <w:p w14:paraId="1277A5D1">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rPr>
      </w:pPr>
      <w:r>
        <w:rPr>
          <w:b/>
          <w:bCs/>
          <w:color w:val="auto"/>
          <w:sz w:val="28"/>
          <w:szCs w:val="28"/>
        </w:rPr>
        <w:fldChar w:fldCharType="begin"/>
      </w:r>
      <w:r>
        <w:rPr>
          <w:b/>
          <w:bCs/>
          <w:color w:val="auto"/>
          <w:sz w:val="28"/>
          <w:szCs w:val="28"/>
        </w:rPr>
        <w:instrText xml:space="preserve"> TOC \o "1-2" \h \z \u </w:instrText>
      </w:r>
      <w:r>
        <w:rPr>
          <w:b/>
          <w:bCs/>
          <w:color w:val="auto"/>
          <w:sz w:val="28"/>
          <w:szCs w:val="28"/>
        </w:rPr>
        <w:fldChar w:fldCharType="separate"/>
      </w:r>
      <w:r>
        <w:rPr>
          <w:bCs/>
          <w:color w:val="auto"/>
          <w:sz w:val="24"/>
          <w:szCs w:val="24"/>
        </w:rPr>
        <w:fldChar w:fldCharType="begin"/>
      </w:r>
      <w:r>
        <w:rPr>
          <w:bCs/>
          <w:sz w:val="24"/>
          <w:szCs w:val="24"/>
        </w:rPr>
        <w:instrText xml:space="preserve"> HYPERLINK \l _Toc28139 </w:instrText>
      </w:r>
      <w:r>
        <w:rPr>
          <w:bCs/>
          <w:sz w:val="24"/>
          <w:szCs w:val="24"/>
        </w:rPr>
        <w:fldChar w:fldCharType="separate"/>
      </w:r>
      <w:r>
        <w:rPr>
          <w:rFonts w:ascii="Times New Roman" w:hAnsi="Times New Roman"/>
          <w:bCs/>
          <w:snapToGrid w:val="0"/>
          <w:sz w:val="24"/>
          <w:szCs w:val="24"/>
        </w:rPr>
        <w:t>一、建设项目基本情况</w:t>
      </w:r>
      <w:r>
        <w:rPr>
          <w:sz w:val="24"/>
          <w:szCs w:val="24"/>
        </w:rPr>
        <w:tab/>
      </w:r>
      <w:r>
        <w:rPr>
          <w:sz w:val="24"/>
          <w:szCs w:val="24"/>
        </w:rPr>
        <w:fldChar w:fldCharType="begin"/>
      </w:r>
      <w:r>
        <w:rPr>
          <w:sz w:val="24"/>
          <w:szCs w:val="24"/>
        </w:rPr>
        <w:instrText xml:space="preserve"> PAGEREF _Toc28139 \h </w:instrText>
      </w:r>
      <w:r>
        <w:rPr>
          <w:sz w:val="24"/>
          <w:szCs w:val="24"/>
        </w:rPr>
        <w:fldChar w:fldCharType="separate"/>
      </w:r>
      <w:r>
        <w:rPr>
          <w:sz w:val="24"/>
          <w:szCs w:val="24"/>
        </w:rPr>
        <w:t>1</w:t>
      </w:r>
      <w:r>
        <w:rPr>
          <w:sz w:val="24"/>
          <w:szCs w:val="24"/>
        </w:rPr>
        <w:fldChar w:fldCharType="end"/>
      </w:r>
      <w:r>
        <w:rPr>
          <w:bCs/>
          <w:color w:val="auto"/>
          <w:sz w:val="24"/>
          <w:szCs w:val="24"/>
        </w:rPr>
        <w:fldChar w:fldCharType="end"/>
      </w:r>
    </w:p>
    <w:p w14:paraId="3A8E44C3">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rPr>
      </w:pPr>
      <w:r>
        <w:rPr>
          <w:bCs/>
          <w:color w:val="auto"/>
          <w:sz w:val="24"/>
          <w:szCs w:val="24"/>
        </w:rPr>
        <w:fldChar w:fldCharType="begin"/>
      </w:r>
      <w:r>
        <w:rPr>
          <w:bCs/>
          <w:sz w:val="24"/>
          <w:szCs w:val="24"/>
        </w:rPr>
        <w:instrText xml:space="preserve"> HYPERLINK \l _Toc23809 </w:instrText>
      </w:r>
      <w:r>
        <w:rPr>
          <w:bCs/>
          <w:sz w:val="24"/>
          <w:szCs w:val="24"/>
        </w:rPr>
        <w:fldChar w:fldCharType="separate"/>
      </w:r>
      <w:r>
        <w:rPr>
          <w:rFonts w:ascii="Times New Roman" w:hAnsi="Times New Roman"/>
          <w:bCs/>
          <w:snapToGrid w:val="0"/>
          <w:sz w:val="24"/>
          <w:szCs w:val="24"/>
        </w:rPr>
        <w:t>二、建设项目工程分析</w:t>
      </w:r>
      <w:r>
        <w:rPr>
          <w:sz w:val="24"/>
          <w:szCs w:val="24"/>
        </w:rPr>
        <w:tab/>
      </w:r>
      <w:r>
        <w:rPr>
          <w:sz w:val="24"/>
          <w:szCs w:val="24"/>
        </w:rPr>
        <w:fldChar w:fldCharType="begin"/>
      </w:r>
      <w:r>
        <w:rPr>
          <w:sz w:val="24"/>
          <w:szCs w:val="24"/>
        </w:rPr>
        <w:instrText xml:space="preserve"> PAGEREF _Toc23809 \h </w:instrText>
      </w:r>
      <w:r>
        <w:rPr>
          <w:sz w:val="24"/>
          <w:szCs w:val="24"/>
        </w:rPr>
        <w:fldChar w:fldCharType="separate"/>
      </w:r>
      <w:r>
        <w:rPr>
          <w:sz w:val="24"/>
          <w:szCs w:val="24"/>
        </w:rPr>
        <w:t>12</w:t>
      </w:r>
      <w:r>
        <w:rPr>
          <w:sz w:val="24"/>
          <w:szCs w:val="24"/>
        </w:rPr>
        <w:fldChar w:fldCharType="end"/>
      </w:r>
      <w:r>
        <w:rPr>
          <w:bCs/>
          <w:color w:val="auto"/>
          <w:sz w:val="24"/>
          <w:szCs w:val="24"/>
        </w:rPr>
        <w:fldChar w:fldCharType="end"/>
      </w:r>
    </w:p>
    <w:p w14:paraId="6FDF387C">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rPr>
      </w:pPr>
      <w:r>
        <w:rPr>
          <w:bCs/>
          <w:color w:val="auto"/>
          <w:sz w:val="24"/>
          <w:szCs w:val="24"/>
        </w:rPr>
        <w:fldChar w:fldCharType="begin"/>
      </w:r>
      <w:r>
        <w:rPr>
          <w:bCs/>
          <w:sz w:val="24"/>
          <w:szCs w:val="24"/>
        </w:rPr>
        <w:instrText xml:space="preserve"> HYPERLINK \l _Toc22397 </w:instrText>
      </w:r>
      <w:r>
        <w:rPr>
          <w:bCs/>
          <w:sz w:val="24"/>
          <w:szCs w:val="24"/>
        </w:rPr>
        <w:fldChar w:fldCharType="separate"/>
      </w:r>
      <w:r>
        <w:rPr>
          <w:rFonts w:ascii="Times New Roman" w:hAnsi="Times New Roman"/>
          <w:bCs/>
          <w:snapToGrid w:val="0"/>
          <w:sz w:val="24"/>
          <w:szCs w:val="24"/>
        </w:rPr>
        <w:t>三、区域环境质量现状、环境保护目标及评价标准</w:t>
      </w:r>
      <w:r>
        <w:rPr>
          <w:sz w:val="24"/>
          <w:szCs w:val="24"/>
        </w:rPr>
        <w:tab/>
      </w:r>
      <w:r>
        <w:rPr>
          <w:sz w:val="24"/>
          <w:szCs w:val="24"/>
        </w:rPr>
        <w:fldChar w:fldCharType="begin"/>
      </w:r>
      <w:r>
        <w:rPr>
          <w:sz w:val="24"/>
          <w:szCs w:val="24"/>
        </w:rPr>
        <w:instrText xml:space="preserve"> PAGEREF _Toc22397 \h </w:instrText>
      </w:r>
      <w:r>
        <w:rPr>
          <w:sz w:val="24"/>
          <w:szCs w:val="24"/>
        </w:rPr>
        <w:fldChar w:fldCharType="separate"/>
      </w:r>
      <w:r>
        <w:rPr>
          <w:sz w:val="24"/>
          <w:szCs w:val="24"/>
        </w:rPr>
        <w:t>21</w:t>
      </w:r>
      <w:r>
        <w:rPr>
          <w:sz w:val="24"/>
          <w:szCs w:val="24"/>
        </w:rPr>
        <w:fldChar w:fldCharType="end"/>
      </w:r>
      <w:r>
        <w:rPr>
          <w:bCs/>
          <w:color w:val="auto"/>
          <w:sz w:val="24"/>
          <w:szCs w:val="24"/>
        </w:rPr>
        <w:fldChar w:fldCharType="end"/>
      </w:r>
    </w:p>
    <w:p w14:paraId="4AAA1BAE">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rPr>
      </w:pPr>
      <w:r>
        <w:rPr>
          <w:bCs/>
          <w:color w:val="auto"/>
          <w:sz w:val="24"/>
          <w:szCs w:val="24"/>
        </w:rPr>
        <w:fldChar w:fldCharType="begin"/>
      </w:r>
      <w:r>
        <w:rPr>
          <w:bCs/>
          <w:sz w:val="24"/>
          <w:szCs w:val="24"/>
        </w:rPr>
        <w:instrText xml:space="preserve"> HYPERLINK \l _Toc27651 </w:instrText>
      </w:r>
      <w:r>
        <w:rPr>
          <w:bCs/>
          <w:sz w:val="24"/>
          <w:szCs w:val="24"/>
        </w:rPr>
        <w:fldChar w:fldCharType="separate"/>
      </w:r>
      <w:r>
        <w:rPr>
          <w:rFonts w:ascii="Times New Roman" w:hAnsi="Times New Roman"/>
          <w:bCs/>
          <w:snapToGrid w:val="0"/>
          <w:sz w:val="24"/>
          <w:szCs w:val="24"/>
        </w:rPr>
        <w:t>四、主要环境影响和保护措施</w:t>
      </w:r>
      <w:r>
        <w:rPr>
          <w:sz w:val="24"/>
          <w:szCs w:val="24"/>
        </w:rPr>
        <w:tab/>
      </w:r>
      <w:r>
        <w:rPr>
          <w:sz w:val="24"/>
          <w:szCs w:val="24"/>
        </w:rPr>
        <w:fldChar w:fldCharType="begin"/>
      </w:r>
      <w:r>
        <w:rPr>
          <w:sz w:val="24"/>
          <w:szCs w:val="24"/>
        </w:rPr>
        <w:instrText xml:space="preserve"> PAGEREF _Toc27651 \h </w:instrText>
      </w:r>
      <w:r>
        <w:rPr>
          <w:sz w:val="24"/>
          <w:szCs w:val="24"/>
        </w:rPr>
        <w:fldChar w:fldCharType="separate"/>
      </w:r>
      <w:r>
        <w:rPr>
          <w:sz w:val="24"/>
          <w:szCs w:val="24"/>
        </w:rPr>
        <w:t>28</w:t>
      </w:r>
      <w:r>
        <w:rPr>
          <w:sz w:val="24"/>
          <w:szCs w:val="24"/>
        </w:rPr>
        <w:fldChar w:fldCharType="end"/>
      </w:r>
      <w:r>
        <w:rPr>
          <w:bCs/>
          <w:color w:val="auto"/>
          <w:sz w:val="24"/>
          <w:szCs w:val="24"/>
        </w:rPr>
        <w:fldChar w:fldCharType="end"/>
      </w:r>
    </w:p>
    <w:p w14:paraId="0B316A44">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rPr>
      </w:pPr>
      <w:r>
        <w:rPr>
          <w:bCs/>
          <w:color w:val="auto"/>
          <w:sz w:val="24"/>
          <w:szCs w:val="24"/>
        </w:rPr>
        <w:fldChar w:fldCharType="begin"/>
      </w:r>
      <w:r>
        <w:rPr>
          <w:bCs/>
          <w:sz w:val="24"/>
          <w:szCs w:val="24"/>
        </w:rPr>
        <w:instrText xml:space="preserve"> HYPERLINK \l _Toc20726 </w:instrText>
      </w:r>
      <w:r>
        <w:rPr>
          <w:bCs/>
          <w:sz w:val="24"/>
          <w:szCs w:val="24"/>
        </w:rPr>
        <w:fldChar w:fldCharType="separate"/>
      </w:r>
      <w:r>
        <w:rPr>
          <w:rFonts w:ascii="Times New Roman" w:hAnsi="Times New Roman"/>
          <w:bCs/>
          <w:snapToGrid w:val="0"/>
          <w:sz w:val="24"/>
          <w:szCs w:val="24"/>
        </w:rPr>
        <w:t>五、环境保护措施监督检查清单</w:t>
      </w:r>
      <w:r>
        <w:rPr>
          <w:sz w:val="24"/>
          <w:szCs w:val="24"/>
        </w:rPr>
        <w:tab/>
      </w:r>
      <w:r>
        <w:rPr>
          <w:sz w:val="24"/>
          <w:szCs w:val="24"/>
        </w:rPr>
        <w:fldChar w:fldCharType="begin"/>
      </w:r>
      <w:r>
        <w:rPr>
          <w:sz w:val="24"/>
          <w:szCs w:val="24"/>
        </w:rPr>
        <w:instrText xml:space="preserve"> PAGEREF _Toc20726 \h </w:instrText>
      </w:r>
      <w:r>
        <w:rPr>
          <w:sz w:val="24"/>
          <w:szCs w:val="24"/>
        </w:rPr>
        <w:fldChar w:fldCharType="separate"/>
      </w:r>
      <w:r>
        <w:rPr>
          <w:sz w:val="24"/>
          <w:szCs w:val="24"/>
        </w:rPr>
        <w:t>56</w:t>
      </w:r>
      <w:r>
        <w:rPr>
          <w:sz w:val="24"/>
          <w:szCs w:val="24"/>
        </w:rPr>
        <w:fldChar w:fldCharType="end"/>
      </w:r>
      <w:r>
        <w:rPr>
          <w:bCs/>
          <w:color w:val="auto"/>
          <w:sz w:val="24"/>
          <w:szCs w:val="24"/>
        </w:rPr>
        <w:fldChar w:fldCharType="end"/>
      </w:r>
    </w:p>
    <w:p w14:paraId="4B929463">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rPr>
      </w:pPr>
      <w:r>
        <w:rPr>
          <w:bCs/>
          <w:color w:val="auto"/>
          <w:sz w:val="24"/>
          <w:szCs w:val="24"/>
        </w:rPr>
        <w:fldChar w:fldCharType="begin"/>
      </w:r>
      <w:r>
        <w:rPr>
          <w:bCs/>
          <w:sz w:val="24"/>
          <w:szCs w:val="24"/>
        </w:rPr>
        <w:instrText xml:space="preserve"> HYPERLINK \l _Toc28477 </w:instrText>
      </w:r>
      <w:r>
        <w:rPr>
          <w:bCs/>
          <w:sz w:val="24"/>
          <w:szCs w:val="24"/>
        </w:rPr>
        <w:fldChar w:fldCharType="separate"/>
      </w:r>
      <w:r>
        <w:rPr>
          <w:rFonts w:ascii="Times New Roman" w:hAnsi="Times New Roman"/>
          <w:bCs/>
          <w:snapToGrid w:val="0"/>
          <w:sz w:val="24"/>
          <w:szCs w:val="24"/>
        </w:rPr>
        <w:t>六、结论</w:t>
      </w:r>
      <w:r>
        <w:rPr>
          <w:sz w:val="24"/>
          <w:szCs w:val="24"/>
        </w:rPr>
        <w:tab/>
      </w:r>
      <w:r>
        <w:rPr>
          <w:sz w:val="24"/>
          <w:szCs w:val="24"/>
        </w:rPr>
        <w:fldChar w:fldCharType="begin"/>
      </w:r>
      <w:r>
        <w:rPr>
          <w:sz w:val="24"/>
          <w:szCs w:val="24"/>
        </w:rPr>
        <w:instrText xml:space="preserve"> PAGEREF _Toc28477 \h </w:instrText>
      </w:r>
      <w:r>
        <w:rPr>
          <w:sz w:val="24"/>
          <w:szCs w:val="24"/>
        </w:rPr>
        <w:fldChar w:fldCharType="separate"/>
      </w:r>
      <w:r>
        <w:rPr>
          <w:sz w:val="24"/>
          <w:szCs w:val="24"/>
        </w:rPr>
        <w:t>58</w:t>
      </w:r>
      <w:r>
        <w:rPr>
          <w:sz w:val="24"/>
          <w:szCs w:val="24"/>
        </w:rPr>
        <w:fldChar w:fldCharType="end"/>
      </w:r>
      <w:r>
        <w:rPr>
          <w:bCs/>
          <w:color w:val="auto"/>
          <w:sz w:val="24"/>
          <w:szCs w:val="24"/>
        </w:rPr>
        <w:fldChar w:fldCharType="end"/>
      </w:r>
    </w:p>
    <w:p w14:paraId="0B230455">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sz w:val="24"/>
          <w:szCs w:val="24"/>
        </w:rPr>
      </w:pPr>
      <w:r>
        <w:rPr>
          <w:bCs/>
          <w:color w:val="auto"/>
          <w:sz w:val="24"/>
          <w:szCs w:val="24"/>
        </w:rPr>
        <w:fldChar w:fldCharType="begin"/>
      </w:r>
      <w:r>
        <w:rPr>
          <w:bCs/>
          <w:sz w:val="24"/>
          <w:szCs w:val="24"/>
        </w:rPr>
        <w:instrText xml:space="preserve"> HYPERLINK \l _Toc20217 </w:instrText>
      </w:r>
      <w:r>
        <w:rPr>
          <w:bCs/>
          <w:sz w:val="24"/>
          <w:szCs w:val="24"/>
        </w:rPr>
        <w:fldChar w:fldCharType="separate"/>
      </w:r>
      <w:r>
        <w:rPr>
          <w:rFonts w:ascii="Times New Roman" w:hAnsi="Times New Roman"/>
          <w:snapToGrid w:val="0"/>
          <w:sz w:val="24"/>
          <w:szCs w:val="24"/>
        </w:rPr>
        <w:t>建设项目污染物排放量汇总表</w:t>
      </w:r>
      <w:r>
        <w:rPr>
          <w:sz w:val="24"/>
          <w:szCs w:val="24"/>
        </w:rPr>
        <w:tab/>
      </w:r>
      <w:r>
        <w:rPr>
          <w:sz w:val="24"/>
          <w:szCs w:val="24"/>
        </w:rPr>
        <w:fldChar w:fldCharType="begin"/>
      </w:r>
      <w:r>
        <w:rPr>
          <w:sz w:val="24"/>
          <w:szCs w:val="24"/>
        </w:rPr>
        <w:instrText xml:space="preserve"> PAGEREF _Toc20217 \h </w:instrText>
      </w:r>
      <w:r>
        <w:rPr>
          <w:sz w:val="24"/>
          <w:szCs w:val="24"/>
        </w:rPr>
        <w:fldChar w:fldCharType="separate"/>
      </w:r>
      <w:r>
        <w:rPr>
          <w:sz w:val="24"/>
          <w:szCs w:val="24"/>
        </w:rPr>
        <w:t>59</w:t>
      </w:r>
      <w:r>
        <w:rPr>
          <w:sz w:val="24"/>
          <w:szCs w:val="24"/>
        </w:rPr>
        <w:fldChar w:fldCharType="end"/>
      </w:r>
      <w:r>
        <w:rPr>
          <w:bCs/>
          <w:color w:val="auto"/>
          <w:sz w:val="24"/>
          <w:szCs w:val="24"/>
        </w:rPr>
        <w:fldChar w:fldCharType="end"/>
      </w:r>
    </w:p>
    <w:p w14:paraId="72BDFBBC">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rPr>
          <w:sz w:val="24"/>
          <w:szCs w:val="24"/>
        </w:rPr>
      </w:pPr>
      <w:r>
        <w:rPr>
          <w:bCs/>
          <w:color w:val="auto"/>
          <w:sz w:val="24"/>
          <w:szCs w:val="24"/>
        </w:rPr>
        <w:fldChar w:fldCharType="begin"/>
      </w:r>
      <w:r>
        <w:rPr>
          <w:bCs/>
          <w:sz w:val="24"/>
          <w:szCs w:val="24"/>
        </w:rPr>
        <w:instrText xml:space="preserve"> HYPERLINK \l _Toc23106 </w:instrText>
      </w:r>
      <w:r>
        <w:rPr>
          <w:bCs/>
          <w:sz w:val="24"/>
          <w:szCs w:val="24"/>
        </w:rPr>
        <w:fldChar w:fldCharType="separate"/>
      </w:r>
      <w:r>
        <w:rPr>
          <w:rFonts w:hint="eastAsia" w:ascii="Times New Roman" w:hAnsi="Times New Roman" w:eastAsia="宋体" w:cs="Times New Roman"/>
          <w:sz w:val="24"/>
          <w:szCs w:val="24"/>
        </w:rPr>
        <w:t>附件</w:t>
      </w:r>
      <w:r>
        <w:rPr>
          <w:rFonts w:hint="eastAsia" w:ascii="Times New Roman" w:hAnsi="Times New Roman" w:eastAsia="宋体" w:cs="Times New Roman"/>
          <w:sz w:val="24"/>
          <w:szCs w:val="24"/>
          <w:lang w:val="en-US" w:eastAsia="zh-CN"/>
        </w:rPr>
        <w:t>1</w:t>
      </w:r>
      <w:r>
        <w:rPr>
          <w:rFonts w:hint="eastAsia" w:ascii="Times New Roman" w:hAnsi="Times New Roman" w:eastAsia="宋体" w:cs="Times New Roman"/>
          <w:sz w:val="24"/>
          <w:szCs w:val="24"/>
        </w:rPr>
        <w:t>：营业执照</w:t>
      </w:r>
      <w:r>
        <w:rPr>
          <w:sz w:val="24"/>
          <w:szCs w:val="24"/>
        </w:rPr>
        <w:tab/>
      </w:r>
      <w:r>
        <w:rPr>
          <w:sz w:val="24"/>
          <w:szCs w:val="24"/>
        </w:rPr>
        <w:fldChar w:fldCharType="begin"/>
      </w:r>
      <w:r>
        <w:rPr>
          <w:sz w:val="24"/>
          <w:szCs w:val="24"/>
        </w:rPr>
        <w:instrText xml:space="preserve"> PAGEREF _Toc23106 \h </w:instrText>
      </w:r>
      <w:r>
        <w:rPr>
          <w:sz w:val="24"/>
          <w:szCs w:val="24"/>
        </w:rPr>
        <w:fldChar w:fldCharType="separate"/>
      </w:r>
      <w:r>
        <w:rPr>
          <w:sz w:val="24"/>
          <w:szCs w:val="24"/>
        </w:rPr>
        <w:t>60</w:t>
      </w:r>
      <w:r>
        <w:rPr>
          <w:sz w:val="24"/>
          <w:szCs w:val="24"/>
        </w:rPr>
        <w:fldChar w:fldCharType="end"/>
      </w:r>
      <w:r>
        <w:rPr>
          <w:bCs/>
          <w:color w:val="auto"/>
          <w:sz w:val="24"/>
          <w:szCs w:val="24"/>
        </w:rPr>
        <w:fldChar w:fldCharType="end"/>
      </w:r>
    </w:p>
    <w:p w14:paraId="06FCC57E">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rPr>
          <w:sz w:val="24"/>
          <w:szCs w:val="24"/>
        </w:rPr>
      </w:pPr>
      <w:r>
        <w:rPr>
          <w:bCs/>
          <w:color w:val="auto"/>
          <w:sz w:val="24"/>
          <w:szCs w:val="24"/>
        </w:rPr>
        <w:fldChar w:fldCharType="begin"/>
      </w:r>
      <w:r>
        <w:rPr>
          <w:bCs/>
          <w:sz w:val="24"/>
          <w:szCs w:val="24"/>
        </w:rPr>
        <w:instrText xml:space="preserve"> HYPERLINK \l _Toc27228 </w:instrText>
      </w:r>
      <w:r>
        <w:rPr>
          <w:bCs/>
          <w:sz w:val="24"/>
          <w:szCs w:val="24"/>
        </w:rPr>
        <w:fldChar w:fldCharType="separate"/>
      </w:r>
      <w:r>
        <w:rPr>
          <w:rFonts w:hint="eastAsia"/>
          <w:sz w:val="24"/>
          <w:szCs w:val="24"/>
        </w:rPr>
        <w:t>附件</w:t>
      </w:r>
      <w:r>
        <w:rPr>
          <w:rFonts w:hint="eastAsia"/>
          <w:sz w:val="24"/>
          <w:szCs w:val="24"/>
          <w:lang w:val="en-US" w:eastAsia="zh-CN"/>
        </w:rPr>
        <w:t>2</w:t>
      </w:r>
      <w:r>
        <w:rPr>
          <w:rFonts w:hint="eastAsia"/>
          <w:sz w:val="24"/>
          <w:szCs w:val="24"/>
        </w:rPr>
        <w:t>：租赁协议</w:t>
      </w:r>
      <w:r>
        <w:rPr>
          <w:sz w:val="24"/>
          <w:szCs w:val="24"/>
        </w:rPr>
        <w:tab/>
      </w:r>
      <w:r>
        <w:rPr>
          <w:sz w:val="24"/>
          <w:szCs w:val="24"/>
        </w:rPr>
        <w:fldChar w:fldCharType="begin"/>
      </w:r>
      <w:r>
        <w:rPr>
          <w:sz w:val="24"/>
          <w:szCs w:val="24"/>
        </w:rPr>
        <w:instrText xml:space="preserve"> PAGEREF _Toc27228 \h </w:instrText>
      </w:r>
      <w:r>
        <w:rPr>
          <w:sz w:val="24"/>
          <w:szCs w:val="24"/>
        </w:rPr>
        <w:fldChar w:fldCharType="separate"/>
      </w:r>
      <w:r>
        <w:rPr>
          <w:sz w:val="24"/>
          <w:szCs w:val="24"/>
        </w:rPr>
        <w:t>61</w:t>
      </w:r>
      <w:r>
        <w:rPr>
          <w:sz w:val="24"/>
          <w:szCs w:val="24"/>
        </w:rPr>
        <w:fldChar w:fldCharType="end"/>
      </w:r>
      <w:r>
        <w:rPr>
          <w:bCs/>
          <w:color w:val="auto"/>
          <w:sz w:val="24"/>
          <w:szCs w:val="24"/>
        </w:rPr>
        <w:fldChar w:fldCharType="end"/>
      </w:r>
    </w:p>
    <w:p w14:paraId="6DC16F35">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rPr>
          <w:sz w:val="24"/>
          <w:szCs w:val="24"/>
        </w:rPr>
      </w:pPr>
      <w:r>
        <w:rPr>
          <w:bCs/>
          <w:color w:val="auto"/>
          <w:sz w:val="24"/>
          <w:szCs w:val="24"/>
        </w:rPr>
        <w:fldChar w:fldCharType="begin"/>
      </w:r>
      <w:r>
        <w:rPr>
          <w:bCs/>
          <w:sz w:val="24"/>
          <w:szCs w:val="24"/>
        </w:rPr>
        <w:instrText xml:space="preserve"> HYPERLINK \l _Toc20442 </w:instrText>
      </w:r>
      <w:r>
        <w:rPr>
          <w:bCs/>
          <w:sz w:val="24"/>
          <w:szCs w:val="24"/>
        </w:rPr>
        <w:fldChar w:fldCharType="separate"/>
      </w:r>
      <w:r>
        <w:rPr>
          <w:sz w:val="24"/>
          <w:szCs w:val="24"/>
        </w:rPr>
        <w:t>附件</w:t>
      </w:r>
      <w:r>
        <w:rPr>
          <w:rFonts w:hint="eastAsia"/>
          <w:sz w:val="24"/>
          <w:szCs w:val="24"/>
          <w:lang w:val="en-US" w:eastAsia="zh-CN"/>
        </w:rPr>
        <w:t>3</w:t>
      </w:r>
      <w:r>
        <w:rPr>
          <w:sz w:val="24"/>
          <w:szCs w:val="24"/>
        </w:rPr>
        <w:t>：</w:t>
      </w:r>
      <w:r>
        <w:rPr>
          <w:rFonts w:hint="eastAsia"/>
          <w:sz w:val="24"/>
          <w:szCs w:val="24"/>
          <w:lang w:val="en-US" w:eastAsia="zh-CN"/>
        </w:rPr>
        <w:t>企业投资项目备案承诺书</w:t>
      </w:r>
      <w:r>
        <w:rPr>
          <w:sz w:val="24"/>
          <w:szCs w:val="24"/>
        </w:rPr>
        <w:tab/>
      </w:r>
      <w:r>
        <w:rPr>
          <w:sz w:val="24"/>
          <w:szCs w:val="24"/>
        </w:rPr>
        <w:fldChar w:fldCharType="begin"/>
      </w:r>
      <w:r>
        <w:rPr>
          <w:sz w:val="24"/>
          <w:szCs w:val="24"/>
        </w:rPr>
        <w:instrText xml:space="preserve"> PAGEREF _Toc20442 \h </w:instrText>
      </w:r>
      <w:r>
        <w:rPr>
          <w:sz w:val="24"/>
          <w:szCs w:val="24"/>
        </w:rPr>
        <w:fldChar w:fldCharType="separate"/>
      </w:r>
      <w:r>
        <w:rPr>
          <w:sz w:val="24"/>
          <w:szCs w:val="24"/>
        </w:rPr>
        <w:t>63</w:t>
      </w:r>
      <w:r>
        <w:rPr>
          <w:sz w:val="24"/>
          <w:szCs w:val="24"/>
        </w:rPr>
        <w:fldChar w:fldCharType="end"/>
      </w:r>
      <w:r>
        <w:rPr>
          <w:bCs/>
          <w:color w:val="auto"/>
          <w:sz w:val="24"/>
          <w:szCs w:val="24"/>
        </w:rPr>
        <w:fldChar w:fldCharType="end"/>
      </w:r>
    </w:p>
    <w:p w14:paraId="7802D478">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rPr>
          <w:sz w:val="24"/>
          <w:szCs w:val="24"/>
        </w:rPr>
      </w:pPr>
      <w:r>
        <w:rPr>
          <w:bCs/>
          <w:color w:val="auto"/>
          <w:sz w:val="24"/>
          <w:szCs w:val="24"/>
        </w:rPr>
        <w:fldChar w:fldCharType="begin"/>
      </w:r>
      <w:r>
        <w:rPr>
          <w:bCs/>
          <w:sz w:val="24"/>
          <w:szCs w:val="24"/>
        </w:rPr>
        <w:instrText xml:space="preserve"> HYPERLINK \l _Toc6897 </w:instrText>
      </w:r>
      <w:r>
        <w:rPr>
          <w:bCs/>
          <w:sz w:val="24"/>
          <w:szCs w:val="24"/>
        </w:rPr>
        <w:fldChar w:fldCharType="separate"/>
      </w:r>
      <w:r>
        <w:rPr>
          <w:sz w:val="24"/>
          <w:szCs w:val="24"/>
        </w:rPr>
        <w:t>附件</w:t>
      </w:r>
      <w:r>
        <w:rPr>
          <w:rFonts w:hint="eastAsia"/>
          <w:sz w:val="24"/>
          <w:szCs w:val="24"/>
          <w:lang w:val="en-US" w:eastAsia="zh-CN"/>
        </w:rPr>
        <w:t>4</w:t>
      </w:r>
      <w:r>
        <w:rPr>
          <w:sz w:val="24"/>
          <w:szCs w:val="24"/>
        </w:rPr>
        <w:t>：</w:t>
      </w:r>
      <w:r>
        <w:rPr>
          <w:rFonts w:hint="eastAsia"/>
          <w:sz w:val="24"/>
          <w:szCs w:val="24"/>
          <w:lang w:val="en-US" w:eastAsia="zh-CN"/>
        </w:rPr>
        <w:t>土地证</w:t>
      </w:r>
      <w:r>
        <w:rPr>
          <w:sz w:val="24"/>
          <w:szCs w:val="24"/>
        </w:rPr>
        <w:tab/>
      </w:r>
      <w:r>
        <w:rPr>
          <w:sz w:val="24"/>
          <w:szCs w:val="24"/>
        </w:rPr>
        <w:fldChar w:fldCharType="begin"/>
      </w:r>
      <w:r>
        <w:rPr>
          <w:sz w:val="24"/>
          <w:szCs w:val="24"/>
        </w:rPr>
        <w:instrText xml:space="preserve"> PAGEREF _Toc6897 \h </w:instrText>
      </w:r>
      <w:r>
        <w:rPr>
          <w:sz w:val="24"/>
          <w:szCs w:val="24"/>
        </w:rPr>
        <w:fldChar w:fldCharType="separate"/>
      </w:r>
      <w:r>
        <w:rPr>
          <w:sz w:val="24"/>
          <w:szCs w:val="24"/>
        </w:rPr>
        <w:t>64</w:t>
      </w:r>
      <w:r>
        <w:rPr>
          <w:sz w:val="24"/>
          <w:szCs w:val="24"/>
        </w:rPr>
        <w:fldChar w:fldCharType="end"/>
      </w:r>
      <w:r>
        <w:rPr>
          <w:bCs/>
          <w:color w:val="auto"/>
          <w:sz w:val="24"/>
          <w:szCs w:val="24"/>
        </w:rPr>
        <w:fldChar w:fldCharType="end"/>
      </w:r>
    </w:p>
    <w:p w14:paraId="1105E996">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pPr>
      <w:r>
        <w:rPr>
          <w:bCs/>
          <w:color w:val="auto"/>
          <w:sz w:val="24"/>
          <w:szCs w:val="24"/>
        </w:rPr>
        <w:fldChar w:fldCharType="begin"/>
      </w:r>
      <w:r>
        <w:rPr>
          <w:bCs/>
          <w:sz w:val="24"/>
          <w:szCs w:val="24"/>
        </w:rPr>
        <w:instrText xml:space="preserve"> HYPERLINK \l _Toc20521 </w:instrText>
      </w:r>
      <w:r>
        <w:rPr>
          <w:bCs/>
          <w:sz w:val="24"/>
          <w:szCs w:val="24"/>
        </w:rPr>
        <w:fldChar w:fldCharType="separate"/>
      </w:r>
      <w:r>
        <w:rPr>
          <w:rFonts w:hint="eastAsia"/>
          <w:bCs/>
          <w:snapToGrid w:val="0"/>
          <w:sz w:val="24"/>
          <w:szCs w:val="24"/>
          <w:lang w:val="en-US" w:eastAsia="zh-CN"/>
        </w:rPr>
        <w:t>附件5：检测报告</w:t>
      </w:r>
      <w:r>
        <w:rPr>
          <w:sz w:val="24"/>
          <w:szCs w:val="24"/>
        </w:rPr>
        <w:tab/>
      </w:r>
      <w:r>
        <w:rPr>
          <w:sz w:val="24"/>
          <w:szCs w:val="24"/>
        </w:rPr>
        <w:fldChar w:fldCharType="begin"/>
      </w:r>
      <w:r>
        <w:rPr>
          <w:sz w:val="24"/>
          <w:szCs w:val="24"/>
        </w:rPr>
        <w:instrText xml:space="preserve"> PAGEREF _Toc20521 \h </w:instrText>
      </w:r>
      <w:r>
        <w:rPr>
          <w:sz w:val="24"/>
          <w:szCs w:val="24"/>
        </w:rPr>
        <w:fldChar w:fldCharType="separate"/>
      </w:r>
      <w:r>
        <w:rPr>
          <w:sz w:val="24"/>
          <w:szCs w:val="24"/>
        </w:rPr>
        <w:t>66</w:t>
      </w:r>
      <w:r>
        <w:rPr>
          <w:sz w:val="24"/>
          <w:szCs w:val="24"/>
        </w:rPr>
        <w:fldChar w:fldCharType="end"/>
      </w:r>
      <w:r>
        <w:rPr>
          <w:bCs/>
          <w:color w:val="auto"/>
          <w:sz w:val="24"/>
          <w:szCs w:val="24"/>
        </w:rPr>
        <w:fldChar w:fldCharType="end"/>
      </w:r>
    </w:p>
    <w:p w14:paraId="64BDAC46">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fldChar w:fldCharType="begin"/>
      </w:r>
      <w:r>
        <w:rPr>
          <w:rFonts w:ascii="Times New Roman" w:hAnsi="Times New Roman" w:eastAsia="宋体" w:cs="Times New Roman"/>
          <w:bCs/>
          <w:color w:val="auto"/>
          <w:sz w:val="24"/>
          <w:szCs w:val="24"/>
        </w:rPr>
        <w:instrText xml:space="preserve"> HYPERLINK \l _Toc32097 </w:instrText>
      </w:r>
      <w:r>
        <w:rPr>
          <w:rFonts w:ascii="Times New Roman" w:hAnsi="Times New Roman" w:eastAsia="宋体" w:cs="Times New Roman"/>
          <w:bCs/>
          <w:color w:val="auto"/>
          <w:sz w:val="24"/>
          <w:szCs w:val="24"/>
        </w:rPr>
        <w:fldChar w:fldCharType="separate"/>
      </w:r>
      <w:r>
        <w:rPr>
          <w:rFonts w:hint="eastAsia" w:ascii="Times New Roman" w:hAnsi="Times New Roman" w:eastAsia="宋体" w:cs="Times New Roman"/>
          <w:bCs/>
          <w:color w:val="auto"/>
          <w:sz w:val="24"/>
          <w:szCs w:val="24"/>
          <w:lang w:val="en-US" w:eastAsia="zh-CN"/>
        </w:rPr>
        <w:t>附件6：生态环境分区管控分析报告</w:t>
      </w:r>
      <w:r>
        <w:rPr>
          <w:rFonts w:ascii="Times New Roman" w:hAnsi="Times New Roman" w:eastAsia="宋体" w:cs="Times New Roman"/>
          <w:bCs/>
          <w:color w:val="auto"/>
          <w:sz w:val="24"/>
          <w:szCs w:val="24"/>
        </w:rPr>
        <w:tab/>
      </w:r>
      <w:r>
        <w:rPr>
          <w:rFonts w:ascii="Times New Roman" w:hAnsi="Times New Roman" w:eastAsia="宋体" w:cs="Times New Roman"/>
          <w:bCs/>
          <w:color w:val="auto"/>
          <w:sz w:val="24"/>
          <w:szCs w:val="24"/>
        </w:rPr>
        <w:fldChar w:fldCharType="begin"/>
      </w:r>
      <w:r>
        <w:rPr>
          <w:rFonts w:ascii="Times New Roman" w:hAnsi="Times New Roman" w:eastAsia="宋体" w:cs="Times New Roman"/>
          <w:bCs/>
          <w:color w:val="auto"/>
          <w:sz w:val="24"/>
          <w:szCs w:val="24"/>
        </w:rPr>
        <w:instrText xml:space="preserve"> PAGEREF _Toc32097 \h </w:instrText>
      </w:r>
      <w:r>
        <w:rPr>
          <w:rFonts w:ascii="Times New Roman" w:hAnsi="Times New Roman" w:eastAsia="宋体" w:cs="Times New Roman"/>
          <w:bCs/>
          <w:color w:val="auto"/>
          <w:sz w:val="24"/>
          <w:szCs w:val="24"/>
        </w:rPr>
        <w:fldChar w:fldCharType="separate"/>
      </w:r>
      <w:r>
        <w:rPr>
          <w:rFonts w:ascii="Times New Roman" w:hAnsi="Times New Roman" w:eastAsia="宋体" w:cs="Times New Roman"/>
          <w:bCs/>
          <w:color w:val="auto"/>
          <w:sz w:val="24"/>
          <w:szCs w:val="24"/>
        </w:rPr>
        <w:t>70</w:t>
      </w:r>
      <w:r>
        <w:rPr>
          <w:rFonts w:ascii="Times New Roman" w:hAnsi="Times New Roman" w:eastAsia="宋体" w:cs="Times New Roman"/>
          <w:bCs/>
          <w:color w:val="auto"/>
          <w:sz w:val="24"/>
          <w:szCs w:val="24"/>
        </w:rPr>
        <w:fldChar w:fldCharType="end"/>
      </w:r>
      <w:r>
        <w:rPr>
          <w:rFonts w:ascii="Times New Roman" w:hAnsi="Times New Roman" w:eastAsia="宋体" w:cs="Times New Roman"/>
          <w:bCs/>
          <w:color w:val="auto"/>
          <w:sz w:val="24"/>
          <w:szCs w:val="24"/>
        </w:rPr>
        <w:fldChar w:fldCharType="end"/>
      </w:r>
    </w:p>
    <w:p w14:paraId="43FF8FC4">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fldChar w:fldCharType="begin"/>
      </w:r>
      <w:r>
        <w:rPr>
          <w:rFonts w:ascii="Times New Roman" w:hAnsi="Times New Roman" w:eastAsia="宋体" w:cs="Times New Roman"/>
          <w:bCs/>
          <w:color w:val="auto"/>
          <w:sz w:val="24"/>
          <w:szCs w:val="24"/>
        </w:rPr>
        <w:instrText xml:space="preserve"> HYPERLINK \l _Toc29213 </w:instrText>
      </w:r>
      <w:r>
        <w:rPr>
          <w:rFonts w:ascii="Times New Roman" w:hAnsi="Times New Roman" w:eastAsia="宋体" w:cs="Times New Roman"/>
          <w:bCs/>
          <w:color w:val="auto"/>
          <w:sz w:val="24"/>
          <w:szCs w:val="24"/>
        </w:rPr>
        <w:fldChar w:fldCharType="separate"/>
      </w:r>
      <w:r>
        <w:rPr>
          <w:rFonts w:hint="eastAsia" w:ascii="Times New Roman" w:hAnsi="Times New Roman" w:eastAsia="宋体" w:cs="Times New Roman"/>
          <w:bCs/>
          <w:color w:val="auto"/>
          <w:sz w:val="24"/>
          <w:szCs w:val="24"/>
          <w:lang w:val="en-US" w:eastAsia="zh-CN"/>
        </w:rPr>
        <w:t>附件7：桦南县国土空间总体规划三区三线占地情况说明</w:t>
      </w:r>
      <w:r>
        <w:rPr>
          <w:rFonts w:ascii="Times New Roman" w:hAnsi="Times New Roman" w:eastAsia="宋体" w:cs="Times New Roman"/>
          <w:bCs/>
          <w:color w:val="auto"/>
          <w:sz w:val="24"/>
          <w:szCs w:val="24"/>
        </w:rPr>
        <w:tab/>
      </w:r>
      <w:r>
        <w:rPr>
          <w:rFonts w:ascii="Times New Roman" w:hAnsi="Times New Roman" w:eastAsia="宋体" w:cs="Times New Roman"/>
          <w:bCs/>
          <w:color w:val="auto"/>
          <w:sz w:val="24"/>
          <w:szCs w:val="24"/>
        </w:rPr>
        <w:fldChar w:fldCharType="begin"/>
      </w:r>
      <w:r>
        <w:rPr>
          <w:rFonts w:ascii="Times New Roman" w:hAnsi="Times New Roman" w:eastAsia="宋体" w:cs="Times New Roman"/>
          <w:bCs/>
          <w:color w:val="auto"/>
          <w:sz w:val="24"/>
          <w:szCs w:val="24"/>
        </w:rPr>
        <w:instrText xml:space="preserve"> PAGEREF _Toc29213 \h </w:instrText>
      </w:r>
      <w:r>
        <w:rPr>
          <w:rFonts w:ascii="Times New Roman" w:hAnsi="Times New Roman" w:eastAsia="宋体" w:cs="Times New Roman"/>
          <w:bCs/>
          <w:color w:val="auto"/>
          <w:sz w:val="24"/>
          <w:szCs w:val="24"/>
        </w:rPr>
        <w:fldChar w:fldCharType="separate"/>
      </w:r>
      <w:r>
        <w:rPr>
          <w:rFonts w:ascii="Times New Roman" w:hAnsi="Times New Roman" w:eastAsia="宋体" w:cs="Times New Roman"/>
          <w:bCs/>
          <w:color w:val="auto"/>
          <w:sz w:val="24"/>
          <w:szCs w:val="24"/>
        </w:rPr>
        <w:t>82</w:t>
      </w:r>
      <w:r>
        <w:rPr>
          <w:rFonts w:ascii="Times New Roman" w:hAnsi="Times New Roman" w:eastAsia="宋体" w:cs="Times New Roman"/>
          <w:bCs/>
          <w:color w:val="auto"/>
          <w:sz w:val="24"/>
          <w:szCs w:val="24"/>
        </w:rPr>
        <w:fldChar w:fldCharType="end"/>
      </w:r>
      <w:r>
        <w:rPr>
          <w:rFonts w:ascii="Times New Roman" w:hAnsi="Times New Roman" w:eastAsia="宋体" w:cs="Times New Roman"/>
          <w:bCs/>
          <w:color w:val="auto"/>
          <w:sz w:val="24"/>
          <w:szCs w:val="24"/>
        </w:rPr>
        <w:fldChar w:fldCharType="end"/>
      </w:r>
    </w:p>
    <w:p w14:paraId="6188010B">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fldChar w:fldCharType="begin"/>
      </w:r>
      <w:r>
        <w:rPr>
          <w:rFonts w:ascii="Times New Roman" w:hAnsi="Times New Roman" w:eastAsia="宋体" w:cs="Times New Roman"/>
          <w:bCs/>
          <w:color w:val="auto"/>
          <w:sz w:val="24"/>
          <w:szCs w:val="24"/>
        </w:rPr>
        <w:instrText xml:space="preserve"> HYPERLINK \l _Toc21154 </w:instrText>
      </w:r>
      <w:r>
        <w:rPr>
          <w:rFonts w:ascii="Times New Roman" w:hAnsi="Times New Roman" w:eastAsia="宋体" w:cs="Times New Roman"/>
          <w:bCs/>
          <w:color w:val="auto"/>
          <w:sz w:val="24"/>
          <w:szCs w:val="24"/>
        </w:rPr>
        <w:fldChar w:fldCharType="separate"/>
      </w:r>
      <w:r>
        <w:rPr>
          <w:rFonts w:ascii="Times New Roman" w:hAnsi="Times New Roman" w:eastAsia="宋体" w:cs="Times New Roman"/>
          <w:bCs/>
          <w:color w:val="auto"/>
          <w:sz w:val="24"/>
          <w:szCs w:val="24"/>
          <w:lang w:val="en-US" w:eastAsia="zh-CN"/>
        </w:rPr>
        <w:t>附图</w:t>
      </w:r>
      <w:r>
        <w:rPr>
          <w:rFonts w:hint="eastAsia" w:ascii="Times New Roman" w:hAnsi="Times New Roman" w:eastAsia="宋体" w:cs="Times New Roman"/>
          <w:bCs/>
          <w:color w:val="auto"/>
          <w:sz w:val="24"/>
          <w:szCs w:val="24"/>
          <w:lang w:val="en-US" w:eastAsia="zh-CN"/>
        </w:rPr>
        <w:t>1</w:t>
      </w:r>
      <w:r>
        <w:rPr>
          <w:rFonts w:ascii="Times New Roman" w:hAnsi="Times New Roman" w:eastAsia="宋体" w:cs="Times New Roman"/>
          <w:bCs/>
          <w:color w:val="auto"/>
          <w:sz w:val="24"/>
          <w:szCs w:val="24"/>
          <w:lang w:val="en-US" w:eastAsia="zh-CN"/>
        </w:rPr>
        <w:t>：地理位置图</w:t>
      </w:r>
      <w:r>
        <w:rPr>
          <w:rFonts w:ascii="Times New Roman" w:hAnsi="Times New Roman" w:eastAsia="宋体" w:cs="Times New Roman"/>
          <w:bCs/>
          <w:color w:val="auto"/>
          <w:sz w:val="24"/>
          <w:szCs w:val="24"/>
        </w:rPr>
        <w:tab/>
      </w:r>
      <w:r>
        <w:rPr>
          <w:rFonts w:ascii="Times New Roman" w:hAnsi="Times New Roman" w:eastAsia="宋体" w:cs="Times New Roman"/>
          <w:bCs/>
          <w:color w:val="auto"/>
          <w:sz w:val="24"/>
          <w:szCs w:val="24"/>
        </w:rPr>
        <w:fldChar w:fldCharType="begin"/>
      </w:r>
      <w:r>
        <w:rPr>
          <w:rFonts w:ascii="Times New Roman" w:hAnsi="Times New Roman" w:eastAsia="宋体" w:cs="Times New Roman"/>
          <w:bCs/>
          <w:color w:val="auto"/>
          <w:sz w:val="24"/>
          <w:szCs w:val="24"/>
        </w:rPr>
        <w:instrText xml:space="preserve"> PAGEREF _Toc21154 \h </w:instrText>
      </w:r>
      <w:r>
        <w:rPr>
          <w:rFonts w:ascii="Times New Roman" w:hAnsi="Times New Roman" w:eastAsia="宋体" w:cs="Times New Roman"/>
          <w:bCs/>
          <w:color w:val="auto"/>
          <w:sz w:val="24"/>
          <w:szCs w:val="24"/>
        </w:rPr>
        <w:fldChar w:fldCharType="separate"/>
      </w:r>
      <w:r>
        <w:rPr>
          <w:rFonts w:ascii="Times New Roman" w:hAnsi="Times New Roman" w:eastAsia="宋体" w:cs="Times New Roman"/>
          <w:bCs/>
          <w:color w:val="auto"/>
          <w:sz w:val="24"/>
          <w:szCs w:val="24"/>
        </w:rPr>
        <w:t>85</w:t>
      </w:r>
      <w:r>
        <w:rPr>
          <w:rFonts w:ascii="Times New Roman" w:hAnsi="Times New Roman" w:eastAsia="宋体" w:cs="Times New Roman"/>
          <w:bCs/>
          <w:color w:val="auto"/>
          <w:sz w:val="24"/>
          <w:szCs w:val="24"/>
        </w:rPr>
        <w:fldChar w:fldCharType="end"/>
      </w:r>
      <w:r>
        <w:rPr>
          <w:rFonts w:ascii="Times New Roman" w:hAnsi="Times New Roman" w:eastAsia="宋体" w:cs="Times New Roman"/>
          <w:bCs/>
          <w:color w:val="auto"/>
          <w:sz w:val="24"/>
          <w:szCs w:val="24"/>
        </w:rPr>
        <w:fldChar w:fldCharType="end"/>
      </w:r>
    </w:p>
    <w:p w14:paraId="1AE24428">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fldChar w:fldCharType="begin"/>
      </w:r>
      <w:r>
        <w:rPr>
          <w:rFonts w:ascii="Times New Roman" w:hAnsi="Times New Roman" w:eastAsia="宋体" w:cs="Times New Roman"/>
          <w:bCs/>
          <w:color w:val="auto"/>
          <w:sz w:val="24"/>
          <w:szCs w:val="24"/>
        </w:rPr>
        <w:instrText xml:space="preserve"> HYPERLINK \l _Toc31827 </w:instrText>
      </w:r>
      <w:r>
        <w:rPr>
          <w:rFonts w:ascii="Times New Roman" w:hAnsi="Times New Roman" w:eastAsia="宋体" w:cs="Times New Roman"/>
          <w:bCs/>
          <w:color w:val="auto"/>
          <w:sz w:val="24"/>
          <w:szCs w:val="24"/>
        </w:rPr>
        <w:fldChar w:fldCharType="separate"/>
      </w:r>
      <w:r>
        <w:rPr>
          <w:rFonts w:ascii="Times New Roman" w:hAnsi="Times New Roman" w:eastAsia="宋体" w:cs="Times New Roman"/>
          <w:bCs/>
          <w:color w:val="auto"/>
          <w:sz w:val="24"/>
          <w:szCs w:val="24"/>
        </w:rPr>
        <w:t>附图</w:t>
      </w:r>
      <w:r>
        <w:rPr>
          <w:rFonts w:hint="eastAsia" w:ascii="Times New Roman" w:hAnsi="Times New Roman" w:eastAsia="宋体" w:cs="Times New Roman"/>
          <w:bCs/>
          <w:color w:val="auto"/>
          <w:sz w:val="24"/>
          <w:szCs w:val="24"/>
          <w:lang w:val="en-US" w:eastAsia="zh-CN"/>
        </w:rPr>
        <w:t>2</w:t>
      </w:r>
      <w:r>
        <w:rPr>
          <w:rFonts w:ascii="Times New Roman" w:hAnsi="Times New Roman" w:eastAsia="宋体" w:cs="Times New Roman"/>
          <w:bCs/>
          <w:color w:val="auto"/>
          <w:sz w:val="24"/>
          <w:szCs w:val="24"/>
        </w:rPr>
        <w:t>：</w:t>
      </w:r>
      <w:r>
        <w:rPr>
          <w:rFonts w:hint="eastAsia" w:ascii="Times New Roman" w:hAnsi="Times New Roman" w:eastAsia="宋体" w:cs="Times New Roman"/>
          <w:bCs/>
          <w:color w:val="auto"/>
          <w:sz w:val="24"/>
          <w:szCs w:val="24"/>
          <w:lang w:val="en-US" w:eastAsia="zh-CN"/>
        </w:rPr>
        <w:t>佳木斯</w:t>
      </w:r>
      <w:r>
        <w:rPr>
          <w:rFonts w:ascii="Times New Roman" w:hAnsi="Times New Roman" w:eastAsia="宋体" w:cs="Times New Roman"/>
          <w:bCs/>
          <w:color w:val="auto"/>
          <w:sz w:val="24"/>
          <w:szCs w:val="24"/>
        </w:rPr>
        <w:t>市环境管控单元分布图</w:t>
      </w:r>
      <w:r>
        <w:rPr>
          <w:rFonts w:ascii="Times New Roman" w:hAnsi="Times New Roman" w:eastAsia="宋体" w:cs="Times New Roman"/>
          <w:bCs/>
          <w:color w:val="auto"/>
          <w:sz w:val="24"/>
          <w:szCs w:val="24"/>
        </w:rPr>
        <w:tab/>
      </w:r>
      <w:r>
        <w:rPr>
          <w:rFonts w:ascii="Times New Roman" w:hAnsi="Times New Roman" w:eastAsia="宋体" w:cs="Times New Roman"/>
          <w:bCs/>
          <w:color w:val="auto"/>
          <w:sz w:val="24"/>
          <w:szCs w:val="24"/>
        </w:rPr>
        <w:fldChar w:fldCharType="begin"/>
      </w:r>
      <w:r>
        <w:rPr>
          <w:rFonts w:ascii="Times New Roman" w:hAnsi="Times New Roman" w:eastAsia="宋体" w:cs="Times New Roman"/>
          <w:bCs/>
          <w:color w:val="auto"/>
          <w:sz w:val="24"/>
          <w:szCs w:val="24"/>
        </w:rPr>
        <w:instrText xml:space="preserve"> PAGEREF _Toc31827 \h </w:instrText>
      </w:r>
      <w:r>
        <w:rPr>
          <w:rFonts w:ascii="Times New Roman" w:hAnsi="Times New Roman" w:eastAsia="宋体" w:cs="Times New Roman"/>
          <w:bCs/>
          <w:color w:val="auto"/>
          <w:sz w:val="24"/>
          <w:szCs w:val="24"/>
        </w:rPr>
        <w:fldChar w:fldCharType="separate"/>
      </w:r>
      <w:r>
        <w:rPr>
          <w:rFonts w:ascii="Times New Roman" w:hAnsi="Times New Roman" w:eastAsia="宋体" w:cs="Times New Roman"/>
          <w:bCs/>
          <w:color w:val="auto"/>
          <w:sz w:val="24"/>
          <w:szCs w:val="24"/>
        </w:rPr>
        <w:t>86</w:t>
      </w:r>
      <w:r>
        <w:rPr>
          <w:rFonts w:ascii="Times New Roman" w:hAnsi="Times New Roman" w:eastAsia="宋体" w:cs="Times New Roman"/>
          <w:bCs/>
          <w:color w:val="auto"/>
          <w:sz w:val="24"/>
          <w:szCs w:val="24"/>
        </w:rPr>
        <w:fldChar w:fldCharType="end"/>
      </w:r>
      <w:r>
        <w:rPr>
          <w:rFonts w:ascii="Times New Roman" w:hAnsi="Times New Roman" w:eastAsia="宋体" w:cs="Times New Roman"/>
          <w:bCs/>
          <w:color w:val="auto"/>
          <w:sz w:val="24"/>
          <w:szCs w:val="24"/>
        </w:rPr>
        <w:fldChar w:fldCharType="end"/>
      </w:r>
    </w:p>
    <w:p w14:paraId="14FEEFA1">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fldChar w:fldCharType="begin"/>
      </w:r>
      <w:r>
        <w:rPr>
          <w:rFonts w:ascii="Times New Roman" w:hAnsi="Times New Roman" w:eastAsia="宋体" w:cs="Times New Roman"/>
          <w:bCs/>
          <w:color w:val="auto"/>
          <w:sz w:val="24"/>
          <w:szCs w:val="24"/>
        </w:rPr>
        <w:instrText xml:space="preserve"> HYPERLINK \l _Toc18228 </w:instrText>
      </w:r>
      <w:r>
        <w:rPr>
          <w:rFonts w:ascii="Times New Roman" w:hAnsi="Times New Roman" w:eastAsia="宋体" w:cs="Times New Roman"/>
          <w:bCs/>
          <w:color w:val="auto"/>
          <w:sz w:val="24"/>
          <w:szCs w:val="24"/>
        </w:rPr>
        <w:fldChar w:fldCharType="separate"/>
      </w:r>
      <w:r>
        <w:rPr>
          <w:rFonts w:ascii="Times New Roman" w:hAnsi="Times New Roman" w:eastAsia="宋体" w:cs="Times New Roman"/>
          <w:bCs/>
          <w:color w:val="auto"/>
          <w:sz w:val="24"/>
          <w:szCs w:val="24"/>
        </w:rPr>
        <w:t>附图</w:t>
      </w:r>
      <w:r>
        <w:rPr>
          <w:rFonts w:hint="eastAsia" w:ascii="Times New Roman" w:hAnsi="Times New Roman" w:eastAsia="宋体" w:cs="Times New Roman"/>
          <w:bCs/>
          <w:color w:val="auto"/>
          <w:sz w:val="24"/>
          <w:szCs w:val="24"/>
          <w:lang w:val="en-US" w:eastAsia="zh-CN"/>
        </w:rPr>
        <w:t>3</w:t>
      </w:r>
      <w:r>
        <w:rPr>
          <w:rFonts w:ascii="Times New Roman" w:hAnsi="Times New Roman" w:eastAsia="宋体" w:cs="Times New Roman"/>
          <w:bCs/>
          <w:color w:val="auto"/>
          <w:sz w:val="24"/>
          <w:szCs w:val="24"/>
        </w:rPr>
        <w:t>：平面布置图</w:t>
      </w:r>
      <w:r>
        <w:rPr>
          <w:rFonts w:ascii="Times New Roman" w:hAnsi="Times New Roman" w:eastAsia="宋体" w:cs="Times New Roman"/>
          <w:bCs/>
          <w:color w:val="auto"/>
          <w:sz w:val="24"/>
          <w:szCs w:val="24"/>
        </w:rPr>
        <w:tab/>
      </w:r>
      <w:r>
        <w:rPr>
          <w:rFonts w:ascii="Times New Roman" w:hAnsi="Times New Roman" w:eastAsia="宋体" w:cs="Times New Roman"/>
          <w:bCs/>
          <w:color w:val="auto"/>
          <w:sz w:val="24"/>
          <w:szCs w:val="24"/>
        </w:rPr>
        <w:fldChar w:fldCharType="begin"/>
      </w:r>
      <w:r>
        <w:rPr>
          <w:rFonts w:ascii="Times New Roman" w:hAnsi="Times New Roman" w:eastAsia="宋体" w:cs="Times New Roman"/>
          <w:bCs/>
          <w:color w:val="auto"/>
          <w:sz w:val="24"/>
          <w:szCs w:val="24"/>
        </w:rPr>
        <w:instrText xml:space="preserve"> PAGEREF _Toc18228 \h </w:instrText>
      </w:r>
      <w:r>
        <w:rPr>
          <w:rFonts w:ascii="Times New Roman" w:hAnsi="Times New Roman" w:eastAsia="宋体" w:cs="Times New Roman"/>
          <w:bCs/>
          <w:color w:val="auto"/>
          <w:sz w:val="24"/>
          <w:szCs w:val="24"/>
        </w:rPr>
        <w:fldChar w:fldCharType="separate"/>
      </w:r>
      <w:r>
        <w:rPr>
          <w:rFonts w:ascii="Times New Roman" w:hAnsi="Times New Roman" w:eastAsia="宋体" w:cs="Times New Roman"/>
          <w:bCs/>
          <w:color w:val="auto"/>
          <w:sz w:val="24"/>
          <w:szCs w:val="24"/>
        </w:rPr>
        <w:t>87</w:t>
      </w:r>
      <w:r>
        <w:rPr>
          <w:rFonts w:ascii="Times New Roman" w:hAnsi="Times New Roman" w:eastAsia="宋体" w:cs="Times New Roman"/>
          <w:bCs/>
          <w:color w:val="auto"/>
          <w:sz w:val="24"/>
          <w:szCs w:val="24"/>
        </w:rPr>
        <w:fldChar w:fldCharType="end"/>
      </w:r>
      <w:r>
        <w:rPr>
          <w:rFonts w:ascii="Times New Roman" w:hAnsi="Times New Roman" w:eastAsia="宋体" w:cs="Times New Roman"/>
          <w:bCs/>
          <w:color w:val="auto"/>
          <w:sz w:val="24"/>
          <w:szCs w:val="24"/>
        </w:rPr>
        <w:fldChar w:fldCharType="end"/>
      </w:r>
    </w:p>
    <w:p w14:paraId="467B41C4">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ascii="Times New Roman" w:hAnsi="Times New Roman" w:eastAsia="宋体" w:cs="Times New Roman"/>
          <w:bCs/>
          <w:color w:val="auto"/>
          <w:sz w:val="24"/>
          <w:szCs w:val="24"/>
        </w:rPr>
      </w:pPr>
      <w:r>
        <w:rPr>
          <w:rFonts w:ascii="Times New Roman" w:hAnsi="Times New Roman" w:eastAsia="宋体" w:cs="Times New Roman"/>
          <w:bCs/>
          <w:color w:val="auto"/>
          <w:sz w:val="24"/>
          <w:szCs w:val="24"/>
        </w:rPr>
        <w:fldChar w:fldCharType="begin"/>
      </w:r>
      <w:r>
        <w:rPr>
          <w:rFonts w:ascii="Times New Roman" w:hAnsi="Times New Roman" w:eastAsia="宋体" w:cs="Times New Roman"/>
          <w:bCs/>
          <w:color w:val="auto"/>
          <w:sz w:val="24"/>
          <w:szCs w:val="24"/>
        </w:rPr>
        <w:instrText xml:space="preserve"> HYPERLINK \l _Toc20902 </w:instrText>
      </w:r>
      <w:r>
        <w:rPr>
          <w:rFonts w:ascii="Times New Roman" w:hAnsi="Times New Roman" w:eastAsia="宋体" w:cs="Times New Roman"/>
          <w:bCs/>
          <w:color w:val="auto"/>
          <w:sz w:val="24"/>
          <w:szCs w:val="24"/>
        </w:rPr>
        <w:fldChar w:fldCharType="separate"/>
      </w:r>
      <w:r>
        <w:rPr>
          <w:rFonts w:ascii="Times New Roman" w:hAnsi="Times New Roman" w:eastAsia="宋体" w:cs="Times New Roman"/>
          <w:bCs/>
          <w:color w:val="auto"/>
          <w:sz w:val="24"/>
          <w:szCs w:val="24"/>
        </w:rPr>
        <w:t>附图</w:t>
      </w:r>
      <w:r>
        <w:rPr>
          <w:rFonts w:hint="eastAsia" w:ascii="Times New Roman" w:hAnsi="Times New Roman" w:eastAsia="宋体" w:cs="Times New Roman"/>
          <w:bCs/>
          <w:color w:val="auto"/>
          <w:sz w:val="24"/>
          <w:szCs w:val="24"/>
          <w:lang w:val="en-US" w:eastAsia="zh-CN"/>
        </w:rPr>
        <w:t>4</w:t>
      </w:r>
      <w:r>
        <w:rPr>
          <w:rFonts w:ascii="Times New Roman" w:hAnsi="Times New Roman" w:eastAsia="宋体" w:cs="Times New Roman"/>
          <w:bCs/>
          <w:color w:val="auto"/>
          <w:sz w:val="24"/>
          <w:szCs w:val="24"/>
        </w:rPr>
        <w:t>：环境保护目标分布图</w:t>
      </w:r>
      <w:r>
        <w:rPr>
          <w:rFonts w:ascii="Times New Roman" w:hAnsi="Times New Roman" w:eastAsia="宋体" w:cs="Times New Roman"/>
          <w:bCs/>
          <w:color w:val="auto"/>
          <w:sz w:val="24"/>
          <w:szCs w:val="24"/>
        </w:rPr>
        <w:tab/>
      </w:r>
      <w:r>
        <w:rPr>
          <w:rFonts w:ascii="Times New Roman" w:hAnsi="Times New Roman" w:eastAsia="宋体" w:cs="Times New Roman"/>
          <w:bCs/>
          <w:color w:val="auto"/>
          <w:sz w:val="24"/>
          <w:szCs w:val="24"/>
        </w:rPr>
        <w:fldChar w:fldCharType="begin"/>
      </w:r>
      <w:r>
        <w:rPr>
          <w:rFonts w:ascii="Times New Roman" w:hAnsi="Times New Roman" w:eastAsia="宋体" w:cs="Times New Roman"/>
          <w:bCs/>
          <w:color w:val="auto"/>
          <w:sz w:val="24"/>
          <w:szCs w:val="24"/>
        </w:rPr>
        <w:instrText xml:space="preserve"> PAGEREF _Toc20902 \h </w:instrText>
      </w:r>
      <w:r>
        <w:rPr>
          <w:rFonts w:ascii="Times New Roman" w:hAnsi="Times New Roman" w:eastAsia="宋体" w:cs="Times New Roman"/>
          <w:bCs/>
          <w:color w:val="auto"/>
          <w:sz w:val="24"/>
          <w:szCs w:val="24"/>
        </w:rPr>
        <w:fldChar w:fldCharType="separate"/>
      </w:r>
      <w:r>
        <w:rPr>
          <w:rFonts w:ascii="Times New Roman" w:hAnsi="Times New Roman" w:eastAsia="宋体" w:cs="Times New Roman"/>
          <w:bCs/>
          <w:color w:val="auto"/>
          <w:sz w:val="24"/>
          <w:szCs w:val="24"/>
        </w:rPr>
        <w:t>88</w:t>
      </w:r>
      <w:r>
        <w:rPr>
          <w:rFonts w:ascii="Times New Roman" w:hAnsi="Times New Roman" w:eastAsia="宋体" w:cs="Times New Roman"/>
          <w:bCs/>
          <w:color w:val="auto"/>
          <w:sz w:val="24"/>
          <w:szCs w:val="24"/>
        </w:rPr>
        <w:fldChar w:fldCharType="end"/>
      </w:r>
      <w:r>
        <w:rPr>
          <w:rFonts w:ascii="Times New Roman" w:hAnsi="Times New Roman" w:eastAsia="宋体" w:cs="Times New Roman"/>
          <w:bCs/>
          <w:color w:val="auto"/>
          <w:sz w:val="24"/>
          <w:szCs w:val="24"/>
        </w:rPr>
        <w:fldChar w:fldCharType="end"/>
      </w:r>
    </w:p>
    <w:p w14:paraId="029A0312">
      <w:pPr>
        <w:pStyle w:val="14"/>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ascii="Times New Roman" w:hAnsi="Times New Roman" w:eastAsia="宋体" w:cs="Times New Roman"/>
          <w:bCs/>
          <w:color w:val="auto"/>
          <w:sz w:val="24"/>
          <w:szCs w:val="24"/>
        </w:rPr>
        <w:fldChar w:fldCharType="begin"/>
      </w:r>
      <w:r>
        <w:rPr>
          <w:rFonts w:ascii="Times New Roman" w:hAnsi="Times New Roman" w:eastAsia="宋体" w:cs="Times New Roman"/>
          <w:bCs/>
          <w:color w:val="auto"/>
          <w:sz w:val="24"/>
          <w:szCs w:val="24"/>
        </w:rPr>
        <w:instrText xml:space="preserve"> HYPERLINK \l _Toc26692 </w:instrText>
      </w:r>
      <w:r>
        <w:rPr>
          <w:rFonts w:ascii="Times New Roman" w:hAnsi="Times New Roman" w:eastAsia="宋体" w:cs="Times New Roman"/>
          <w:bCs/>
          <w:color w:val="auto"/>
          <w:sz w:val="24"/>
          <w:szCs w:val="24"/>
        </w:rPr>
        <w:fldChar w:fldCharType="separate"/>
      </w:r>
      <w:r>
        <w:rPr>
          <w:rFonts w:hint="eastAsia" w:ascii="Times New Roman" w:hAnsi="Times New Roman" w:eastAsia="宋体" w:cs="Times New Roman"/>
          <w:bCs/>
          <w:color w:val="auto"/>
          <w:sz w:val="24"/>
          <w:szCs w:val="24"/>
        </w:rPr>
        <w:t>附图</w:t>
      </w:r>
      <w:r>
        <w:rPr>
          <w:rFonts w:hint="eastAsia" w:ascii="Times New Roman" w:hAnsi="Times New Roman" w:eastAsia="宋体" w:cs="Times New Roman"/>
          <w:bCs/>
          <w:color w:val="auto"/>
          <w:sz w:val="24"/>
          <w:szCs w:val="24"/>
          <w:lang w:val="en-US" w:eastAsia="zh-CN"/>
        </w:rPr>
        <w:t>5</w:t>
      </w:r>
      <w:r>
        <w:rPr>
          <w:rFonts w:hint="eastAsia" w:ascii="Times New Roman" w:hAnsi="Times New Roman" w:eastAsia="宋体" w:cs="Times New Roman"/>
          <w:bCs/>
          <w:color w:val="auto"/>
          <w:sz w:val="24"/>
          <w:szCs w:val="24"/>
        </w:rPr>
        <w:t>：分区防渗图</w:t>
      </w:r>
      <w:r>
        <w:rPr>
          <w:rFonts w:ascii="Times New Roman" w:hAnsi="Times New Roman" w:eastAsia="宋体" w:cs="Times New Roman"/>
          <w:bCs/>
          <w:color w:val="auto"/>
          <w:sz w:val="24"/>
          <w:szCs w:val="24"/>
        </w:rPr>
        <w:tab/>
      </w:r>
      <w:r>
        <w:rPr>
          <w:rFonts w:ascii="Times New Roman" w:hAnsi="Times New Roman" w:eastAsia="宋体" w:cs="Times New Roman"/>
          <w:bCs/>
          <w:color w:val="auto"/>
          <w:sz w:val="24"/>
          <w:szCs w:val="24"/>
        </w:rPr>
        <w:fldChar w:fldCharType="begin"/>
      </w:r>
      <w:r>
        <w:rPr>
          <w:rFonts w:ascii="Times New Roman" w:hAnsi="Times New Roman" w:eastAsia="宋体" w:cs="Times New Roman"/>
          <w:bCs/>
          <w:color w:val="auto"/>
          <w:sz w:val="24"/>
          <w:szCs w:val="24"/>
        </w:rPr>
        <w:instrText xml:space="preserve"> PAGEREF _Toc26692 \h </w:instrText>
      </w:r>
      <w:r>
        <w:rPr>
          <w:rFonts w:ascii="Times New Roman" w:hAnsi="Times New Roman" w:eastAsia="宋体" w:cs="Times New Roman"/>
          <w:bCs/>
          <w:color w:val="auto"/>
          <w:sz w:val="24"/>
          <w:szCs w:val="24"/>
        </w:rPr>
        <w:fldChar w:fldCharType="separate"/>
      </w:r>
      <w:r>
        <w:rPr>
          <w:rFonts w:ascii="Times New Roman" w:hAnsi="Times New Roman" w:eastAsia="宋体" w:cs="Times New Roman"/>
          <w:bCs/>
          <w:color w:val="auto"/>
          <w:sz w:val="24"/>
          <w:szCs w:val="24"/>
        </w:rPr>
        <w:t>89</w:t>
      </w:r>
      <w:r>
        <w:rPr>
          <w:rFonts w:ascii="Times New Roman" w:hAnsi="Times New Roman" w:eastAsia="宋体" w:cs="Times New Roman"/>
          <w:bCs/>
          <w:color w:val="auto"/>
          <w:sz w:val="24"/>
          <w:szCs w:val="24"/>
        </w:rPr>
        <w:fldChar w:fldCharType="end"/>
      </w:r>
      <w:r>
        <w:rPr>
          <w:rFonts w:ascii="Times New Roman" w:hAnsi="Times New Roman" w:eastAsia="宋体" w:cs="Times New Roman"/>
          <w:bCs/>
          <w:color w:val="auto"/>
          <w:sz w:val="24"/>
          <w:szCs w:val="24"/>
        </w:rPr>
        <w:fldChar w:fldCharType="end"/>
      </w:r>
    </w:p>
    <w:p w14:paraId="0D94FF7F">
      <w:pPr>
        <w:pStyle w:val="15"/>
        <w:keepNext w:val="0"/>
        <w:keepLines w:val="0"/>
        <w:pageBreakBefore w:val="0"/>
        <w:widowControl w:val="0"/>
        <w:tabs>
          <w:tab w:val="right" w:leader="dot" w:pos="8306"/>
        </w:tabs>
        <w:kinsoku/>
        <w:wordWrap/>
        <w:overflowPunct/>
        <w:topLinePunct w:val="0"/>
        <w:autoSpaceDE/>
        <w:autoSpaceDN/>
        <w:bidi w:val="0"/>
        <w:adjustRightInd/>
        <w:snapToGrid/>
        <w:spacing w:line="360" w:lineRule="auto"/>
        <w:ind w:left="0" w:leftChars="0" w:firstLine="0" w:firstLineChars="0"/>
        <w:textAlignment w:val="auto"/>
        <w:rPr>
          <w:color w:val="auto"/>
          <w:szCs w:val="21"/>
        </w:rPr>
      </w:pPr>
      <w:r>
        <w:rPr>
          <w:bCs/>
          <w:color w:val="auto"/>
          <w:szCs w:val="28"/>
        </w:rPr>
        <w:fldChar w:fldCharType="end"/>
      </w:r>
    </w:p>
    <w:p w14:paraId="1BF0F4C4">
      <w:pPr>
        <w:adjustRightInd w:val="0"/>
        <w:snapToGrid w:val="0"/>
        <w:rPr>
          <w:color w:val="auto"/>
          <w:szCs w:val="21"/>
        </w:rPr>
      </w:pPr>
    </w:p>
    <w:p w14:paraId="0E34490E">
      <w:pPr>
        <w:spacing w:line="360" w:lineRule="auto"/>
        <w:rPr>
          <w:color w:val="auto"/>
          <w:sz w:val="36"/>
          <w:szCs w:val="36"/>
        </w:rPr>
        <w:sectPr>
          <w:footerReference r:id="rId5" w:type="default"/>
          <w:pgSz w:w="11906" w:h="16838"/>
          <w:pgMar w:top="1440" w:right="1800" w:bottom="1440" w:left="1800" w:header="851" w:footer="1077" w:gutter="0"/>
          <w:pgBorders>
            <w:top w:val="none" w:sz="0" w:space="0"/>
            <w:left w:val="none" w:sz="0" w:space="0"/>
            <w:bottom w:val="none" w:sz="0" w:space="0"/>
            <w:right w:val="none" w:sz="0" w:space="0"/>
          </w:pgBorders>
          <w:pgNumType w:start="3"/>
          <w:cols w:space="720" w:num="1"/>
          <w:docGrid w:linePitch="312" w:charSpace="0"/>
        </w:sectPr>
      </w:pPr>
    </w:p>
    <w:p w14:paraId="0F036A22">
      <w:pPr>
        <w:pStyle w:val="17"/>
        <w:spacing w:before="0" w:beforeAutospacing="0" w:after="0" w:afterAutospacing="0"/>
        <w:outlineLvl w:val="0"/>
        <w:rPr>
          <w:rFonts w:ascii="Times New Roman" w:hAnsi="Times New Roman"/>
          <w:b/>
          <w:bCs/>
          <w:snapToGrid w:val="0"/>
          <w:color w:val="auto"/>
          <w:sz w:val="30"/>
          <w:szCs w:val="30"/>
        </w:rPr>
      </w:pPr>
      <w:bookmarkStart w:id="1" w:name="_Toc28139"/>
      <w:r>
        <w:rPr>
          <w:rFonts w:ascii="Times New Roman" w:hAnsi="Times New Roman"/>
          <w:b/>
          <w:bCs/>
          <w:snapToGrid w:val="0"/>
          <w:color w:val="auto"/>
          <w:sz w:val="30"/>
          <w:szCs w:val="30"/>
        </w:rPr>
        <w:t>一、建设项目基本情况</w:t>
      </w:r>
      <w:bookmarkEnd w:id="1"/>
    </w:p>
    <w:tbl>
      <w:tblPr>
        <w:tblStyle w:val="19"/>
        <w:tblW w:w="886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550"/>
        <w:gridCol w:w="2189"/>
        <w:gridCol w:w="1747"/>
        <w:gridCol w:w="3382"/>
      </w:tblGrid>
      <w:tr w14:paraId="02AC7C3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111" w:hRule="atLeast"/>
          <w:jc w:val="center"/>
        </w:trPr>
        <w:tc>
          <w:tcPr>
            <w:tcW w:w="1550" w:type="dxa"/>
            <w:tcMar>
              <w:top w:w="16" w:type="dxa"/>
              <w:left w:w="16" w:type="dxa"/>
              <w:right w:w="16" w:type="dxa"/>
            </w:tcMar>
            <w:vAlign w:val="center"/>
          </w:tcPr>
          <w:p w14:paraId="69944E4D">
            <w:pPr>
              <w:jc w:val="center"/>
              <w:rPr>
                <w:b/>
                <w:bCs/>
                <w:color w:val="auto"/>
                <w:sz w:val="24"/>
              </w:rPr>
            </w:pPr>
            <w:r>
              <w:rPr>
                <w:b/>
                <w:bCs/>
                <w:color w:val="auto"/>
                <w:sz w:val="24"/>
              </w:rPr>
              <w:t>建设项目名称</w:t>
            </w:r>
          </w:p>
        </w:tc>
        <w:tc>
          <w:tcPr>
            <w:tcW w:w="7318" w:type="dxa"/>
            <w:gridSpan w:val="3"/>
            <w:vAlign w:val="center"/>
          </w:tcPr>
          <w:p w14:paraId="40C2DC64">
            <w:pPr>
              <w:jc w:val="center"/>
              <w:rPr>
                <w:rFonts w:hint="eastAsia" w:eastAsia="宋体"/>
                <w:color w:val="auto"/>
                <w:sz w:val="24"/>
                <w:lang w:val="en-US" w:eastAsia="zh-CN"/>
              </w:rPr>
            </w:pPr>
            <w:r>
              <w:rPr>
                <w:rFonts w:hint="eastAsia"/>
                <w:color w:val="auto"/>
                <w:sz w:val="24"/>
                <w:lang w:eastAsia="zh-CN"/>
              </w:rPr>
              <w:t>桦南县宏祥报废农机回收有限责任公司农机报废拆解项目</w:t>
            </w:r>
          </w:p>
        </w:tc>
      </w:tr>
      <w:tr w14:paraId="21BB3E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57" w:hRule="atLeast"/>
          <w:jc w:val="center"/>
        </w:trPr>
        <w:tc>
          <w:tcPr>
            <w:tcW w:w="1550" w:type="dxa"/>
            <w:tcMar>
              <w:top w:w="16" w:type="dxa"/>
              <w:left w:w="16" w:type="dxa"/>
              <w:right w:w="16" w:type="dxa"/>
            </w:tcMar>
            <w:vAlign w:val="center"/>
          </w:tcPr>
          <w:p w14:paraId="3524AAF8">
            <w:pPr>
              <w:jc w:val="center"/>
              <w:rPr>
                <w:b/>
                <w:bCs/>
                <w:color w:val="auto"/>
                <w:sz w:val="24"/>
              </w:rPr>
            </w:pPr>
            <w:r>
              <w:rPr>
                <w:b/>
                <w:bCs/>
                <w:color w:val="auto"/>
                <w:sz w:val="24"/>
              </w:rPr>
              <w:t>项目代码</w:t>
            </w:r>
          </w:p>
        </w:tc>
        <w:tc>
          <w:tcPr>
            <w:tcW w:w="7318" w:type="dxa"/>
            <w:gridSpan w:val="3"/>
            <w:vAlign w:val="center"/>
          </w:tcPr>
          <w:p w14:paraId="4B62065E">
            <w:pPr>
              <w:jc w:val="center"/>
              <w:rPr>
                <w:rFonts w:hint="default" w:eastAsia="宋体"/>
                <w:color w:val="auto"/>
                <w:sz w:val="24"/>
                <w:lang w:val="en-US" w:eastAsia="zh-CN"/>
              </w:rPr>
            </w:pPr>
            <w:r>
              <w:rPr>
                <w:rFonts w:hint="default" w:eastAsia="宋体"/>
                <w:color w:val="auto"/>
                <w:sz w:val="24"/>
                <w:lang w:val="en-US" w:eastAsia="zh-CN"/>
              </w:rPr>
              <w:t>2407-230822-04-01-116277</w:t>
            </w:r>
          </w:p>
        </w:tc>
      </w:tr>
      <w:tr w14:paraId="2A6E3F1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11" w:hRule="atLeast"/>
          <w:jc w:val="center"/>
        </w:trPr>
        <w:tc>
          <w:tcPr>
            <w:tcW w:w="1550" w:type="dxa"/>
            <w:tcMar>
              <w:top w:w="16" w:type="dxa"/>
              <w:left w:w="16" w:type="dxa"/>
              <w:right w:w="16" w:type="dxa"/>
            </w:tcMar>
            <w:vAlign w:val="center"/>
          </w:tcPr>
          <w:p w14:paraId="43503EF6">
            <w:pPr>
              <w:jc w:val="center"/>
              <w:rPr>
                <w:b/>
                <w:bCs/>
                <w:color w:val="auto"/>
                <w:sz w:val="24"/>
              </w:rPr>
            </w:pPr>
            <w:r>
              <w:rPr>
                <w:b/>
                <w:bCs/>
                <w:color w:val="auto"/>
                <w:sz w:val="24"/>
              </w:rPr>
              <w:t>建设单位联系人</w:t>
            </w:r>
          </w:p>
        </w:tc>
        <w:tc>
          <w:tcPr>
            <w:tcW w:w="2189" w:type="dxa"/>
            <w:vAlign w:val="center"/>
          </w:tcPr>
          <w:p w14:paraId="503F17E1">
            <w:pPr>
              <w:jc w:val="center"/>
              <w:rPr>
                <w:rFonts w:hint="default" w:eastAsia="宋体"/>
                <w:color w:val="auto"/>
                <w:sz w:val="24"/>
                <w:lang w:val="en-US" w:eastAsia="zh-CN"/>
              </w:rPr>
            </w:pPr>
            <w:r>
              <w:rPr>
                <w:rFonts w:hint="eastAsia"/>
                <w:color w:val="auto"/>
                <w:sz w:val="24"/>
                <w:lang w:val="en-US" w:eastAsia="zh-CN"/>
              </w:rPr>
              <w:t>乔璐璐</w:t>
            </w:r>
          </w:p>
        </w:tc>
        <w:tc>
          <w:tcPr>
            <w:tcW w:w="1747" w:type="dxa"/>
            <w:vAlign w:val="center"/>
          </w:tcPr>
          <w:p w14:paraId="0CA8A780">
            <w:pPr>
              <w:jc w:val="center"/>
              <w:rPr>
                <w:b/>
                <w:bCs/>
                <w:color w:val="auto"/>
                <w:sz w:val="24"/>
              </w:rPr>
            </w:pPr>
            <w:r>
              <w:rPr>
                <w:b/>
                <w:bCs/>
                <w:color w:val="auto"/>
                <w:sz w:val="24"/>
              </w:rPr>
              <w:t>联系方式</w:t>
            </w:r>
          </w:p>
        </w:tc>
        <w:tc>
          <w:tcPr>
            <w:tcW w:w="3382" w:type="dxa"/>
            <w:vAlign w:val="center"/>
          </w:tcPr>
          <w:p w14:paraId="78340A3E">
            <w:pPr>
              <w:jc w:val="center"/>
              <w:rPr>
                <w:rFonts w:hint="default" w:eastAsia="宋体"/>
                <w:color w:val="auto"/>
                <w:sz w:val="24"/>
                <w:lang w:val="en-US" w:eastAsia="zh-CN"/>
              </w:rPr>
            </w:pPr>
            <w:r>
              <w:rPr>
                <w:rFonts w:hint="eastAsia"/>
                <w:color w:val="auto"/>
                <w:sz w:val="24"/>
                <w:lang w:val="en-US" w:eastAsia="zh-CN"/>
              </w:rPr>
              <w:t>15246491163</w:t>
            </w:r>
          </w:p>
        </w:tc>
      </w:tr>
      <w:tr w14:paraId="06641BB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03" w:hRule="atLeast"/>
          <w:jc w:val="center"/>
        </w:trPr>
        <w:tc>
          <w:tcPr>
            <w:tcW w:w="1550" w:type="dxa"/>
            <w:tcMar>
              <w:top w:w="16" w:type="dxa"/>
              <w:left w:w="16" w:type="dxa"/>
              <w:right w:w="16" w:type="dxa"/>
            </w:tcMar>
            <w:vAlign w:val="center"/>
          </w:tcPr>
          <w:p w14:paraId="20A9A676">
            <w:pPr>
              <w:jc w:val="center"/>
              <w:rPr>
                <w:b/>
                <w:bCs/>
                <w:color w:val="auto"/>
                <w:sz w:val="24"/>
              </w:rPr>
            </w:pPr>
            <w:r>
              <w:rPr>
                <w:b/>
                <w:bCs/>
                <w:color w:val="auto"/>
                <w:sz w:val="24"/>
              </w:rPr>
              <w:t>建设地点</w:t>
            </w:r>
          </w:p>
        </w:tc>
        <w:tc>
          <w:tcPr>
            <w:tcW w:w="7318" w:type="dxa"/>
            <w:gridSpan w:val="3"/>
            <w:vAlign w:val="center"/>
          </w:tcPr>
          <w:p w14:paraId="351F80CD">
            <w:pPr>
              <w:jc w:val="center"/>
              <w:rPr>
                <w:rFonts w:hint="default" w:eastAsia="宋体"/>
                <w:color w:val="auto"/>
                <w:sz w:val="24"/>
                <w:lang w:val="en-US" w:eastAsia="zh-CN"/>
              </w:rPr>
            </w:pPr>
            <w:bookmarkStart w:id="2" w:name="_Hlk80091689"/>
            <w:r>
              <w:rPr>
                <w:color w:val="auto"/>
                <w:sz w:val="24"/>
              </w:rPr>
              <w:t>黑龙江省</w:t>
            </w:r>
            <w:r>
              <w:rPr>
                <w:rFonts w:hint="eastAsia"/>
                <w:color w:val="auto"/>
                <w:sz w:val="24"/>
                <w:lang w:val="en-US" w:eastAsia="zh-CN"/>
              </w:rPr>
              <w:t>佳木斯</w:t>
            </w:r>
            <w:r>
              <w:rPr>
                <w:color w:val="auto"/>
                <w:sz w:val="24"/>
              </w:rPr>
              <w:t>市</w:t>
            </w:r>
            <w:bookmarkEnd w:id="2"/>
            <w:r>
              <w:rPr>
                <w:rFonts w:hint="eastAsia"/>
                <w:color w:val="auto"/>
                <w:sz w:val="24"/>
                <w:lang w:val="en-US" w:eastAsia="zh-CN"/>
              </w:rPr>
              <w:t>桦南县曙光农场第十五作业站</w:t>
            </w:r>
          </w:p>
        </w:tc>
      </w:tr>
      <w:tr w14:paraId="2F04A8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30" w:hRule="atLeast"/>
          <w:jc w:val="center"/>
        </w:trPr>
        <w:tc>
          <w:tcPr>
            <w:tcW w:w="1550" w:type="dxa"/>
            <w:tcMar>
              <w:top w:w="16" w:type="dxa"/>
              <w:left w:w="16" w:type="dxa"/>
              <w:right w:w="16" w:type="dxa"/>
            </w:tcMar>
            <w:vAlign w:val="center"/>
          </w:tcPr>
          <w:p w14:paraId="5535BDEE">
            <w:pPr>
              <w:jc w:val="center"/>
              <w:rPr>
                <w:b/>
                <w:bCs/>
                <w:color w:val="auto"/>
                <w:sz w:val="24"/>
              </w:rPr>
            </w:pPr>
            <w:r>
              <w:rPr>
                <w:b/>
                <w:bCs/>
                <w:color w:val="auto"/>
                <w:sz w:val="24"/>
              </w:rPr>
              <w:t>地理坐标</w:t>
            </w:r>
          </w:p>
        </w:tc>
        <w:tc>
          <w:tcPr>
            <w:tcW w:w="7318" w:type="dxa"/>
            <w:gridSpan w:val="3"/>
            <w:vAlign w:val="center"/>
          </w:tcPr>
          <w:p w14:paraId="6FE16F3C">
            <w:pPr>
              <w:jc w:val="center"/>
              <w:rPr>
                <w:color w:val="auto"/>
                <w:sz w:val="24"/>
              </w:rPr>
            </w:pPr>
            <w:r>
              <w:rPr>
                <w:color w:val="auto"/>
                <w:sz w:val="24"/>
              </w:rPr>
              <w:t>（</w:t>
            </w:r>
            <w:r>
              <w:rPr>
                <w:color w:val="auto"/>
                <w:sz w:val="24"/>
                <w:u w:val="single"/>
              </w:rPr>
              <w:t>1</w:t>
            </w:r>
            <w:r>
              <w:rPr>
                <w:rFonts w:hint="eastAsia"/>
                <w:color w:val="auto"/>
                <w:sz w:val="24"/>
                <w:u w:val="single"/>
                <w:lang w:val="en-US" w:eastAsia="zh-CN"/>
              </w:rPr>
              <w:t>30</w:t>
            </w:r>
            <w:r>
              <w:rPr>
                <w:color w:val="auto"/>
                <w:sz w:val="24"/>
              </w:rPr>
              <w:t>度</w:t>
            </w:r>
            <w:r>
              <w:rPr>
                <w:rFonts w:hint="eastAsia"/>
                <w:color w:val="auto"/>
                <w:sz w:val="24"/>
                <w:u w:val="single"/>
                <w:lang w:val="en-US" w:eastAsia="zh-CN"/>
              </w:rPr>
              <w:t>32</w:t>
            </w:r>
            <w:r>
              <w:rPr>
                <w:color w:val="auto"/>
                <w:sz w:val="24"/>
              </w:rPr>
              <w:t>分</w:t>
            </w:r>
            <w:r>
              <w:rPr>
                <w:rFonts w:hint="eastAsia"/>
                <w:color w:val="auto"/>
                <w:sz w:val="24"/>
                <w:u w:val="single"/>
                <w:lang w:val="en-US" w:eastAsia="zh-CN"/>
              </w:rPr>
              <w:t>3.7786</w:t>
            </w:r>
            <w:r>
              <w:rPr>
                <w:color w:val="auto"/>
                <w:sz w:val="24"/>
              </w:rPr>
              <w:t>秒，</w:t>
            </w:r>
            <w:r>
              <w:rPr>
                <w:color w:val="auto"/>
                <w:sz w:val="24"/>
                <w:u w:val="single"/>
              </w:rPr>
              <w:t>4</w:t>
            </w:r>
            <w:r>
              <w:rPr>
                <w:rFonts w:hint="eastAsia"/>
                <w:color w:val="auto"/>
                <w:sz w:val="24"/>
                <w:u w:val="single"/>
                <w:lang w:val="en-US" w:eastAsia="zh-CN"/>
              </w:rPr>
              <w:t>6</w:t>
            </w:r>
            <w:r>
              <w:rPr>
                <w:color w:val="auto"/>
                <w:sz w:val="24"/>
              </w:rPr>
              <w:t>度</w:t>
            </w:r>
            <w:r>
              <w:rPr>
                <w:rFonts w:hint="eastAsia"/>
                <w:color w:val="auto"/>
                <w:sz w:val="24"/>
                <w:u w:val="single"/>
                <w:lang w:val="en-US" w:eastAsia="zh-CN"/>
              </w:rPr>
              <w:t>17</w:t>
            </w:r>
            <w:r>
              <w:rPr>
                <w:color w:val="auto"/>
                <w:sz w:val="24"/>
              </w:rPr>
              <w:t>分</w:t>
            </w:r>
            <w:r>
              <w:rPr>
                <w:rFonts w:hint="eastAsia"/>
                <w:color w:val="auto"/>
                <w:sz w:val="24"/>
                <w:u w:val="single"/>
                <w:lang w:val="en-US" w:eastAsia="zh-CN"/>
              </w:rPr>
              <w:t>43.8482</w:t>
            </w:r>
            <w:r>
              <w:rPr>
                <w:color w:val="auto"/>
                <w:sz w:val="24"/>
              </w:rPr>
              <w:t>秒）</w:t>
            </w:r>
          </w:p>
        </w:tc>
      </w:tr>
      <w:tr w14:paraId="3D1E190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407" w:hRule="atLeast"/>
          <w:jc w:val="center"/>
        </w:trPr>
        <w:tc>
          <w:tcPr>
            <w:tcW w:w="1550" w:type="dxa"/>
            <w:tcMar>
              <w:top w:w="16" w:type="dxa"/>
              <w:left w:w="16" w:type="dxa"/>
              <w:right w:w="16" w:type="dxa"/>
            </w:tcMar>
            <w:vAlign w:val="center"/>
          </w:tcPr>
          <w:p w14:paraId="733B5E7B">
            <w:pPr>
              <w:jc w:val="center"/>
              <w:rPr>
                <w:b/>
                <w:bCs/>
                <w:color w:val="auto"/>
                <w:sz w:val="24"/>
              </w:rPr>
            </w:pPr>
            <w:r>
              <w:rPr>
                <w:b/>
                <w:bCs/>
                <w:color w:val="auto"/>
                <w:sz w:val="24"/>
              </w:rPr>
              <w:t>国民经济</w:t>
            </w:r>
          </w:p>
          <w:p w14:paraId="0FEFDCAA">
            <w:pPr>
              <w:jc w:val="center"/>
              <w:rPr>
                <w:color w:val="auto"/>
                <w:sz w:val="24"/>
              </w:rPr>
            </w:pPr>
            <w:r>
              <w:rPr>
                <w:b/>
                <w:bCs/>
                <w:color w:val="auto"/>
                <w:sz w:val="24"/>
              </w:rPr>
              <w:t>行业类别</w:t>
            </w:r>
          </w:p>
        </w:tc>
        <w:tc>
          <w:tcPr>
            <w:tcW w:w="2189" w:type="dxa"/>
            <w:vAlign w:val="center"/>
          </w:tcPr>
          <w:p w14:paraId="04662FA6">
            <w:pPr>
              <w:rPr>
                <w:color w:val="auto"/>
                <w:sz w:val="24"/>
              </w:rPr>
            </w:pPr>
            <w:r>
              <w:rPr>
                <w:rFonts w:hint="eastAsia"/>
                <w:color w:val="auto"/>
                <w:sz w:val="24"/>
              </w:rPr>
              <w:t>C42废旧资源综合利用业——4210金属废料和碎屑加工处理</w:t>
            </w:r>
          </w:p>
        </w:tc>
        <w:tc>
          <w:tcPr>
            <w:tcW w:w="1747" w:type="dxa"/>
            <w:vAlign w:val="center"/>
          </w:tcPr>
          <w:p w14:paraId="481BC46F">
            <w:pPr>
              <w:jc w:val="center"/>
              <w:rPr>
                <w:b/>
                <w:bCs/>
                <w:color w:val="auto"/>
                <w:sz w:val="24"/>
              </w:rPr>
            </w:pPr>
            <w:bookmarkStart w:id="3" w:name="_Hlk49843745"/>
            <w:r>
              <w:rPr>
                <w:b/>
                <w:bCs/>
                <w:color w:val="auto"/>
                <w:sz w:val="24"/>
              </w:rPr>
              <w:t>建设项目</w:t>
            </w:r>
          </w:p>
          <w:p w14:paraId="3AC8C4EF">
            <w:pPr>
              <w:jc w:val="center"/>
              <w:rPr>
                <w:color w:val="auto"/>
                <w:sz w:val="24"/>
              </w:rPr>
            </w:pPr>
            <w:r>
              <w:rPr>
                <w:b/>
                <w:bCs/>
                <w:color w:val="auto"/>
                <w:sz w:val="24"/>
              </w:rPr>
              <w:t>行业类别</w:t>
            </w:r>
            <w:bookmarkEnd w:id="3"/>
          </w:p>
        </w:tc>
        <w:tc>
          <w:tcPr>
            <w:tcW w:w="3382" w:type="dxa"/>
            <w:vAlign w:val="center"/>
          </w:tcPr>
          <w:p w14:paraId="066CFBE9">
            <w:pPr>
              <w:rPr>
                <w:color w:val="auto"/>
                <w:sz w:val="24"/>
              </w:rPr>
            </w:pPr>
            <w:r>
              <w:rPr>
                <w:rFonts w:hint="eastAsia"/>
                <w:color w:val="auto"/>
                <w:sz w:val="24"/>
              </w:rPr>
              <w:t>“三十九、废弃资源综合利用业 42 ”中的“85金属废料和碎屑加工处理421；”中的“废弃电器电子产品、废机动车、废电机、废电线电缆、废钢、废铁、金属和金属化合物矿灰及残渣、有色金属废料与碎屑、废塑料、废轮胎、废船、含水洗工艺的其他废料和碎屑加工处理(农业生产产生的废旧秧盘、薄膜破碎和清洗工艺的除外) ”</w:t>
            </w:r>
          </w:p>
        </w:tc>
      </w:tr>
      <w:tr w14:paraId="4BE47CF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668" w:hRule="atLeast"/>
          <w:jc w:val="center"/>
        </w:trPr>
        <w:tc>
          <w:tcPr>
            <w:tcW w:w="1550" w:type="dxa"/>
            <w:tcMar>
              <w:top w:w="16" w:type="dxa"/>
              <w:left w:w="16" w:type="dxa"/>
              <w:right w:w="16" w:type="dxa"/>
            </w:tcMar>
            <w:vAlign w:val="center"/>
          </w:tcPr>
          <w:p w14:paraId="3D682E92">
            <w:pPr>
              <w:jc w:val="center"/>
              <w:rPr>
                <w:b/>
                <w:bCs/>
                <w:color w:val="auto"/>
                <w:sz w:val="24"/>
              </w:rPr>
            </w:pPr>
            <w:r>
              <w:rPr>
                <w:b/>
                <w:bCs/>
                <w:color w:val="auto"/>
                <w:sz w:val="24"/>
              </w:rPr>
              <w:t>建设性质</w:t>
            </w:r>
          </w:p>
        </w:tc>
        <w:tc>
          <w:tcPr>
            <w:tcW w:w="2189" w:type="dxa"/>
            <w:vAlign w:val="center"/>
          </w:tcPr>
          <w:p w14:paraId="492F1A9B">
            <w:pPr>
              <w:rPr>
                <w:color w:val="auto"/>
                <w:sz w:val="24"/>
              </w:rPr>
            </w:pPr>
            <w:r>
              <w:rPr>
                <w:color w:val="auto"/>
                <w:sz w:val="24"/>
              </w:rPr>
              <w:sym w:font="Wingdings 2" w:char="0052"/>
            </w:r>
            <w:r>
              <w:rPr>
                <w:color w:val="auto"/>
                <w:sz w:val="24"/>
              </w:rPr>
              <w:t>新建（迁建）</w:t>
            </w:r>
          </w:p>
          <w:p w14:paraId="56F2B808">
            <w:pPr>
              <w:rPr>
                <w:color w:val="auto"/>
                <w:sz w:val="24"/>
              </w:rPr>
            </w:pPr>
            <w:r>
              <w:rPr>
                <w:color w:val="auto"/>
                <w:sz w:val="24"/>
              </w:rPr>
              <w:t>□改建</w:t>
            </w:r>
          </w:p>
          <w:p w14:paraId="6CA1BA67">
            <w:pPr>
              <w:rPr>
                <w:color w:val="auto"/>
                <w:sz w:val="24"/>
              </w:rPr>
            </w:pPr>
            <w:r>
              <w:rPr>
                <w:color w:val="auto"/>
                <w:sz w:val="24"/>
              </w:rPr>
              <w:t>□扩建</w:t>
            </w:r>
          </w:p>
          <w:p w14:paraId="1F2168BE">
            <w:pPr>
              <w:rPr>
                <w:color w:val="auto"/>
                <w:sz w:val="24"/>
              </w:rPr>
            </w:pPr>
            <w:r>
              <w:rPr>
                <w:color w:val="auto"/>
                <w:sz w:val="24"/>
              </w:rPr>
              <w:t>□技术改造</w:t>
            </w:r>
          </w:p>
        </w:tc>
        <w:tc>
          <w:tcPr>
            <w:tcW w:w="1747" w:type="dxa"/>
            <w:vAlign w:val="center"/>
          </w:tcPr>
          <w:p w14:paraId="3BDA85FB">
            <w:pPr>
              <w:jc w:val="center"/>
              <w:rPr>
                <w:b/>
                <w:bCs/>
                <w:color w:val="auto"/>
                <w:sz w:val="24"/>
              </w:rPr>
            </w:pPr>
            <w:r>
              <w:rPr>
                <w:b/>
                <w:bCs/>
                <w:color w:val="auto"/>
                <w:sz w:val="24"/>
              </w:rPr>
              <w:t>建设项目</w:t>
            </w:r>
          </w:p>
          <w:p w14:paraId="69DA12F6">
            <w:pPr>
              <w:jc w:val="center"/>
              <w:rPr>
                <w:color w:val="auto"/>
                <w:sz w:val="24"/>
              </w:rPr>
            </w:pPr>
            <w:r>
              <w:rPr>
                <w:b/>
                <w:bCs/>
                <w:color w:val="auto"/>
                <w:sz w:val="24"/>
              </w:rPr>
              <w:t>申报情形</w:t>
            </w:r>
          </w:p>
        </w:tc>
        <w:tc>
          <w:tcPr>
            <w:tcW w:w="3382" w:type="dxa"/>
            <w:vAlign w:val="center"/>
          </w:tcPr>
          <w:p w14:paraId="27795031">
            <w:pPr>
              <w:rPr>
                <w:color w:val="auto"/>
                <w:sz w:val="24"/>
              </w:rPr>
            </w:pPr>
            <w:r>
              <w:rPr>
                <w:color w:val="auto"/>
                <w:sz w:val="24"/>
              </w:rPr>
              <w:sym w:font="Wingdings 2" w:char="0052"/>
            </w:r>
            <w:r>
              <w:rPr>
                <w:color w:val="auto"/>
                <w:sz w:val="24"/>
              </w:rPr>
              <w:t>首次申报项目</w:t>
            </w:r>
          </w:p>
          <w:p w14:paraId="5BEE74FF">
            <w:pPr>
              <w:rPr>
                <w:color w:val="auto"/>
                <w:sz w:val="24"/>
              </w:rPr>
            </w:pPr>
            <w:r>
              <w:rPr>
                <w:color w:val="auto"/>
                <w:sz w:val="24"/>
              </w:rPr>
              <w:t>□不予批准后再次申报项目</w:t>
            </w:r>
          </w:p>
          <w:p w14:paraId="645C1C72">
            <w:pPr>
              <w:rPr>
                <w:color w:val="auto"/>
                <w:sz w:val="24"/>
              </w:rPr>
            </w:pPr>
            <w:r>
              <w:rPr>
                <w:color w:val="auto"/>
                <w:sz w:val="24"/>
              </w:rPr>
              <w:t>□超五年重新审核项目</w:t>
            </w:r>
          </w:p>
          <w:p w14:paraId="65BF2BF5">
            <w:pPr>
              <w:rPr>
                <w:color w:val="auto"/>
                <w:sz w:val="24"/>
              </w:rPr>
            </w:pPr>
            <w:r>
              <w:rPr>
                <w:color w:val="auto"/>
                <w:sz w:val="24"/>
              </w:rPr>
              <w:t>□重大变动重新报批项目</w:t>
            </w:r>
          </w:p>
        </w:tc>
      </w:tr>
      <w:tr w14:paraId="61387A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11" w:hRule="atLeast"/>
          <w:jc w:val="center"/>
        </w:trPr>
        <w:tc>
          <w:tcPr>
            <w:tcW w:w="1550" w:type="dxa"/>
            <w:tcMar>
              <w:top w:w="16" w:type="dxa"/>
              <w:left w:w="16" w:type="dxa"/>
              <w:right w:w="16" w:type="dxa"/>
            </w:tcMar>
            <w:vAlign w:val="center"/>
          </w:tcPr>
          <w:p w14:paraId="13EAA270">
            <w:pPr>
              <w:jc w:val="center"/>
              <w:rPr>
                <w:b/>
                <w:bCs/>
                <w:color w:val="auto"/>
                <w:sz w:val="24"/>
              </w:rPr>
            </w:pPr>
            <w:r>
              <w:rPr>
                <w:b/>
                <w:bCs/>
                <w:color w:val="auto"/>
                <w:sz w:val="24"/>
              </w:rPr>
              <w:t>项目审批（核准/备案）部门（选填）</w:t>
            </w:r>
          </w:p>
        </w:tc>
        <w:tc>
          <w:tcPr>
            <w:tcW w:w="2189" w:type="dxa"/>
            <w:vAlign w:val="center"/>
          </w:tcPr>
          <w:p w14:paraId="7EB6AC0A">
            <w:pPr>
              <w:jc w:val="center"/>
              <w:rPr>
                <w:color w:val="auto"/>
                <w:sz w:val="24"/>
              </w:rPr>
            </w:pPr>
            <w:r>
              <w:rPr>
                <w:color w:val="auto"/>
                <w:sz w:val="24"/>
              </w:rPr>
              <w:t>/</w:t>
            </w:r>
          </w:p>
        </w:tc>
        <w:tc>
          <w:tcPr>
            <w:tcW w:w="1747" w:type="dxa"/>
            <w:vAlign w:val="center"/>
          </w:tcPr>
          <w:p w14:paraId="18CBB1B4">
            <w:pPr>
              <w:jc w:val="center"/>
              <w:rPr>
                <w:b/>
                <w:bCs/>
                <w:color w:val="auto"/>
                <w:sz w:val="24"/>
              </w:rPr>
            </w:pPr>
            <w:r>
              <w:rPr>
                <w:b/>
                <w:bCs/>
                <w:color w:val="auto"/>
                <w:sz w:val="24"/>
              </w:rPr>
              <w:t>项目审批（核准/备案）文号</w:t>
            </w:r>
          </w:p>
          <w:p w14:paraId="390B0377">
            <w:pPr>
              <w:jc w:val="center"/>
              <w:rPr>
                <w:b/>
                <w:bCs/>
                <w:color w:val="auto"/>
                <w:sz w:val="24"/>
              </w:rPr>
            </w:pPr>
            <w:r>
              <w:rPr>
                <w:b/>
                <w:bCs/>
                <w:color w:val="auto"/>
                <w:sz w:val="24"/>
              </w:rPr>
              <w:t>（选填）</w:t>
            </w:r>
          </w:p>
        </w:tc>
        <w:tc>
          <w:tcPr>
            <w:tcW w:w="3382" w:type="dxa"/>
            <w:vAlign w:val="center"/>
          </w:tcPr>
          <w:p w14:paraId="0C72BEAB">
            <w:pPr>
              <w:jc w:val="center"/>
              <w:rPr>
                <w:color w:val="auto"/>
                <w:sz w:val="24"/>
              </w:rPr>
            </w:pPr>
            <w:r>
              <w:rPr>
                <w:color w:val="auto"/>
                <w:sz w:val="24"/>
              </w:rPr>
              <w:t>/</w:t>
            </w:r>
          </w:p>
        </w:tc>
      </w:tr>
      <w:tr w14:paraId="7A6D53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77" w:hRule="atLeast"/>
          <w:jc w:val="center"/>
        </w:trPr>
        <w:tc>
          <w:tcPr>
            <w:tcW w:w="1550" w:type="dxa"/>
            <w:tcMar>
              <w:top w:w="16" w:type="dxa"/>
              <w:left w:w="16" w:type="dxa"/>
              <w:right w:w="16" w:type="dxa"/>
            </w:tcMar>
            <w:vAlign w:val="center"/>
          </w:tcPr>
          <w:p w14:paraId="0B14C6FD">
            <w:pPr>
              <w:jc w:val="center"/>
              <w:rPr>
                <w:b/>
                <w:bCs/>
                <w:color w:val="auto"/>
                <w:sz w:val="24"/>
              </w:rPr>
            </w:pPr>
            <w:r>
              <w:rPr>
                <w:b/>
                <w:bCs/>
                <w:color w:val="auto"/>
                <w:sz w:val="24"/>
              </w:rPr>
              <w:t>总投资</w:t>
            </w:r>
          </w:p>
          <w:p w14:paraId="51898ED4">
            <w:pPr>
              <w:jc w:val="center"/>
              <w:rPr>
                <w:b/>
                <w:bCs/>
                <w:color w:val="auto"/>
                <w:sz w:val="24"/>
              </w:rPr>
            </w:pPr>
            <w:r>
              <w:rPr>
                <w:b/>
                <w:bCs/>
                <w:color w:val="auto"/>
                <w:sz w:val="24"/>
              </w:rPr>
              <w:t>（万元）</w:t>
            </w:r>
          </w:p>
        </w:tc>
        <w:tc>
          <w:tcPr>
            <w:tcW w:w="2189" w:type="dxa"/>
            <w:vAlign w:val="center"/>
          </w:tcPr>
          <w:p w14:paraId="137A5BD2">
            <w:pPr>
              <w:jc w:val="center"/>
              <w:rPr>
                <w:rFonts w:hint="default" w:eastAsia="宋体"/>
                <w:color w:val="auto"/>
                <w:sz w:val="24"/>
                <w:lang w:val="en-US" w:eastAsia="zh-CN"/>
              </w:rPr>
            </w:pPr>
            <w:r>
              <w:rPr>
                <w:rFonts w:hint="eastAsia"/>
                <w:color w:val="auto"/>
                <w:sz w:val="24"/>
                <w:lang w:val="en-US" w:eastAsia="zh-CN"/>
              </w:rPr>
              <w:t>80</w:t>
            </w:r>
          </w:p>
        </w:tc>
        <w:tc>
          <w:tcPr>
            <w:tcW w:w="1747" w:type="dxa"/>
            <w:tcMar>
              <w:top w:w="16" w:type="dxa"/>
              <w:left w:w="16" w:type="dxa"/>
              <w:right w:w="16" w:type="dxa"/>
            </w:tcMar>
            <w:vAlign w:val="center"/>
          </w:tcPr>
          <w:p w14:paraId="187EC1CC">
            <w:pPr>
              <w:jc w:val="center"/>
              <w:rPr>
                <w:b/>
                <w:bCs/>
                <w:color w:val="auto"/>
                <w:sz w:val="24"/>
              </w:rPr>
            </w:pPr>
            <w:r>
              <w:rPr>
                <w:b/>
                <w:bCs/>
                <w:color w:val="auto"/>
                <w:sz w:val="24"/>
              </w:rPr>
              <w:t>环保投资</w:t>
            </w:r>
          </w:p>
          <w:p w14:paraId="576F9480">
            <w:pPr>
              <w:jc w:val="center"/>
              <w:rPr>
                <w:b/>
                <w:bCs/>
                <w:color w:val="auto"/>
                <w:sz w:val="24"/>
              </w:rPr>
            </w:pPr>
            <w:r>
              <w:rPr>
                <w:b/>
                <w:bCs/>
                <w:color w:val="auto"/>
                <w:sz w:val="24"/>
              </w:rPr>
              <w:t>（万元）</w:t>
            </w:r>
          </w:p>
        </w:tc>
        <w:tc>
          <w:tcPr>
            <w:tcW w:w="3382" w:type="dxa"/>
            <w:vAlign w:val="center"/>
          </w:tcPr>
          <w:p w14:paraId="0727DC9A">
            <w:pPr>
              <w:jc w:val="center"/>
              <w:rPr>
                <w:rFonts w:hint="default" w:eastAsia="宋体"/>
                <w:color w:val="auto"/>
                <w:sz w:val="24"/>
                <w:lang w:val="en-US" w:eastAsia="zh-CN"/>
              </w:rPr>
            </w:pPr>
            <w:r>
              <w:rPr>
                <w:rFonts w:hint="eastAsia"/>
                <w:color w:val="auto"/>
                <w:sz w:val="24"/>
                <w:lang w:val="en-US" w:eastAsia="zh-CN"/>
              </w:rPr>
              <w:t xml:space="preserve">8.8 </w:t>
            </w:r>
          </w:p>
        </w:tc>
      </w:tr>
      <w:tr w14:paraId="3C5AA90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111" w:hRule="atLeast"/>
          <w:jc w:val="center"/>
        </w:trPr>
        <w:tc>
          <w:tcPr>
            <w:tcW w:w="1550" w:type="dxa"/>
            <w:tcMar>
              <w:top w:w="16" w:type="dxa"/>
              <w:left w:w="16" w:type="dxa"/>
              <w:right w:w="16" w:type="dxa"/>
            </w:tcMar>
            <w:vAlign w:val="center"/>
          </w:tcPr>
          <w:p w14:paraId="2C2C7544">
            <w:pPr>
              <w:jc w:val="center"/>
              <w:rPr>
                <w:b/>
                <w:bCs/>
                <w:color w:val="auto"/>
                <w:sz w:val="24"/>
              </w:rPr>
            </w:pPr>
            <w:r>
              <w:rPr>
                <w:b/>
                <w:bCs/>
                <w:color w:val="auto"/>
                <w:sz w:val="24"/>
              </w:rPr>
              <w:t>环保投资占比（%）</w:t>
            </w:r>
          </w:p>
        </w:tc>
        <w:tc>
          <w:tcPr>
            <w:tcW w:w="2189" w:type="dxa"/>
            <w:vAlign w:val="center"/>
          </w:tcPr>
          <w:p w14:paraId="3822D097">
            <w:pPr>
              <w:jc w:val="center"/>
              <w:rPr>
                <w:rFonts w:hint="default" w:eastAsia="宋体"/>
                <w:color w:val="auto"/>
                <w:sz w:val="24"/>
                <w:lang w:val="en-US" w:eastAsia="zh-CN"/>
              </w:rPr>
            </w:pPr>
            <w:r>
              <w:rPr>
                <w:rFonts w:hint="eastAsia"/>
                <w:color w:val="auto"/>
                <w:sz w:val="24"/>
                <w:lang w:val="en-US" w:eastAsia="zh-CN"/>
              </w:rPr>
              <w:t>11</w:t>
            </w:r>
          </w:p>
        </w:tc>
        <w:tc>
          <w:tcPr>
            <w:tcW w:w="1747" w:type="dxa"/>
            <w:tcMar>
              <w:top w:w="16" w:type="dxa"/>
              <w:left w:w="16" w:type="dxa"/>
              <w:right w:w="16" w:type="dxa"/>
            </w:tcMar>
            <w:vAlign w:val="center"/>
          </w:tcPr>
          <w:p w14:paraId="1068B505">
            <w:pPr>
              <w:jc w:val="center"/>
              <w:rPr>
                <w:b/>
                <w:bCs/>
                <w:color w:val="auto"/>
                <w:sz w:val="24"/>
              </w:rPr>
            </w:pPr>
            <w:r>
              <w:rPr>
                <w:b/>
                <w:bCs/>
                <w:color w:val="auto"/>
                <w:sz w:val="24"/>
              </w:rPr>
              <w:t>施工工期</w:t>
            </w:r>
          </w:p>
        </w:tc>
        <w:tc>
          <w:tcPr>
            <w:tcW w:w="3382" w:type="dxa"/>
            <w:vAlign w:val="center"/>
          </w:tcPr>
          <w:p w14:paraId="08AC2BCF">
            <w:pPr>
              <w:jc w:val="center"/>
              <w:rPr>
                <w:color w:val="auto"/>
                <w:sz w:val="24"/>
              </w:rPr>
            </w:pPr>
            <w:r>
              <w:rPr>
                <w:rFonts w:hint="eastAsia"/>
                <w:color w:val="auto"/>
                <w:sz w:val="24"/>
              </w:rPr>
              <w:t>202</w:t>
            </w:r>
            <w:r>
              <w:rPr>
                <w:rFonts w:hint="eastAsia"/>
                <w:color w:val="auto"/>
                <w:sz w:val="24"/>
                <w:lang w:val="en-US" w:eastAsia="zh-CN"/>
              </w:rPr>
              <w:t>4</w:t>
            </w:r>
            <w:r>
              <w:rPr>
                <w:rFonts w:hint="eastAsia"/>
                <w:color w:val="auto"/>
                <w:sz w:val="24"/>
              </w:rPr>
              <w:t>年</w:t>
            </w:r>
            <w:r>
              <w:rPr>
                <w:rFonts w:hint="eastAsia"/>
                <w:color w:val="auto"/>
                <w:sz w:val="24"/>
                <w:lang w:val="en-US" w:eastAsia="zh-CN"/>
              </w:rPr>
              <w:t>10</w:t>
            </w:r>
            <w:r>
              <w:rPr>
                <w:rFonts w:hint="eastAsia"/>
                <w:color w:val="auto"/>
                <w:sz w:val="24"/>
              </w:rPr>
              <w:t>月-202</w:t>
            </w:r>
            <w:r>
              <w:rPr>
                <w:rFonts w:hint="eastAsia"/>
                <w:color w:val="auto"/>
                <w:sz w:val="24"/>
                <w:lang w:val="en-US" w:eastAsia="zh-CN"/>
              </w:rPr>
              <w:t>4</w:t>
            </w:r>
            <w:r>
              <w:rPr>
                <w:rFonts w:hint="eastAsia"/>
                <w:color w:val="auto"/>
                <w:sz w:val="24"/>
              </w:rPr>
              <w:t>年</w:t>
            </w:r>
            <w:r>
              <w:rPr>
                <w:rFonts w:hint="eastAsia"/>
                <w:color w:val="auto"/>
                <w:sz w:val="24"/>
                <w:lang w:val="en-US" w:eastAsia="zh-CN"/>
              </w:rPr>
              <w:t>11</w:t>
            </w:r>
            <w:r>
              <w:rPr>
                <w:rFonts w:hint="eastAsia"/>
                <w:color w:val="auto"/>
                <w:sz w:val="24"/>
              </w:rPr>
              <w:t>月</w:t>
            </w:r>
          </w:p>
        </w:tc>
      </w:tr>
      <w:tr w14:paraId="5F2B7E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037" w:hRule="atLeast"/>
          <w:jc w:val="center"/>
        </w:trPr>
        <w:tc>
          <w:tcPr>
            <w:tcW w:w="1550" w:type="dxa"/>
            <w:tcMar>
              <w:top w:w="16" w:type="dxa"/>
              <w:left w:w="16" w:type="dxa"/>
              <w:right w:w="16" w:type="dxa"/>
            </w:tcMar>
            <w:vAlign w:val="center"/>
          </w:tcPr>
          <w:p w14:paraId="5C0E8E52">
            <w:pPr>
              <w:jc w:val="center"/>
              <w:rPr>
                <w:b/>
                <w:bCs/>
                <w:color w:val="auto"/>
                <w:sz w:val="24"/>
              </w:rPr>
            </w:pPr>
            <w:r>
              <w:rPr>
                <w:b/>
                <w:bCs/>
                <w:color w:val="auto"/>
                <w:sz w:val="24"/>
              </w:rPr>
              <w:t>是否开工建设</w:t>
            </w:r>
          </w:p>
        </w:tc>
        <w:tc>
          <w:tcPr>
            <w:tcW w:w="2189" w:type="dxa"/>
            <w:vAlign w:val="center"/>
          </w:tcPr>
          <w:p w14:paraId="0F2F4821">
            <w:pPr>
              <w:rPr>
                <w:color w:val="auto"/>
                <w:sz w:val="24"/>
              </w:rPr>
            </w:pPr>
            <w:r>
              <w:rPr>
                <w:color w:val="auto"/>
                <w:sz w:val="24"/>
              </w:rPr>
              <w:sym w:font="Wingdings 2" w:char="0052"/>
            </w:r>
            <w:r>
              <w:rPr>
                <w:color w:val="auto"/>
                <w:sz w:val="24"/>
              </w:rPr>
              <w:t>否</w:t>
            </w:r>
          </w:p>
          <w:p w14:paraId="0CB49D8E">
            <w:pPr>
              <w:rPr>
                <w:color w:val="auto"/>
                <w:sz w:val="24"/>
              </w:rPr>
            </w:pPr>
            <w:r>
              <w:rPr>
                <w:color w:val="auto"/>
                <w:sz w:val="24"/>
              </w:rPr>
              <w:sym w:font="Wingdings 2" w:char="00A3"/>
            </w:r>
            <w:r>
              <w:rPr>
                <w:color w:val="auto"/>
                <w:sz w:val="24"/>
              </w:rPr>
              <w:t>是</w:t>
            </w:r>
          </w:p>
        </w:tc>
        <w:tc>
          <w:tcPr>
            <w:tcW w:w="1747" w:type="dxa"/>
            <w:tcMar>
              <w:top w:w="16" w:type="dxa"/>
              <w:left w:w="16" w:type="dxa"/>
              <w:right w:w="16" w:type="dxa"/>
            </w:tcMar>
            <w:vAlign w:val="center"/>
          </w:tcPr>
          <w:p w14:paraId="58486738">
            <w:pPr>
              <w:jc w:val="center"/>
              <w:rPr>
                <w:b/>
                <w:bCs/>
                <w:color w:val="auto"/>
                <w:spacing w:val="-6"/>
                <w:sz w:val="24"/>
              </w:rPr>
            </w:pPr>
            <w:r>
              <w:rPr>
                <w:b/>
                <w:bCs/>
                <w:color w:val="auto"/>
                <w:spacing w:val="-6"/>
                <w:sz w:val="24"/>
              </w:rPr>
              <w:t>用地（用海）</w:t>
            </w:r>
          </w:p>
          <w:p w14:paraId="3492C3AD">
            <w:pPr>
              <w:jc w:val="center"/>
              <w:rPr>
                <w:color w:val="auto"/>
                <w:sz w:val="24"/>
              </w:rPr>
            </w:pPr>
            <w:r>
              <w:rPr>
                <w:b/>
                <w:bCs/>
                <w:color w:val="auto"/>
                <w:spacing w:val="-6"/>
                <w:sz w:val="24"/>
              </w:rPr>
              <w:t>面积（m</w:t>
            </w:r>
            <w:r>
              <w:rPr>
                <w:b/>
                <w:bCs/>
                <w:color w:val="auto"/>
                <w:spacing w:val="-6"/>
                <w:sz w:val="24"/>
                <w:vertAlign w:val="superscript"/>
              </w:rPr>
              <w:t>2</w:t>
            </w:r>
            <w:r>
              <w:rPr>
                <w:b/>
                <w:bCs/>
                <w:color w:val="auto"/>
                <w:spacing w:val="-6"/>
                <w:sz w:val="24"/>
              </w:rPr>
              <w:t>）</w:t>
            </w:r>
          </w:p>
        </w:tc>
        <w:tc>
          <w:tcPr>
            <w:tcW w:w="3382" w:type="dxa"/>
            <w:vAlign w:val="center"/>
          </w:tcPr>
          <w:p w14:paraId="28795066">
            <w:pPr>
              <w:jc w:val="center"/>
              <w:rPr>
                <w:rFonts w:hint="default" w:eastAsia="宋体"/>
                <w:color w:val="auto"/>
                <w:sz w:val="24"/>
                <w:lang w:val="en-US" w:eastAsia="zh-CN"/>
              </w:rPr>
            </w:pPr>
            <w:r>
              <w:rPr>
                <w:rFonts w:hint="eastAsia"/>
                <w:color w:val="auto"/>
                <w:sz w:val="24"/>
                <w:lang w:val="en-US" w:eastAsia="zh-CN"/>
              </w:rPr>
              <w:t>4392.34</w:t>
            </w:r>
          </w:p>
        </w:tc>
      </w:tr>
      <w:tr w14:paraId="1AF249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599" w:hRule="atLeast"/>
          <w:jc w:val="center"/>
        </w:trPr>
        <w:tc>
          <w:tcPr>
            <w:tcW w:w="1550" w:type="dxa"/>
            <w:vAlign w:val="center"/>
          </w:tcPr>
          <w:p w14:paraId="12DCBCFB">
            <w:pPr>
              <w:jc w:val="center"/>
              <w:rPr>
                <w:b/>
                <w:bCs/>
                <w:color w:val="auto"/>
                <w:sz w:val="24"/>
              </w:rPr>
            </w:pPr>
            <w:r>
              <w:rPr>
                <w:b/>
                <w:bCs/>
                <w:color w:val="auto"/>
                <w:sz w:val="24"/>
              </w:rPr>
              <w:t>专项评价设置情况</w:t>
            </w:r>
          </w:p>
        </w:tc>
        <w:tc>
          <w:tcPr>
            <w:tcW w:w="7318" w:type="dxa"/>
            <w:gridSpan w:val="3"/>
            <w:vAlign w:val="center"/>
          </w:tcPr>
          <w:p w14:paraId="327803B9">
            <w:pPr>
              <w:pStyle w:val="77"/>
              <w:rPr>
                <w:color w:val="auto"/>
              </w:rPr>
            </w:pPr>
            <w:r>
              <w:rPr>
                <w:color w:val="auto"/>
              </w:rPr>
              <w:t>根据《建设项目环境影响报告表编制技术指南（污染影响类）（试行）》，土壤、声环境不开展专项评价，地下水原则上不开展专项评价，涉及集中式饮用水水源和热水、矿泉水、温泉等特殊地下水资源保护区的开展地下水专项评价工作。本项目不涉及集中式饮用水水源和热水、矿泉水、温泉等特殊地下水资源保护区，项目专项设置情况参照表1-1。</w:t>
            </w:r>
          </w:p>
          <w:p w14:paraId="32D10593">
            <w:pPr>
              <w:pStyle w:val="78"/>
              <w:rPr>
                <w:color w:val="auto"/>
              </w:rPr>
            </w:pPr>
            <w:r>
              <w:rPr>
                <w:color w:val="auto"/>
              </w:rPr>
              <w:t>表1-1 专项评价设置情况一览表</w:t>
            </w:r>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28" w:type="dxa"/>
                <w:left w:w="28" w:type="dxa"/>
                <w:bottom w:w="28" w:type="dxa"/>
                <w:right w:w="28" w:type="dxa"/>
              </w:tblCellMar>
            </w:tblPr>
            <w:tblGrid>
              <w:gridCol w:w="939"/>
              <w:gridCol w:w="2625"/>
              <w:gridCol w:w="2534"/>
              <w:gridCol w:w="1004"/>
            </w:tblGrid>
            <w:tr w14:paraId="585901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1" w:type="pct"/>
                  <w:tcMar>
                    <w:left w:w="57" w:type="dxa"/>
                    <w:right w:w="57" w:type="dxa"/>
                  </w:tcMar>
                  <w:vAlign w:val="center"/>
                </w:tcPr>
                <w:p w14:paraId="7FF29DE5">
                  <w:pPr>
                    <w:autoSpaceDE w:val="0"/>
                    <w:autoSpaceDN w:val="0"/>
                    <w:adjustRightInd w:val="0"/>
                    <w:snapToGrid w:val="0"/>
                    <w:jc w:val="center"/>
                    <w:rPr>
                      <w:color w:val="auto"/>
                      <w:kern w:val="0"/>
                      <w:szCs w:val="21"/>
                    </w:rPr>
                  </w:pPr>
                  <w:r>
                    <w:rPr>
                      <w:color w:val="auto"/>
                      <w:kern w:val="0"/>
                      <w:szCs w:val="21"/>
                    </w:rPr>
                    <w:t>专项评价类别</w:t>
                  </w:r>
                </w:p>
              </w:tc>
              <w:tc>
                <w:tcPr>
                  <w:tcW w:w="1848" w:type="pct"/>
                  <w:tcMar>
                    <w:left w:w="57" w:type="dxa"/>
                    <w:right w:w="57" w:type="dxa"/>
                  </w:tcMar>
                  <w:vAlign w:val="center"/>
                </w:tcPr>
                <w:p w14:paraId="6F3B3B27">
                  <w:pPr>
                    <w:autoSpaceDE w:val="0"/>
                    <w:autoSpaceDN w:val="0"/>
                    <w:adjustRightInd w:val="0"/>
                    <w:snapToGrid w:val="0"/>
                    <w:jc w:val="center"/>
                    <w:rPr>
                      <w:color w:val="auto"/>
                      <w:kern w:val="0"/>
                      <w:szCs w:val="21"/>
                    </w:rPr>
                  </w:pPr>
                  <w:r>
                    <w:rPr>
                      <w:color w:val="auto"/>
                      <w:kern w:val="0"/>
                      <w:szCs w:val="21"/>
                    </w:rPr>
                    <w:t>设置原则</w:t>
                  </w:r>
                </w:p>
              </w:tc>
              <w:tc>
                <w:tcPr>
                  <w:tcW w:w="1784" w:type="pct"/>
                  <w:tcMar>
                    <w:left w:w="57" w:type="dxa"/>
                    <w:right w:w="57" w:type="dxa"/>
                  </w:tcMar>
                  <w:vAlign w:val="center"/>
                </w:tcPr>
                <w:p w14:paraId="7578128B">
                  <w:pPr>
                    <w:autoSpaceDE w:val="0"/>
                    <w:autoSpaceDN w:val="0"/>
                    <w:adjustRightInd w:val="0"/>
                    <w:snapToGrid w:val="0"/>
                    <w:jc w:val="center"/>
                    <w:rPr>
                      <w:color w:val="auto"/>
                      <w:kern w:val="0"/>
                      <w:szCs w:val="21"/>
                    </w:rPr>
                  </w:pPr>
                  <w:r>
                    <w:rPr>
                      <w:color w:val="auto"/>
                      <w:kern w:val="0"/>
                      <w:szCs w:val="21"/>
                    </w:rPr>
                    <w:t>本项目情况</w:t>
                  </w:r>
                </w:p>
              </w:tc>
              <w:tc>
                <w:tcPr>
                  <w:tcW w:w="707" w:type="pct"/>
                  <w:tcMar>
                    <w:left w:w="57" w:type="dxa"/>
                    <w:right w:w="57" w:type="dxa"/>
                  </w:tcMar>
                  <w:vAlign w:val="center"/>
                </w:tcPr>
                <w:p w14:paraId="7B188F7B">
                  <w:pPr>
                    <w:autoSpaceDE w:val="0"/>
                    <w:autoSpaceDN w:val="0"/>
                    <w:adjustRightInd w:val="0"/>
                    <w:snapToGrid w:val="0"/>
                    <w:jc w:val="center"/>
                    <w:rPr>
                      <w:color w:val="auto"/>
                      <w:kern w:val="0"/>
                      <w:szCs w:val="21"/>
                    </w:rPr>
                  </w:pPr>
                  <w:r>
                    <w:rPr>
                      <w:color w:val="auto"/>
                      <w:kern w:val="0"/>
                      <w:szCs w:val="21"/>
                    </w:rPr>
                    <w:t>是否设置专项</w:t>
                  </w:r>
                </w:p>
              </w:tc>
            </w:tr>
            <w:tr w14:paraId="2F89B4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1" w:type="pct"/>
                  <w:tcMar>
                    <w:left w:w="57" w:type="dxa"/>
                    <w:right w:w="57" w:type="dxa"/>
                  </w:tcMar>
                  <w:vAlign w:val="center"/>
                </w:tcPr>
                <w:p w14:paraId="0BEFA33B">
                  <w:pPr>
                    <w:autoSpaceDE w:val="0"/>
                    <w:autoSpaceDN w:val="0"/>
                    <w:adjustRightInd w:val="0"/>
                    <w:snapToGrid w:val="0"/>
                    <w:jc w:val="center"/>
                    <w:rPr>
                      <w:color w:val="auto"/>
                      <w:kern w:val="0"/>
                      <w:szCs w:val="21"/>
                    </w:rPr>
                  </w:pPr>
                  <w:r>
                    <w:rPr>
                      <w:color w:val="auto"/>
                      <w:kern w:val="0"/>
                      <w:szCs w:val="21"/>
                    </w:rPr>
                    <w:t>大气</w:t>
                  </w:r>
                </w:p>
              </w:tc>
              <w:tc>
                <w:tcPr>
                  <w:tcW w:w="1848" w:type="pct"/>
                  <w:tcMar>
                    <w:left w:w="57" w:type="dxa"/>
                    <w:right w:w="57" w:type="dxa"/>
                  </w:tcMar>
                  <w:vAlign w:val="center"/>
                </w:tcPr>
                <w:p w14:paraId="1F15E55B">
                  <w:pPr>
                    <w:autoSpaceDE w:val="0"/>
                    <w:autoSpaceDN w:val="0"/>
                    <w:adjustRightInd w:val="0"/>
                    <w:snapToGrid w:val="0"/>
                    <w:rPr>
                      <w:color w:val="auto"/>
                      <w:kern w:val="0"/>
                      <w:szCs w:val="21"/>
                    </w:rPr>
                  </w:pPr>
                  <w:r>
                    <w:rPr>
                      <w:color w:val="auto"/>
                      <w:szCs w:val="21"/>
                    </w:rPr>
                    <w:t>排放废气含有毒有害污染物</w:t>
                  </w:r>
                  <w:r>
                    <w:rPr>
                      <w:rFonts w:hint="eastAsia" w:ascii="宋体" w:hAnsi="宋体" w:cs="宋体"/>
                      <w:color w:val="auto"/>
                      <w:szCs w:val="21"/>
                      <w:vertAlign w:val="superscript"/>
                    </w:rPr>
                    <w:t>①</w:t>
                  </w:r>
                  <w:r>
                    <w:rPr>
                      <w:color w:val="auto"/>
                      <w:szCs w:val="21"/>
                    </w:rPr>
                    <w:t>、二噁英、苯并[a]芘、氰化物、氯气且厂界外500米范围内有环境空气保护目标</w:t>
                  </w:r>
                  <w:r>
                    <w:rPr>
                      <w:rFonts w:hint="eastAsia" w:ascii="宋体" w:hAnsi="宋体" w:cs="宋体"/>
                      <w:color w:val="auto"/>
                      <w:szCs w:val="21"/>
                      <w:vertAlign w:val="superscript"/>
                    </w:rPr>
                    <w:t>②</w:t>
                  </w:r>
                  <w:r>
                    <w:rPr>
                      <w:color w:val="auto"/>
                      <w:szCs w:val="21"/>
                    </w:rPr>
                    <w:t>的建设项目。</w:t>
                  </w:r>
                </w:p>
              </w:tc>
              <w:tc>
                <w:tcPr>
                  <w:tcW w:w="1784" w:type="pct"/>
                  <w:tcMar>
                    <w:left w:w="57" w:type="dxa"/>
                    <w:right w:w="57" w:type="dxa"/>
                  </w:tcMar>
                  <w:vAlign w:val="center"/>
                </w:tcPr>
                <w:p w14:paraId="3F0668B8">
                  <w:pPr>
                    <w:autoSpaceDE w:val="0"/>
                    <w:autoSpaceDN w:val="0"/>
                    <w:adjustRightInd w:val="0"/>
                    <w:snapToGrid w:val="0"/>
                    <w:rPr>
                      <w:color w:val="auto"/>
                      <w:kern w:val="0"/>
                      <w:szCs w:val="21"/>
                    </w:rPr>
                  </w:pPr>
                  <w:r>
                    <w:rPr>
                      <w:color w:val="auto"/>
                      <w:szCs w:val="21"/>
                    </w:rPr>
                    <w:t>本项目不涉及大气专项设置原则中提及的有毒有害物质。</w:t>
                  </w:r>
                </w:p>
              </w:tc>
              <w:tc>
                <w:tcPr>
                  <w:tcW w:w="707" w:type="pct"/>
                  <w:tcMar>
                    <w:left w:w="57" w:type="dxa"/>
                    <w:right w:w="57" w:type="dxa"/>
                  </w:tcMar>
                  <w:vAlign w:val="center"/>
                </w:tcPr>
                <w:p w14:paraId="725E28E9">
                  <w:pPr>
                    <w:autoSpaceDE w:val="0"/>
                    <w:autoSpaceDN w:val="0"/>
                    <w:adjustRightInd w:val="0"/>
                    <w:snapToGrid w:val="0"/>
                    <w:jc w:val="center"/>
                    <w:rPr>
                      <w:color w:val="auto"/>
                      <w:kern w:val="0"/>
                      <w:szCs w:val="21"/>
                    </w:rPr>
                  </w:pPr>
                  <w:r>
                    <w:rPr>
                      <w:color w:val="auto"/>
                      <w:kern w:val="0"/>
                      <w:szCs w:val="21"/>
                    </w:rPr>
                    <w:t>否</w:t>
                  </w:r>
                </w:p>
              </w:tc>
            </w:tr>
            <w:tr w14:paraId="18CD9D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rPr>
                <w:trHeight w:val="634" w:hRule="atLeast"/>
              </w:trPr>
              <w:tc>
                <w:tcPr>
                  <w:tcW w:w="661" w:type="pct"/>
                  <w:tcMar>
                    <w:left w:w="57" w:type="dxa"/>
                    <w:right w:w="57" w:type="dxa"/>
                  </w:tcMar>
                  <w:vAlign w:val="center"/>
                </w:tcPr>
                <w:p w14:paraId="509BF676">
                  <w:pPr>
                    <w:autoSpaceDE w:val="0"/>
                    <w:autoSpaceDN w:val="0"/>
                    <w:adjustRightInd w:val="0"/>
                    <w:snapToGrid w:val="0"/>
                    <w:jc w:val="center"/>
                    <w:rPr>
                      <w:color w:val="auto"/>
                      <w:kern w:val="0"/>
                      <w:szCs w:val="21"/>
                    </w:rPr>
                  </w:pPr>
                  <w:r>
                    <w:rPr>
                      <w:color w:val="auto"/>
                      <w:kern w:val="0"/>
                      <w:szCs w:val="21"/>
                    </w:rPr>
                    <w:t>地表水</w:t>
                  </w:r>
                </w:p>
              </w:tc>
              <w:tc>
                <w:tcPr>
                  <w:tcW w:w="1848" w:type="pct"/>
                  <w:tcMar>
                    <w:left w:w="57" w:type="dxa"/>
                    <w:right w:w="57" w:type="dxa"/>
                  </w:tcMar>
                  <w:vAlign w:val="center"/>
                </w:tcPr>
                <w:p w14:paraId="6CC6B58C">
                  <w:pPr>
                    <w:autoSpaceDE w:val="0"/>
                    <w:autoSpaceDN w:val="0"/>
                    <w:adjustRightInd w:val="0"/>
                    <w:snapToGrid w:val="0"/>
                    <w:rPr>
                      <w:color w:val="auto"/>
                      <w:kern w:val="0"/>
                      <w:szCs w:val="21"/>
                    </w:rPr>
                  </w:pPr>
                  <w:r>
                    <w:rPr>
                      <w:color w:val="auto"/>
                    </w:rPr>
                    <w:t>新增工业废水直排建设项目（槽罐车外送污水处理厂的除外）；新增废水直排的污水集中处理厂。</w:t>
                  </w:r>
                </w:p>
              </w:tc>
              <w:tc>
                <w:tcPr>
                  <w:tcW w:w="1784" w:type="pct"/>
                  <w:tcMar>
                    <w:left w:w="57" w:type="dxa"/>
                    <w:right w:w="57" w:type="dxa"/>
                  </w:tcMar>
                  <w:vAlign w:val="center"/>
                </w:tcPr>
                <w:p w14:paraId="5254B1D6">
                  <w:pPr>
                    <w:autoSpaceDE w:val="0"/>
                    <w:autoSpaceDN w:val="0"/>
                    <w:adjustRightInd w:val="0"/>
                    <w:snapToGrid w:val="0"/>
                    <w:rPr>
                      <w:color w:val="auto"/>
                    </w:rPr>
                  </w:pPr>
                  <w:r>
                    <w:rPr>
                      <w:color w:val="auto"/>
                    </w:rPr>
                    <w:t>本项目不属于工业废水直排建设项目以及废水直排的污水集中处理厂。</w:t>
                  </w:r>
                </w:p>
              </w:tc>
              <w:tc>
                <w:tcPr>
                  <w:tcW w:w="707" w:type="pct"/>
                  <w:tcMar>
                    <w:left w:w="57" w:type="dxa"/>
                    <w:right w:w="57" w:type="dxa"/>
                  </w:tcMar>
                  <w:vAlign w:val="center"/>
                </w:tcPr>
                <w:p w14:paraId="2759E6AB">
                  <w:pPr>
                    <w:autoSpaceDE w:val="0"/>
                    <w:autoSpaceDN w:val="0"/>
                    <w:adjustRightInd w:val="0"/>
                    <w:snapToGrid w:val="0"/>
                    <w:jc w:val="center"/>
                    <w:rPr>
                      <w:color w:val="auto"/>
                      <w:kern w:val="0"/>
                      <w:szCs w:val="21"/>
                    </w:rPr>
                  </w:pPr>
                  <w:r>
                    <w:rPr>
                      <w:color w:val="auto"/>
                      <w:kern w:val="0"/>
                      <w:szCs w:val="21"/>
                    </w:rPr>
                    <w:t>否</w:t>
                  </w:r>
                </w:p>
              </w:tc>
            </w:tr>
            <w:tr w14:paraId="00D64E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1" w:type="pct"/>
                  <w:tcMar>
                    <w:left w:w="57" w:type="dxa"/>
                    <w:right w:w="57" w:type="dxa"/>
                  </w:tcMar>
                  <w:vAlign w:val="center"/>
                </w:tcPr>
                <w:p w14:paraId="633749B0">
                  <w:pPr>
                    <w:autoSpaceDE w:val="0"/>
                    <w:autoSpaceDN w:val="0"/>
                    <w:adjustRightInd w:val="0"/>
                    <w:snapToGrid w:val="0"/>
                    <w:jc w:val="center"/>
                    <w:rPr>
                      <w:color w:val="auto"/>
                      <w:kern w:val="0"/>
                      <w:szCs w:val="21"/>
                    </w:rPr>
                  </w:pPr>
                  <w:r>
                    <w:rPr>
                      <w:color w:val="auto"/>
                      <w:kern w:val="0"/>
                      <w:szCs w:val="21"/>
                    </w:rPr>
                    <w:t>环境风险</w:t>
                  </w:r>
                </w:p>
              </w:tc>
              <w:tc>
                <w:tcPr>
                  <w:tcW w:w="1848" w:type="pct"/>
                  <w:tcMar>
                    <w:left w:w="57" w:type="dxa"/>
                    <w:right w:w="57" w:type="dxa"/>
                  </w:tcMar>
                  <w:vAlign w:val="center"/>
                </w:tcPr>
                <w:p w14:paraId="76E3BB77">
                  <w:pPr>
                    <w:autoSpaceDE w:val="0"/>
                    <w:autoSpaceDN w:val="0"/>
                    <w:adjustRightInd w:val="0"/>
                    <w:snapToGrid w:val="0"/>
                    <w:rPr>
                      <w:color w:val="auto"/>
                      <w:kern w:val="0"/>
                      <w:szCs w:val="21"/>
                    </w:rPr>
                  </w:pPr>
                  <w:r>
                    <w:rPr>
                      <w:color w:val="auto"/>
                    </w:rPr>
                    <w:t>有毒有害和易燃易爆危险物质存储量超过临界量</w:t>
                  </w:r>
                  <w:r>
                    <w:rPr>
                      <w:rFonts w:hint="eastAsia" w:ascii="宋体" w:hAnsi="宋体" w:cs="宋体"/>
                      <w:color w:val="auto"/>
                      <w:vertAlign w:val="superscript"/>
                    </w:rPr>
                    <w:t>③</w:t>
                  </w:r>
                  <w:r>
                    <w:rPr>
                      <w:color w:val="auto"/>
                    </w:rPr>
                    <w:t>的建设项目。</w:t>
                  </w:r>
                </w:p>
              </w:tc>
              <w:tc>
                <w:tcPr>
                  <w:tcW w:w="1784" w:type="pct"/>
                  <w:tcMar>
                    <w:left w:w="57" w:type="dxa"/>
                    <w:right w:w="57" w:type="dxa"/>
                  </w:tcMar>
                  <w:vAlign w:val="center"/>
                </w:tcPr>
                <w:p w14:paraId="444D045F">
                  <w:pPr>
                    <w:autoSpaceDE w:val="0"/>
                    <w:autoSpaceDN w:val="0"/>
                    <w:adjustRightInd w:val="0"/>
                    <w:snapToGrid w:val="0"/>
                    <w:rPr>
                      <w:color w:val="auto"/>
                      <w:kern w:val="0"/>
                      <w:szCs w:val="21"/>
                    </w:rPr>
                  </w:pPr>
                  <w:r>
                    <w:rPr>
                      <w:color w:val="auto"/>
                    </w:rPr>
                    <w:t>本项目有毒有害和易燃易爆危险物质未超过临界量。</w:t>
                  </w:r>
                </w:p>
              </w:tc>
              <w:tc>
                <w:tcPr>
                  <w:tcW w:w="707" w:type="pct"/>
                  <w:tcMar>
                    <w:left w:w="57" w:type="dxa"/>
                    <w:right w:w="57" w:type="dxa"/>
                  </w:tcMar>
                  <w:vAlign w:val="center"/>
                </w:tcPr>
                <w:p w14:paraId="2FADAD04">
                  <w:pPr>
                    <w:autoSpaceDE w:val="0"/>
                    <w:autoSpaceDN w:val="0"/>
                    <w:adjustRightInd w:val="0"/>
                    <w:snapToGrid w:val="0"/>
                    <w:jc w:val="center"/>
                    <w:rPr>
                      <w:color w:val="auto"/>
                      <w:kern w:val="0"/>
                      <w:szCs w:val="21"/>
                    </w:rPr>
                  </w:pPr>
                  <w:r>
                    <w:rPr>
                      <w:color w:val="auto"/>
                      <w:kern w:val="0"/>
                      <w:szCs w:val="21"/>
                    </w:rPr>
                    <w:t>否</w:t>
                  </w:r>
                </w:p>
              </w:tc>
            </w:tr>
            <w:tr w14:paraId="34036A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1" w:type="pct"/>
                  <w:tcMar>
                    <w:left w:w="57" w:type="dxa"/>
                    <w:right w:w="57" w:type="dxa"/>
                  </w:tcMar>
                  <w:vAlign w:val="center"/>
                </w:tcPr>
                <w:p w14:paraId="71E5D942">
                  <w:pPr>
                    <w:autoSpaceDE w:val="0"/>
                    <w:autoSpaceDN w:val="0"/>
                    <w:adjustRightInd w:val="0"/>
                    <w:snapToGrid w:val="0"/>
                    <w:jc w:val="center"/>
                    <w:rPr>
                      <w:color w:val="auto"/>
                      <w:kern w:val="0"/>
                      <w:szCs w:val="21"/>
                    </w:rPr>
                  </w:pPr>
                  <w:r>
                    <w:rPr>
                      <w:color w:val="auto"/>
                      <w:kern w:val="0"/>
                      <w:szCs w:val="21"/>
                    </w:rPr>
                    <w:t>生态</w:t>
                  </w:r>
                </w:p>
              </w:tc>
              <w:tc>
                <w:tcPr>
                  <w:tcW w:w="1848" w:type="pct"/>
                  <w:tcMar>
                    <w:left w:w="57" w:type="dxa"/>
                    <w:right w:w="57" w:type="dxa"/>
                  </w:tcMar>
                  <w:vAlign w:val="center"/>
                </w:tcPr>
                <w:p w14:paraId="60A290EB">
                  <w:pPr>
                    <w:autoSpaceDE w:val="0"/>
                    <w:autoSpaceDN w:val="0"/>
                    <w:adjustRightInd w:val="0"/>
                    <w:snapToGrid w:val="0"/>
                    <w:rPr>
                      <w:color w:val="auto"/>
                      <w:kern w:val="0"/>
                      <w:szCs w:val="21"/>
                    </w:rPr>
                  </w:pPr>
                  <w:r>
                    <w:rPr>
                      <w:color w:val="auto"/>
                    </w:rPr>
                    <w:t>取水口下游500米范围内有重要水生生物的自然产卵场、索饵场、越冬场和洄游通道的新增河道取水的污染类建设项目。</w:t>
                  </w:r>
                </w:p>
              </w:tc>
              <w:tc>
                <w:tcPr>
                  <w:tcW w:w="1784" w:type="pct"/>
                  <w:tcMar>
                    <w:left w:w="57" w:type="dxa"/>
                    <w:right w:w="57" w:type="dxa"/>
                  </w:tcMar>
                  <w:vAlign w:val="center"/>
                </w:tcPr>
                <w:p w14:paraId="2356FEA5">
                  <w:pPr>
                    <w:pStyle w:val="80"/>
                    <w:rPr>
                      <w:color w:val="auto"/>
                      <w:kern w:val="0"/>
                      <w:szCs w:val="21"/>
                    </w:rPr>
                  </w:pPr>
                  <w:r>
                    <w:rPr>
                      <w:color w:val="auto"/>
                    </w:rPr>
                    <w:t>本项目不涉及取水口。</w:t>
                  </w:r>
                </w:p>
              </w:tc>
              <w:tc>
                <w:tcPr>
                  <w:tcW w:w="707" w:type="pct"/>
                  <w:tcMar>
                    <w:left w:w="57" w:type="dxa"/>
                    <w:right w:w="57" w:type="dxa"/>
                  </w:tcMar>
                  <w:vAlign w:val="center"/>
                </w:tcPr>
                <w:p w14:paraId="0DAB19A9">
                  <w:pPr>
                    <w:autoSpaceDE w:val="0"/>
                    <w:autoSpaceDN w:val="0"/>
                    <w:adjustRightInd w:val="0"/>
                    <w:snapToGrid w:val="0"/>
                    <w:jc w:val="center"/>
                    <w:rPr>
                      <w:color w:val="auto"/>
                      <w:kern w:val="0"/>
                      <w:szCs w:val="21"/>
                    </w:rPr>
                  </w:pPr>
                  <w:r>
                    <w:rPr>
                      <w:color w:val="auto"/>
                      <w:kern w:val="0"/>
                      <w:szCs w:val="21"/>
                    </w:rPr>
                    <w:t>否</w:t>
                  </w:r>
                </w:p>
              </w:tc>
            </w:tr>
            <w:tr w14:paraId="5E0B01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661" w:type="pct"/>
                  <w:tcMar>
                    <w:left w:w="57" w:type="dxa"/>
                    <w:right w:w="57" w:type="dxa"/>
                  </w:tcMar>
                  <w:vAlign w:val="center"/>
                </w:tcPr>
                <w:p w14:paraId="388E1348">
                  <w:pPr>
                    <w:autoSpaceDE w:val="0"/>
                    <w:autoSpaceDN w:val="0"/>
                    <w:adjustRightInd w:val="0"/>
                    <w:snapToGrid w:val="0"/>
                    <w:jc w:val="center"/>
                    <w:rPr>
                      <w:color w:val="auto"/>
                      <w:kern w:val="0"/>
                      <w:szCs w:val="21"/>
                    </w:rPr>
                  </w:pPr>
                  <w:r>
                    <w:rPr>
                      <w:color w:val="auto"/>
                      <w:kern w:val="0"/>
                      <w:szCs w:val="21"/>
                    </w:rPr>
                    <w:t>海洋</w:t>
                  </w:r>
                </w:p>
              </w:tc>
              <w:tc>
                <w:tcPr>
                  <w:tcW w:w="1848" w:type="pct"/>
                  <w:tcMar>
                    <w:left w:w="57" w:type="dxa"/>
                    <w:right w:w="57" w:type="dxa"/>
                  </w:tcMar>
                  <w:vAlign w:val="center"/>
                </w:tcPr>
                <w:p w14:paraId="62709750">
                  <w:pPr>
                    <w:autoSpaceDE w:val="0"/>
                    <w:autoSpaceDN w:val="0"/>
                    <w:adjustRightInd w:val="0"/>
                    <w:snapToGrid w:val="0"/>
                    <w:rPr>
                      <w:color w:val="auto"/>
                      <w:kern w:val="0"/>
                      <w:szCs w:val="21"/>
                    </w:rPr>
                  </w:pPr>
                  <w:r>
                    <w:rPr>
                      <w:color w:val="auto"/>
                    </w:rPr>
                    <w:t>直接向海排放污染物的海洋工程建设项目。</w:t>
                  </w:r>
                </w:p>
              </w:tc>
              <w:tc>
                <w:tcPr>
                  <w:tcW w:w="1784" w:type="pct"/>
                  <w:tcMar>
                    <w:left w:w="57" w:type="dxa"/>
                    <w:right w:w="57" w:type="dxa"/>
                  </w:tcMar>
                  <w:vAlign w:val="center"/>
                </w:tcPr>
                <w:p w14:paraId="6704AE93">
                  <w:pPr>
                    <w:autoSpaceDE w:val="0"/>
                    <w:autoSpaceDN w:val="0"/>
                    <w:adjustRightInd w:val="0"/>
                    <w:snapToGrid w:val="0"/>
                    <w:rPr>
                      <w:color w:val="auto"/>
                      <w:kern w:val="0"/>
                      <w:szCs w:val="21"/>
                    </w:rPr>
                  </w:pPr>
                  <w:r>
                    <w:rPr>
                      <w:color w:val="auto"/>
                    </w:rPr>
                    <w:t>本项目不属于向海洋排放污染物的海洋工程建设项目。</w:t>
                  </w:r>
                </w:p>
              </w:tc>
              <w:tc>
                <w:tcPr>
                  <w:tcW w:w="707" w:type="pct"/>
                  <w:tcMar>
                    <w:left w:w="57" w:type="dxa"/>
                    <w:right w:w="57" w:type="dxa"/>
                  </w:tcMar>
                  <w:vAlign w:val="center"/>
                </w:tcPr>
                <w:p w14:paraId="38C7F884">
                  <w:pPr>
                    <w:autoSpaceDE w:val="0"/>
                    <w:autoSpaceDN w:val="0"/>
                    <w:adjustRightInd w:val="0"/>
                    <w:snapToGrid w:val="0"/>
                    <w:jc w:val="center"/>
                    <w:rPr>
                      <w:color w:val="auto"/>
                      <w:kern w:val="0"/>
                      <w:szCs w:val="21"/>
                    </w:rPr>
                  </w:pPr>
                  <w:r>
                    <w:rPr>
                      <w:color w:val="auto"/>
                      <w:kern w:val="0"/>
                      <w:szCs w:val="21"/>
                    </w:rPr>
                    <w:t>否</w:t>
                  </w:r>
                </w:p>
              </w:tc>
            </w:tr>
            <w:tr w14:paraId="165E79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28" w:type="dxa"/>
                  <w:left w:w="28" w:type="dxa"/>
                  <w:bottom w:w="28" w:type="dxa"/>
                  <w:right w:w="28" w:type="dxa"/>
                </w:tblCellMar>
              </w:tblPrEx>
              <w:tc>
                <w:tcPr>
                  <w:tcW w:w="5000" w:type="pct"/>
                  <w:gridSpan w:val="4"/>
                  <w:tcMar>
                    <w:left w:w="57" w:type="dxa"/>
                    <w:right w:w="57" w:type="dxa"/>
                  </w:tcMar>
                  <w:vAlign w:val="center"/>
                </w:tcPr>
                <w:p w14:paraId="270457F8">
                  <w:pPr>
                    <w:autoSpaceDE w:val="0"/>
                    <w:autoSpaceDN w:val="0"/>
                    <w:adjustRightInd w:val="0"/>
                    <w:snapToGrid w:val="0"/>
                    <w:rPr>
                      <w:color w:val="auto"/>
                      <w:sz w:val="18"/>
                      <w:szCs w:val="18"/>
                    </w:rPr>
                  </w:pPr>
                  <w:r>
                    <w:rPr>
                      <w:color w:val="auto"/>
                      <w:sz w:val="18"/>
                      <w:szCs w:val="18"/>
                    </w:rPr>
                    <w:t>注：</w:t>
                  </w:r>
                  <w:r>
                    <w:rPr>
                      <w:rFonts w:hint="eastAsia" w:ascii="宋体" w:hAnsi="宋体" w:cs="宋体"/>
                      <w:color w:val="auto"/>
                      <w:sz w:val="18"/>
                      <w:szCs w:val="18"/>
                    </w:rPr>
                    <w:t>①</w:t>
                  </w:r>
                  <w:r>
                    <w:rPr>
                      <w:color w:val="auto"/>
                      <w:sz w:val="18"/>
                      <w:szCs w:val="18"/>
                    </w:rPr>
                    <w:t>废气中有毒有害污染物指纳入《有毒有害大气污染物名录》的污染物（不包括无排放标准的污染物）。</w:t>
                  </w:r>
                </w:p>
                <w:p w14:paraId="583DA875">
                  <w:pPr>
                    <w:autoSpaceDE w:val="0"/>
                    <w:autoSpaceDN w:val="0"/>
                    <w:adjustRightInd w:val="0"/>
                    <w:snapToGrid w:val="0"/>
                    <w:rPr>
                      <w:color w:val="auto"/>
                      <w:sz w:val="18"/>
                      <w:szCs w:val="18"/>
                    </w:rPr>
                  </w:pPr>
                  <w:r>
                    <w:rPr>
                      <w:rFonts w:hint="eastAsia" w:ascii="宋体" w:hAnsi="宋体" w:cs="宋体"/>
                      <w:color w:val="auto"/>
                      <w:sz w:val="18"/>
                      <w:szCs w:val="18"/>
                    </w:rPr>
                    <w:t>②</w:t>
                  </w:r>
                  <w:r>
                    <w:rPr>
                      <w:color w:val="auto"/>
                      <w:sz w:val="18"/>
                      <w:szCs w:val="18"/>
                    </w:rPr>
                    <w:t>环境空气保护目标指自然保护区、风景名胜区、居住区、文化区和农村地区中人群较集中的区域。</w:t>
                  </w:r>
                </w:p>
                <w:p w14:paraId="423637BE">
                  <w:pPr>
                    <w:autoSpaceDE w:val="0"/>
                    <w:autoSpaceDN w:val="0"/>
                    <w:adjustRightInd w:val="0"/>
                    <w:snapToGrid w:val="0"/>
                    <w:rPr>
                      <w:color w:val="auto"/>
                      <w:kern w:val="0"/>
                      <w:szCs w:val="21"/>
                    </w:rPr>
                  </w:pPr>
                  <w:r>
                    <w:rPr>
                      <w:rFonts w:hint="eastAsia" w:ascii="宋体" w:hAnsi="宋体" w:cs="宋体"/>
                      <w:color w:val="auto"/>
                      <w:sz w:val="18"/>
                      <w:szCs w:val="18"/>
                    </w:rPr>
                    <w:t>③</w:t>
                  </w:r>
                  <w:r>
                    <w:rPr>
                      <w:color w:val="auto"/>
                      <w:sz w:val="18"/>
                      <w:szCs w:val="18"/>
                    </w:rPr>
                    <w:t>临界量及其计算方法参考《建设项目环境风险评价技术导则》（HJ 169）附录B、附录C。</w:t>
                  </w:r>
                </w:p>
              </w:tc>
            </w:tr>
          </w:tbl>
          <w:p w14:paraId="71EF07D3">
            <w:pPr>
              <w:jc w:val="center"/>
              <w:rPr>
                <w:color w:val="auto"/>
                <w:sz w:val="24"/>
              </w:rPr>
            </w:pPr>
            <w:r>
              <w:rPr>
                <w:color w:val="auto"/>
                <w:kern w:val="0"/>
                <w:sz w:val="24"/>
              </w:rPr>
              <w:t>根据上表分析可知，本项目无需开展专项评价工作。</w:t>
            </w:r>
          </w:p>
        </w:tc>
      </w:tr>
      <w:tr w14:paraId="147AE5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35" w:hRule="atLeast"/>
          <w:jc w:val="center"/>
        </w:trPr>
        <w:tc>
          <w:tcPr>
            <w:tcW w:w="1550" w:type="dxa"/>
            <w:vAlign w:val="center"/>
          </w:tcPr>
          <w:p w14:paraId="04D70860">
            <w:pPr>
              <w:jc w:val="center"/>
              <w:rPr>
                <w:b/>
                <w:bCs/>
                <w:color w:val="auto"/>
                <w:sz w:val="24"/>
              </w:rPr>
            </w:pPr>
            <w:r>
              <w:rPr>
                <w:b/>
                <w:bCs/>
                <w:color w:val="auto"/>
                <w:sz w:val="24"/>
              </w:rPr>
              <w:t>规划</w:t>
            </w:r>
          </w:p>
          <w:p w14:paraId="01F9CC23">
            <w:pPr>
              <w:jc w:val="center"/>
              <w:rPr>
                <w:b/>
                <w:bCs/>
                <w:color w:val="auto"/>
                <w:sz w:val="24"/>
              </w:rPr>
            </w:pPr>
            <w:r>
              <w:rPr>
                <w:b/>
                <w:bCs/>
                <w:color w:val="auto"/>
                <w:sz w:val="24"/>
              </w:rPr>
              <w:t>情况</w:t>
            </w:r>
          </w:p>
        </w:tc>
        <w:tc>
          <w:tcPr>
            <w:tcW w:w="7318" w:type="dxa"/>
            <w:gridSpan w:val="3"/>
            <w:vAlign w:val="center"/>
          </w:tcPr>
          <w:p w14:paraId="2E9FB3A3">
            <w:pPr>
              <w:pStyle w:val="78"/>
              <w:rPr>
                <w:color w:val="auto"/>
              </w:rPr>
            </w:pPr>
            <w:r>
              <w:rPr>
                <w:color w:val="auto"/>
              </w:rPr>
              <w:t>表1-2 行业相关规划信息一览表</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58"/>
              <w:gridCol w:w="2177"/>
              <w:gridCol w:w="1305"/>
              <w:gridCol w:w="2862"/>
            </w:tblGrid>
            <w:tr w14:paraId="520388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42" w:type="dxa"/>
                  <w:vAlign w:val="center"/>
                </w:tcPr>
                <w:p w14:paraId="7FFDD5BA">
                  <w:pPr>
                    <w:pStyle w:val="80"/>
                    <w:rPr>
                      <w:color w:val="auto"/>
                    </w:rPr>
                  </w:pPr>
                  <w:r>
                    <w:rPr>
                      <w:color w:val="auto"/>
                    </w:rPr>
                    <w:t>序号</w:t>
                  </w:r>
                </w:p>
              </w:tc>
              <w:tc>
                <w:tcPr>
                  <w:tcW w:w="2129" w:type="dxa"/>
                  <w:vAlign w:val="center"/>
                </w:tcPr>
                <w:p w14:paraId="61A74942">
                  <w:pPr>
                    <w:pStyle w:val="80"/>
                    <w:rPr>
                      <w:color w:val="auto"/>
                    </w:rPr>
                  </w:pPr>
                  <w:r>
                    <w:rPr>
                      <w:color w:val="auto"/>
                    </w:rPr>
                    <w:t>名称</w:t>
                  </w:r>
                </w:p>
              </w:tc>
              <w:tc>
                <w:tcPr>
                  <w:tcW w:w="1276" w:type="dxa"/>
                  <w:vAlign w:val="center"/>
                </w:tcPr>
                <w:p w14:paraId="602B2552">
                  <w:pPr>
                    <w:pStyle w:val="80"/>
                    <w:rPr>
                      <w:color w:val="auto"/>
                    </w:rPr>
                  </w:pPr>
                  <w:r>
                    <w:rPr>
                      <w:color w:val="auto"/>
                    </w:rPr>
                    <w:t>审批机关</w:t>
                  </w:r>
                </w:p>
              </w:tc>
              <w:tc>
                <w:tcPr>
                  <w:tcW w:w="2799" w:type="dxa"/>
                  <w:vAlign w:val="center"/>
                </w:tcPr>
                <w:p w14:paraId="26CEB78C">
                  <w:pPr>
                    <w:pStyle w:val="80"/>
                    <w:rPr>
                      <w:color w:val="auto"/>
                    </w:rPr>
                  </w:pPr>
                  <w:r>
                    <w:rPr>
                      <w:color w:val="auto"/>
                    </w:rPr>
                    <w:t>审批文件名称及文号</w:t>
                  </w:r>
                </w:p>
              </w:tc>
            </w:tr>
            <w:tr w14:paraId="34DD1FE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42" w:type="dxa"/>
                  <w:vAlign w:val="center"/>
                </w:tcPr>
                <w:p w14:paraId="57D86F58">
                  <w:pPr>
                    <w:pStyle w:val="80"/>
                    <w:rPr>
                      <w:color w:val="auto"/>
                    </w:rPr>
                  </w:pPr>
                  <w:r>
                    <w:rPr>
                      <w:color w:val="auto"/>
                    </w:rPr>
                    <w:t>1</w:t>
                  </w:r>
                </w:p>
              </w:tc>
              <w:tc>
                <w:tcPr>
                  <w:tcW w:w="2129" w:type="dxa"/>
                  <w:vAlign w:val="center"/>
                </w:tcPr>
                <w:p w14:paraId="3DF6D35E">
                  <w:pPr>
                    <w:pStyle w:val="80"/>
                    <w:jc w:val="both"/>
                    <w:rPr>
                      <w:color w:val="auto"/>
                    </w:rPr>
                  </w:pPr>
                  <w:r>
                    <w:rPr>
                      <w:color w:val="auto"/>
                    </w:rPr>
                    <w:t>《黑龙江省城乡固体废物分类治理布局规划（2019-2035年）（2021年修订版）》</w:t>
                  </w:r>
                </w:p>
              </w:tc>
              <w:tc>
                <w:tcPr>
                  <w:tcW w:w="1276" w:type="dxa"/>
                  <w:vAlign w:val="center"/>
                </w:tcPr>
                <w:p w14:paraId="41D3FCFC">
                  <w:pPr>
                    <w:pStyle w:val="80"/>
                    <w:jc w:val="both"/>
                    <w:rPr>
                      <w:color w:val="auto"/>
                    </w:rPr>
                  </w:pPr>
                  <w:r>
                    <w:rPr>
                      <w:color w:val="auto"/>
                    </w:rPr>
                    <w:t>黑龙江省住房和城乡建设厅</w:t>
                  </w:r>
                </w:p>
              </w:tc>
              <w:tc>
                <w:tcPr>
                  <w:tcW w:w="2799" w:type="dxa"/>
                  <w:vAlign w:val="center"/>
                </w:tcPr>
                <w:p w14:paraId="50B9AB56">
                  <w:pPr>
                    <w:pStyle w:val="82"/>
                    <w:rPr>
                      <w:color w:val="auto"/>
                    </w:rPr>
                  </w:pPr>
                  <w:r>
                    <w:rPr>
                      <w:color w:val="auto"/>
                    </w:rPr>
                    <w:t>关于印发《黑龙江省城乡固体废物分类治理布局规划（2019-2035年）2021年修订版》的通知（黑建城管[2021]2号）。</w:t>
                  </w:r>
                </w:p>
              </w:tc>
            </w:tr>
            <w:tr w14:paraId="1BF773F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42" w:type="dxa"/>
                  <w:vAlign w:val="center"/>
                </w:tcPr>
                <w:p w14:paraId="45C60A46">
                  <w:pPr>
                    <w:pStyle w:val="80"/>
                    <w:rPr>
                      <w:color w:val="auto"/>
                    </w:rPr>
                  </w:pPr>
                  <w:r>
                    <w:rPr>
                      <w:color w:val="auto"/>
                    </w:rPr>
                    <w:t>2</w:t>
                  </w:r>
                </w:p>
              </w:tc>
              <w:tc>
                <w:tcPr>
                  <w:tcW w:w="2129" w:type="dxa"/>
                  <w:vAlign w:val="center"/>
                </w:tcPr>
                <w:p w14:paraId="42B8AF07">
                  <w:pPr>
                    <w:pStyle w:val="80"/>
                    <w:jc w:val="both"/>
                    <w:rPr>
                      <w:color w:val="FF0000"/>
                    </w:rPr>
                  </w:pPr>
                  <w:r>
                    <w:rPr>
                      <w:rFonts w:hint="eastAsia"/>
                      <w:color w:val="FF0000"/>
                    </w:rPr>
                    <w:t>《佳木斯市国土空间总体规划（2021—2035年）</w:t>
                  </w:r>
                  <w:r>
                    <w:rPr>
                      <w:color w:val="FF0000"/>
                    </w:rPr>
                    <w:t>》</w:t>
                  </w:r>
                </w:p>
              </w:tc>
              <w:tc>
                <w:tcPr>
                  <w:tcW w:w="1276" w:type="dxa"/>
                  <w:vAlign w:val="center"/>
                </w:tcPr>
                <w:p w14:paraId="0E7C835E">
                  <w:pPr>
                    <w:pStyle w:val="80"/>
                    <w:jc w:val="both"/>
                    <w:rPr>
                      <w:color w:val="FF0000"/>
                    </w:rPr>
                  </w:pPr>
                  <w:r>
                    <w:rPr>
                      <w:rFonts w:hint="eastAsia"/>
                      <w:color w:val="FF0000"/>
                      <w:lang w:val="en-US" w:eastAsia="zh-CN"/>
                    </w:rPr>
                    <w:t>黑龙江省</w:t>
                  </w:r>
                  <w:r>
                    <w:rPr>
                      <w:color w:val="FF0000"/>
                    </w:rPr>
                    <w:t>人民政府</w:t>
                  </w:r>
                </w:p>
              </w:tc>
              <w:tc>
                <w:tcPr>
                  <w:tcW w:w="2799" w:type="dxa"/>
                  <w:vAlign w:val="center"/>
                </w:tcPr>
                <w:p w14:paraId="43998A46">
                  <w:pPr>
                    <w:pStyle w:val="80"/>
                    <w:jc w:val="both"/>
                    <w:rPr>
                      <w:rFonts w:hint="eastAsia" w:eastAsia="宋体"/>
                      <w:color w:val="FF0000"/>
                      <w:lang w:eastAsia="zh-CN"/>
                    </w:rPr>
                  </w:pPr>
                  <w:r>
                    <w:rPr>
                      <w:color w:val="FF0000"/>
                    </w:rPr>
                    <w:t>关于</w:t>
                  </w:r>
                  <w:r>
                    <w:rPr>
                      <w:rFonts w:hint="eastAsia"/>
                      <w:color w:val="FF0000"/>
                    </w:rPr>
                    <w:t>《佳木斯市国土空间总体规划（2021—2035年）</w:t>
                  </w:r>
                  <w:r>
                    <w:rPr>
                      <w:color w:val="FF0000"/>
                    </w:rPr>
                    <w:t>》的批复（</w:t>
                  </w:r>
                  <w:r>
                    <w:rPr>
                      <w:rFonts w:hint="eastAsia"/>
                      <w:color w:val="FF0000"/>
                    </w:rPr>
                    <w:t>黑政函〔2024〕52号</w:t>
                  </w:r>
                  <w:r>
                    <w:rPr>
                      <w:color w:val="FF0000"/>
                    </w:rPr>
                    <w:t>）</w:t>
                  </w:r>
                  <w:r>
                    <w:rPr>
                      <w:rFonts w:hint="eastAsia"/>
                      <w:color w:val="FF0000"/>
                      <w:lang w:eastAsia="zh-CN"/>
                    </w:rPr>
                    <w:t>。</w:t>
                  </w:r>
                </w:p>
              </w:tc>
            </w:tr>
            <w:tr w14:paraId="4B824FD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42" w:type="dxa"/>
                  <w:vAlign w:val="center"/>
                </w:tcPr>
                <w:p w14:paraId="6D7A8764">
                  <w:pPr>
                    <w:pStyle w:val="80"/>
                    <w:rPr>
                      <w:rFonts w:hint="eastAsia" w:eastAsia="宋体"/>
                      <w:color w:val="auto"/>
                      <w:lang w:val="en-US" w:eastAsia="zh-CN"/>
                    </w:rPr>
                  </w:pPr>
                  <w:r>
                    <w:rPr>
                      <w:rFonts w:hint="eastAsia"/>
                      <w:color w:val="auto"/>
                      <w:lang w:val="en-US" w:eastAsia="zh-CN"/>
                    </w:rPr>
                    <w:t>3</w:t>
                  </w:r>
                </w:p>
              </w:tc>
              <w:tc>
                <w:tcPr>
                  <w:tcW w:w="2129" w:type="dxa"/>
                  <w:vAlign w:val="center"/>
                </w:tcPr>
                <w:p w14:paraId="7F2DD988">
                  <w:pPr>
                    <w:pStyle w:val="80"/>
                    <w:jc w:val="both"/>
                    <w:rPr>
                      <w:rFonts w:hint="eastAsia"/>
                      <w:color w:val="FF0000"/>
                    </w:rPr>
                  </w:pPr>
                  <w:r>
                    <w:rPr>
                      <w:rFonts w:hint="eastAsia"/>
                      <w:color w:val="FF0000"/>
                    </w:rPr>
                    <w:t>《</w:t>
                  </w:r>
                  <w:r>
                    <w:rPr>
                      <w:rFonts w:hint="eastAsia"/>
                      <w:color w:val="FF0000"/>
                      <w:lang w:val="en-US" w:eastAsia="zh-CN"/>
                    </w:rPr>
                    <w:t>黑龙江省</w:t>
                  </w:r>
                  <w:r>
                    <w:rPr>
                      <w:rFonts w:hint="eastAsia"/>
                      <w:color w:val="FF0000"/>
                    </w:rPr>
                    <w:t>佳木斯市城乡固体废物分类治理专项规划（2019-2035年）</w:t>
                  </w:r>
                  <w:r>
                    <w:rPr>
                      <w:color w:val="FF0000"/>
                    </w:rPr>
                    <w:t>》</w:t>
                  </w:r>
                </w:p>
              </w:tc>
              <w:tc>
                <w:tcPr>
                  <w:tcW w:w="1276" w:type="dxa"/>
                  <w:vAlign w:val="center"/>
                </w:tcPr>
                <w:p w14:paraId="100AFAA2">
                  <w:pPr>
                    <w:pStyle w:val="80"/>
                    <w:jc w:val="both"/>
                    <w:rPr>
                      <w:rFonts w:hint="eastAsia"/>
                      <w:color w:val="FF0000"/>
                      <w:lang w:val="en-US" w:eastAsia="zh-CN"/>
                    </w:rPr>
                  </w:pPr>
                  <w:r>
                    <w:rPr>
                      <w:rFonts w:hint="eastAsia"/>
                      <w:color w:val="FF0000"/>
                      <w:lang w:val="en-US" w:eastAsia="zh-CN"/>
                    </w:rPr>
                    <w:t>佳木斯市</w:t>
                  </w:r>
                  <w:r>
                    <w:rPr>
                      <w:color w:val="FF0000"/>
                    </w:rPr>
                    <w:t>人民政府</w:t>
                  </w:r>
                  <w:r>
                    <w:commentReference w:id="0"/>
                  </w:r>
                </w:p>
              </w:tc>
              <w:tc>
                <w:tcPr>
                  <w:tcW w:w="2799" w:type="dxa"/>
                  <w:vAlign w:val="center"/>
                </w:tcPr>
                <w:p w14:paraId="2221E94A">
                  <w:pPr>
                    <w:pStyle w:val="80"/>
                    <w:jc w:val="both"/>
                    <w:rPr>
                      <w:color w:val="FF0000"/>
                    </w:rPr>
                  </w:pPr>
                </w:p>
              </w:tc>
            </w:tr>
            <w:tr w14:paraId="292F3E0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42" w:type="dxa"/>
                  <w:vAlign w:val="center"/>
                </w:tcPr>
                <w:p w14:paraId="7A707049">
                  <w:pPr>
                    <w:pStyle w:val="80"/>
                    <w:rPr>
                      <w:rFonts w:hint="eastAsia"/>
                      <w:color w:val="auto"/>
                      <w:lang w:val="en-US" w:eastAsia="zh-CN"/>
                    </w:rPr>
                  </w:pPr>
                </w:p>
              </w:tc>
              <w:tc>
                <w:tcPr>
                  <w:tcW w:w="2129" w:type="dxa"/>
                  <w:vAlign w:val="center"/>
                </w:tcPr>
                <w:p w14:paraId="711AE0A5">
                  <w:pPr>
                    <w:pStyle w:val="80"/>
                    <w:jc w:val="both"/>
                    <w:rPr>
                      <w:rFonts w:hint="eastAsia"/>
                      <w:color w:val="FF0000"/>
                    </w:rPr>
                  </w:pPr>
                  <w:r>
                    <w:rPr>
                      <w:rFonts w:hint="eastAsia"/>
                      <w:color w:val="FF0000"/>
                    </w:rPr>
                    <w:t>《黑龙江省报废机动车回收拆解行业“十四五”发展规划》</w:t>
                  </w:r>
                </w:p>
              </w:tc>
              <w:tc>
                <w:tcPr>
                  <w:tcW w:w="1276" w:type="dxa"/>
                  <w:vAlign w:val="center"/>
                </w:tcPr>
                <w:p w14:paraId="70D4EB8C">
                  <w:pPr>
                    <w:pStyle w:val="80"/>
                    <w:jc w:val="both"/>
                    <w:rPr>
                      <w:rFonts w:hint="eastAsia"/>
                      <w:color w:val="FF0000"/>
                      <w:lang w:val="en-US" w:eastAsia="zh-CN"/>
                    </w:rPr>
                  </w:pPr>
                </w:p>
              </w:tc>
              <w:tc>
                <w:tcPr>
                  <w:tcW w:w="2799" w:type="dxa"/>
                  <w:vAlign w:val="center"/>
                </w:tcPr>
                <w:p w14:paraId="57804AF5">
                  <w:pPr>
                    <w:pStyle w:val="80"/>
                    <w:jc w:val="both"/>
                    <w:rPr>
                      <w:color w:val="FF0000"/>
                    </w:rPr>
                  </w:pPr>
                </w:p>
              </w:tc>
            </w:tr>
          </w:tbl>
          <w:p w14:paraId="6CCFFEEE">
            <w:pPr>
              <w:pStyle w:val="29"/>
              <w:jc w:val="center"/>
              <w:rPr>
                <w:rFonts w:hint="default" w:ascii="Times New Roman" w:eastAsia="宋体"/>
                <w:color w:val="auto"/>
                <w:lang w:val="en-US" w:eastAsia="zh-CN"/>
              </w:rPr>
            </w:pPr>
          </w:p>
        </w:tc>
      </w:tr>
      <w:tr w14:paraId="4F63881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33" w:hRule="atLeast"/>
          <w:jc w:val="center"/>
        </w:trPr>
        <w:tc>
          <w:tcPr>
            <w:tcW w:w="1550" w:type="dxa"/>
            <w:vAlign w:val="center"/>
          </w:tcPr>
          <w:p w14:paraId="0E06F5CA">
            <w:pPr>
              <w:jc w:val="center"/>
              <w:rPr>
                <w:b/>
                <w:bCs/>
                <w:color w:val="auto"/>
                <w:sz w:val="24"/>
              </w:rPr>
            </w:pPr>
            <w:r>
              <w:rPr>
                <w:b/>
                <w:bCs/>
                <w:color w:val="auto"/>
                <w:sz w:val="24"/>
              </w:rPr>
              <w:t>规划环境影响评价情况</w:t>
            </w:r>
          </w:p>
        </w:tc>
        <w:tc>
          <w:tcPr>
            <w:tcW w:w="7318" w:type="dxa"/>
            <w:gridSpan w:val="3"/>
            <w:vAlign w:val="center"/>
          </w:tcPr>
          <w:p w14:paraId="7FF4FA06">
            <w:pPr>
              <w:pStyle w:val="78"/>
              <w:rPr>
                <w:color w:val="auto"/>
              </w:rPr>
            </w:pPr>
            <w:r>
              <w:rPr>
                <w:color w:val="auto"/>
              </w:rPr>
              <w:t>表1-3 规划环境影响评价文件信息一览表</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59"/>
              <w:gridCol w:w="1883"/>
              <w:gridCol w:w="1598"/>
              <w:gridCol w:w="2862"/>
            </w:tblGrid>
            <w:tr w14:paraId="33D2F78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42" w:type="dxa"/>
                  <w:vAlign w:val="center"/>
                </w:tcPr>
                <w:p w14:paraId="0F3D8846">
                  <w:pPr>
                    <w:pStyle w:val="51"/>
                    <w:rPr>
                      <w:b/>
                      <w:bCs/>
                      <w:color w:val="auto"/>
                      <w:szCs w:val="21"/>
                    </w:rPr>
                  </w:pPr>
                  <w:r>
                    <w:rPr>
                      <w:b/>
                      <w:bCs/>
                      <w:color w:val="auto"/>
                      <w:szCs w:val="21"/>
                    </w:rPr>
                    <w:t>序号</w:t>
                  </w:r>
                </w:p>
              </w:tc>
              <w:tc>
                <w:tcPr>
                  <w:tcW w:w="1842" w:type="dxa"/>
                  <w:vAlign w:val="center"/>
                </w:tcPr>
                <w:p w14:paraId="34A8597C">
                  <w:pPr>
                    <w:pStyle w:val="51"/>
                    <w:rPr>
                      <w:b/>
                      <w:bCs/>
                      <w:color w:val="auto"/>
                      <w:szCs w:val="21"/>
                    </w:rPr>
                  </w:pPr>
                  <w:r>
                    <w:rPr>
                      <w:b/>
                      <w:bCs/>
                      <w:color w:val="auto"/>
                      <w:szCs w:val="21"/>
                    </w:rPr>
                    <w:t>名称</w:t>
                  </w:r>
                </w:p>
              </w:tc>
              <w:tc>
                <w:tcPr>
                  <w:tcW w:w="1563" w:type="dxa"/>
                  <w:vAlign w:val="center"/>
                </w:tcPr>
                <w:p w14:paraId="002AC661">
                  <w:pPr>
                    <w:pStyle w:val="51"/>
                    <w:rPr>
                      <w:b/>
                      <w:bCs/>
                      <w:color w:val="auto"/>
                      <w:szCs w:val="21"/>
                    </w:rPr>
                  </w:pPr>
                  <w:r>
                    <w:rPr>
                      <w:b/>
                      <w:bCs/>
                      <w:color w:val="auto"/>
                      <w:szCs w:val="21"/>
                    </w:rPr>
                    <w:t>召集审查机关</w:t>
                  </w:r>
                </w:p>
              </w:tc>
              <w:tc>
                <w:tcPr>
                  <w:tcW w:w="2799" w:type="dxa"/>
                  <w:vAlign w:val="center"/>
                </w:tcPr>
                <w:p w14:paraId="686120CD">
                  <w:pPr>
                    <w:pStyle w:val="51"/>
                    <w:rPr>
                      <w:b/>
                      <w:bCs/>
                      <w:color w:val="auto"/>
                      <w:szCs w:val="21"/>
                    </w:rPr>
                  </w:pPr>
                  <w:r>
                    <w:rPr>
                      <w:b/>
                      <w:bCs/>
                      <w:color w:val="auto"/>
                      <w:szCs w:val="21"/>
                    </w:rPr>
                    <w:t>审批文件名称及文号</w:t>
                  </w:r>
                </w:p>
              </w:tc>
            </w:tr>
            <w:tr w14:paraId="5BAA179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c>
                <w:tcPr>
                  <w:tcW w:w="742" w:type="dxa"/>
                  <w:vAlign w:val="center"/>
                </w:tcPr>
                <w:p w14:paraId="566EC17A">
                  <w:pPr>
                    <w:pStyle w:val="51"/>
                    <w:rPr>
                      <w:color w:val="auto"/>
                      <w:szCs w:val="21"/>
                    </w:rPr>
                  </w:pPr>
                  <w:r>
                    <w:rPr>
                      <w:color w:val="auto"/>
                      <w:szCs w:val="21"/>
                    </w:rPr>
                    <w:t>1</w:t>
                  </w:r>
                </w:p>
              </w:tc>
              <w:tc>
                <w:tcPr>
                  <w:tcW w:w="1842" w:type="dxa"/>
                  <w:vAlign w:val="center"/>
                </w:tcPr>
                <w:p w14:paraId="2F8B0F8D">
                  <w:pPr>
                    <w:pStyle w:val="51"/>
                    <w:jc w:val="both"/>
                    <w:rPr>
                      <w:color w:val="auto"/>
                      <w:szCs w:val="21"/>
                    </w:rPr>
                  </w:pPr>
                  <w:r>
                    <w:rPr>
                      <w:color w:val="auto"/>
                      <w:szCs w:val="21"/>
                    </w:rPr>
                    <w:t>《黑龙江省哈尔滨市城乡固体废物分类治理专项规划（2019-2035年）环境影响报告书》</w:t>
                  </w:r>
                </w:p>
              </w:tc>
              <w:tc>
                <w:tcPr>
                  <w:tcW w:w="1563" w:type="dxa"/>
                  <w:vAlign w:val="center"/>
                </w:tcPr>
                <w:p w14:paraId="067A2053">
                  <w:pPr>
                    <w:pStyle w:val="82"/>
                    <w:rPr>
                      <w:color w:val="auto"/>
                    </w:rPr>
                  </w:pPr>
                  <w:r>
                    <w:rPr>
                      <w:color w:val="auto"/>
                    </w:rPr>
                    <w:t>哈尔滨市生态环境局</w:t>
                  </w:r>
                </w:p>
              </w:tc>
              <w:tc>
                <w:tcPr>
                  <w:tcW w:w="2799" w:type="dxa"/>
                  <w:vAlign w:val="center"/>
                </w:tcPr>
                <w:p w14:paraId="355085EC">
                  <w:pPr>
                    <w:pStyle w:val="51"/>
                    <w:jc w:val="both"/>
                    <w:rPr>
                      <w:rFonts w:hint="eastAsia" w:eastAsia="宋体"/>
                      <w:color w:val="auto"/>
                      <w:szCs w:val="21"/>
                      <w:lang w:eastAsia="zh-CN"/>
                    </w:rPr>
                  </w:pPr>
                  <w:r>
                    <w:rPr>
                      <w:color w:val="auto"/>
                      <w:szCs w:val="21"/>
                    </w:rPr>
                    <w:t>关于对《黑龙江省哈尔滨市城市城乡固体废物分类治理专项规划（2019-2035年）环境影响报告书》的审查意见（哈环规审[2019]2号）</w:t>
                  </w:r>
                  <w:r>
                    <w:rPr>
                      <w:rFonts w:hint="eastAsia"/>
                      <w:color w:val="auto"/>
                      <w:szCs w:val="21"/>
                      <w:lang w:eastAsia="zh-CN"/>
                    </w:rPr>
                    <w:t>。</w:t>
                  </w:r>
                </w:p>
              </w:tc>
            </w:tr>
          </w:tbl>
          <w:p w14:paraId="479256B3">
            <w:pPr>
              <w:spacing w:line="360" w:lineRule="auto"/>
              <w:jc w:val="center"/>
              <w:rPr>
                <w:rFonts w:hint="eastAsia" w:eastAsia="宋体"/>
                <w:color w:val="auto"/>
                <w:sz w:val="24"/>
                <w:lang w:val="en-US" w:eastAsia="zh-CN"/>
              </w:rPr>
            </w:pPr>
          </w:p>
        </w:tc>
      </w:tr>
      <w:tr w14:paraId="68E57EA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333" w:hRule="atLeast"/>
          <w:jc w:val="center"/>
        </w:trPr>
        <w:tc>
          <w:tcPr>
            <w:tcW w:w="1550" w:type="dxa"/>
            <w:vAlign w:val="center"/>
          </w:tcPr>
          <w:p w14:paraId="7481E519">
            <w:pPr>
              <w:jc w:val="center"/>
              <w:rPr>
                <w:b/>
                <w:bCs/>
                <w:color w:val="auto"/>
                <w:sz w:val="24"/>
              </w:rPr>
            </w:pPr>
            <w:r>
              <w:rPr>
                <w:b/>
                <w:bCs/>
                <w:color w:val="auto"/>
                <w:sz w:val="24"/>
              </w:rPr>
              <w:t>规划及规划环境影响评价符合性分析</w:t>
            </w:r>
          </w:p>
        </w:tc>
        <w:tc>
          <w:tcPr>
            <w:tcW w:w="7318" w:type="dxa"/>
            <w:gridSpan w:val="3"/>
          </w:tcPr>
          <w:p w14:paraId="475EF5A7">
            <w:pPr>
              <w:pStyle w:val="84"/>
              <w:rPr>
                <w:color w:val="auto"/>
              </w:rPr>
            </w:pPr>
            <w:r>
              <w:rPr>
                <w:color w:val="auto"/>
              </w:rPr>
              <w:t>一、与《黑龙江省城乡固体废物分类治理布局规划（2019-2035年）2021年修订版》</w:t>
            </w:r>
            <w:r>
              <w:rPr>
                <w:rFonts w:hint="eastAsia"/>
                <w:color w:val="auto"/>
                <w:lang w:val="en-US" w:eastAsia="zh-CN"/>
              </w:rPr>
              <w:t>和《黑龙江省佳木斯市城乡固体废物分类治理专项规划（2019-2035年）》</w:t>
            </w:r>
            <w:r>
              <w:rPr>
                <w:color w:val="auto"/>
              </w:rPr>
              <w:t>符合性分析</w:t>
            </w:r>
          </w:p>
          <w:p w14:paraId="7B5AFE33">
            <w:pPr>
              <w:pStyle w:val="77"/>
              <w:rPr>
                <w:color w:val="auto"/>
              </w:rPr>
            </w:pPr>
            <w:r>
              <w:rPr>
                <w:color w:val="auto"/>
                <w:szCs w:val="32"/>
              </w:rPr>
              <w:t>本项目与《黑龙江省城乡固体废物分类治理布局规划（2019-2035年）2021年修订版》中“第十章 一般工业固体废物治理布局规划 10.7规划布局要求”符合性分析见下表。</w:t>
            </w:r>
          </w:p>
          <w:p w14:paraId="245AB454">
            <w:pPr>
              <w:pStyle w:val="78"/>
              <w:jc w:val="both"/>
              <w:rPr>
                <w:color w:val="auto"/>
                <w:kern w:val="0"/>
                <w:szCs w:val="20"/>
              </w:rPr>
            </w:pPr>
            <w:r>
              <w:rPr>
                <w:color w:val="auto"/>
              </w:rPr>
              <w:t>表1-4 与《黑龙江省城乡固体废物分类治理布局规划（2019-2035年）2021年修订版》符合性分析</w:t>
            </w:r>
          </w:p>
          <w:tbl>
            <w:tblPr>
              <w:tblStyle w:val="19"/>
              <w:tblW w:w="705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45"/>
              <w:gridCol w:w="3232"/>
              <w:gridCol w:w="2975"/>
            </w:tblGrid>
            <w:tr w14:paraId="13DA28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845" w:type="dxa"/>
                  <w:vAlign w:val="center"/>
                </w:tcPr>
                <w:p w14:paraId="3331A657">
                  <w:pPr>
                    <w:adjustRightInd w:val="0"/>
                    <w:snapToGrid w:val="0"/>
                    <w:jc w:val="center"/>
                    <w:rPr>
                      <w:snapToGrid w:val="0"/>
                      <w:color w:val="auto"/>
                      <w:kern w:val="0"/>
                      <w:szCs w:val="21"/>
                    </w:rPr>
                  </w:pPr>
                  <w:r>
                    <w:rPr>
                      <w:snapToGrid w:val="0"/>
                      <w:color w:val="auto"/>
                      <w:kern w:val="0"/>
                      <w:szCs w:val="21"/>
                    </w:rPr>
                    <w:t>序号</w:t>
                  </w:r>
                </w:p>
              </w:tc>
              <w:tc>
                <w:tcPr>
                  <w:tcW w:w="3232" w:type="dxa"/>
                </w:tcPr>
                <w:p w14:paraId="10279B0D">
                  <w:pPr>
                    <w:adjustRightInd w:val="0"/>
                    <w:snapToGrid w:val="0"/>
                    <w:jc w:val="center"/>
                    <w:rPr>
                      <w:snapToGrid w:val="0"/>
                      <w:color w:val="auto"/>
                      <w:kern w:val="0"/>
                      <w:szCs w:val="21"/>
                    </w:rPr>
                  </w:pPr>
                  <w:r>
                    <w:rPr>
                      <w:snapToGrid w:val="0"/>
                      <w:color w:val="auto"/>
                      <w:kern w:val="0"/>
                      <w:szCs w:val="21"/>
                    </w:rPr>
                    <w:t>文件要求</w:t>
                  </w:r>
                </w:p>
              </w:tc>
              <w:tc>
                <w:tcPr>
                  <w:tcW w:w="2975" w:type="dxa"/>
                  <w:vAlign w:val="center"/>
                </w:tcPr>
                <w:p w14:paraId="334CDB22">
                  <w:pPr>
                    <w:adjustRightInd w:val="0"/>
                    <w:snapToGrid w:val="0"/>
                    <w:jc w:val="center"/>
                    <w:rPr>
                      <w:snapToGrid w:val="0"/>
                      <w:color w:val="auto"/>
                      <w:kern w:val="0"/>
                      <w:szCs w:val="21"/>
                    </w:rPr>
                  </w:pPr>
                  <w:r>
                    <w:rPr>
                      <w:snapToGrid w:val="0"/>
                      <w:color w:val="auto"/>
                      <w:kern w:val="0"/>
                      <w:szCs w:val="21"/>
                    </w:rPr>
                    <w:t>符合性分析</w:t>
                  </w:r>
                </w:p>
              </w:tc>
            </w:tr>
            <w:tr w14:paraId="41AAE2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845" w:type="dxa"/>
                  <w:vAlign w:val="center"/>
                </w:tcPr>
                <w:p w14:paraId="1E6BFAFF">
                  <w:pPr>
                    <w:adjustRightInd w:val="0"/>
                    <w:snapToGrid w:val="0"/>
                    <w:jc w:val="center"/>
                    <w:rPr>
                      <w:snapToGrid w:val="0"/>
                      <w:color w:val="auto"/>
                      <w:kern w:val="0"/>
                      <w:szCs w:val="21"/>
                    </w:rPr>
                  </w:pPr>
                  <w:r>
                    <w:rPr>
                      <w:color w:val="auto"/>
                      <w:kern w:val="0"/>
                      <w:szCs w:val="21"/>
                    </w:rPr>
                    <w:t>“10.7.1 布局原则”</w:t>
                  </w:r>
                </w:p>
              </w:tc>
              <w:tc>
                <w:tcPr>
                  <w:tcW w:w="3232" w:type="dxa"/>
                </w:tcPr>
                <w:p w14:paraId="03341B96">
                  <w:pPr>
                    <w:autoSpaceDE w:val="0"/>
                    <w:autoSpaceDN w:val="0"/>
                    <w:adjustRightInd w:val="0"/>
                    <w:rPr>
                      <w:color w:val="auto"/>
                      <w:kern w:val="0"/>
                      <w:szCs w:val="21"/>
                    </w:rPr>
                  </w:pPr>
                  <w:r>
                    <w:rPr>
                      <w:color w:val="auto"/>
                      <w:kern w:val="0"/>
                      <w:szCs w:val="21"/>
                    </w:rPr>
                    <w:t>1.以资源化利用为主，优先考虑纳入静脉产业园，综合利用建材类产品辐射半径不超过200km。</w:t>
                  </w:r>
                </w:p>
                <w:p w14:paraId="7C76A00D">
                  <w:pPr>
                    <w:autoSpaceDE w:val="0"/>
                    <w:autoSpaceDN w:val="0"/>
                    <w:adjustRightInd w:val="0"/>
                    <w:rPr>
                      <w:color w:val="auto"/>
                      <w:kern w:val="0"/>
                      <w:szCs w:val="21"/>
                    </w:rPr>
                  </w:pPr>
                  <w:r>
                    <w:rPr>
                      <w:color w:val="auto"/>
                      <w:kern w:val="0"/>
                      <w:szCs w:val="21"/>
                    </w:rPr>
                    <w:t>2.跨区域统筹建设资源化利用项目，以园区、基地为载体，综合利用产业集聚模式发展，多种固废协同利用。</w:t>
                  </w:r>
                </w:p>
                <w:p w14:paraId="6E09A6B6">
                  <w:pPr>
                    <w:adjustRightInd w:val="0"/>
                    <w:snapToGrid w:val="0"/>
                    <w:rPr>
                      <w:snapToGrid w:val="0"/>
                      <w:color w:val="auto"/>
                      <w:kern w:val="0"/>
                      <w:szCs w:val="21"/>
                    </w:rPr>
                  </w:pPr>
                  <w:r>
                    <w:rPr>
                      <w:color w:val="auto"/>
                      <w:kern w:val="0"/>
                      <w:szCs w:val="21"/>
                    </w:rPr>
                    <w:t>3.以产业布局，人口、距离以及资源化利用项目统筹设置。</w:t>
                  </w:r>
                </w:p>
              </w:tc>
              <w:tc>
                <w:tcPr>
                  <w:tcW w:w="2975" w:type="dxa"/>
                  <w:vMerge w:val="restart"/>
                  <w:vAlign w:val="center"/>
                </w:tcPr>
                <w:p w14:paraId="1D4E5F03">
                  <w:pPr>
                    <w:adjustRightInd w:val="0"/>
                    <w:snapToGrid w:val="0"/>
                    <w:rPr>
                      <w:snapToGrid w:val="0"/>
                      <w:color w:val="auto"/>
                      <w:kern w:val="0"/>
                      <w:szCs w:val="21"/>
                    </w:rPr>
                  </w:pPr>
                  <w:r>
                    <w:rPr>
                      <w:snapToGrid w:val="0"/>
                      <w:color w:val="auto"/>
                      <w:kern w:val="0"/>
                      <w:szCs w:val="21"/>
                    </w:rPr>
                    <w:t>本项目位于</w:t>
                  </w:r>
                  <w:r>
                    <w:rPr>
                      <w:rFonts w:hint="eastAsia"/>
                      <w:snapToGrid w:val="0"/>
                      <w:color w:val="auto"/>
                      <w:kern w:val="0"/>
                      <w:szCs w:val="21"/>
                      <w:lang w:eastAsia="zh-CN"/>
                    </w:rPr>
                    <w:t>黑龙江省佳木斯市桦南县曙光农场第十五作业站</w:t>
                  </w:r>
                  <w:r>
                    <w:rPr>
                      <w:snapToGrid w:val="0"/>
                      <w:color w:val="auto"/>
                      <w:kern w:val="0"/>
                      <w:szCs w:val="21"/>
                    </w:rPr>
                    <w:t>，本项目产生的固体废物均放置在封闭</w:t>
                  </w:r>
                  <w:r>
                    <w:rPr>
                      <w:rFonts w:hint="eastAsia"/>
                      <w:snapToGrid w:val="0"/>
                      <w:color w:val="auto"/>
                      <w:kern w:val="0"/>
                      <w:szCs w:val="21"/>
                    </w:rPr>
                    <w:t>农机拆除成品半成品及零件贮存库</w:t>
                  </w:r>
                  <w:r>
                    <w:rPr>
                      <w:snapToGrid w:val="0"/>
                      <w:color w:val="auto"/>
                      <w:kern w:val="0"/>
                      <w:szCs w:val="21"/>
                    </w:rPr>
                    <w:t>内，周围交通便利，有可靠的电力供应，具备满足工程建设的工程地质条件和水文地质条件，不受洪水或内涝威胁。周边无自然保护区、饮用水源保护区等生态保护</w:t>
                  </w:r>
                  <w:r>
                    <w:rPr>
                      <w:snapToGrid w:val="0"/>
                      <w:color w:val="auto"/>
                      <w:kern w:val="0"/>
                      <w:szCs w:val="21"/>
                      <w:highlight w:val="none"/>
                    </w:rPr>
                    <w:t>目标，</w:t>
                  </w:r>
                  <w:r>
                    <w:rPr>
                      <w:rFonts w:hint="eastAsia"/>
                      <w:snapToGrid w:val="0"/>
                      <w:color w:val="auto"/>
                      <w:kern w:val="0"/>
                      <w:szCs w:val="21"/>
                      <w:highlight w:val="none"/>
                      <w:lang w:val="en-US" w:eastAsia="zh-CN"/>
                    </w:rPr>
                    <w:t>不涉及</w:t>
                  </w:r>
                  <w:r>
                    <w:rPr>
                      <w:snapToGrid w:val="0"/>
                      <w:color w:val="auto"/>
                      <w:kern w:val="0"/>
                      <w:szCs w:val="21"/>
                      <w:highlight w:val="none"/>
                    </w:rPr>
                    <w:t>生态保护红线</w:t>
                  </w:r>
                  <w:r>
                    <w:rPr>
                      <w:rFonts w:hint="eastAsia"/>
                      <w:snapToGrid w:val="0"/>
                      <w:color w:val="auto"/>
                      <w:kern w:val="0"/>
                      <w:szCs w:val="21"/>
                      <w:highlight w:val="none"/>
                      <w:lang w:eastAsia="zh-CN"/>
                    </w:rPr>
                    <w:t>，</w:t>
                  </w:r>
                  <w:r>
                    <w:rPr>
                      <w:rFonts w:hint="eastAsia"/>
                      <w:snapToGrid w:val="0"/>
                      <w:color w:val="auto"/>
                      <w:kern w:val="0"/>
                      <w:szCs w:val="21"/>
                      <w:highlight w:val="none"/>
                      <w:lang w:val="en-US" w:eastAsia="zh-CN"/>
                    </w:rPr>
                    <w:t>本项目位于</w:t>
                  </w:r>
                  <w:r>
                    <w:rPr>
                      <w:snapToGrid w:val="0"/>
                      <w:color w:val="auto"/>
                      <w:kern w:val="0"/>
                      <w:szCs w:val="21"/>
                      <w:highlight w:val="none"/>
                    </w:rPr>
                    <w:t>重点管控</w:t>
                  </w:r>
                  <w:r>
                    <w:rPr>
                      <w:rFonts w:hint="eastAsia"/>
                      <w:snapToGrid w:val="0"/>
                      <w:color w:val="auto"/>
                      <w:kern w:val="0"/>
                      <w:szCs w:val="21"/>
                      <w:highlight w:val="none"/>
                      <w:lang w:val="en-US" w:eastAsia="zh-CN"/>
                    </w:rPr>
                    <w:t>单元</w:t>
                  </w:r>
                  <w:r>
                    <w:rPr>
                      <w:snapToGrid w:val="0"/>
                      <w:color w:val="auto"/>
                      <w:kern w:val="0"/>
                      <w:szCs w:val="21"/>
                      <w:highlight w:val="none"/>
                    </w:rPr>
                    <w:t>，产生的各类污染物经处理后不</w:t>
                  </w:r>
                  <w:r>
                    <w:rPr>
                      <w:snapToGrid w:val="0"/>
                      <w:color w:val="auto"/>
                      <w:kern w:val="0"/>
                      <w:szCs w:val="21"/>
                    </w:rPr>
                    <w:t>会对周围环境造成影响。</w:t>
                  </w:r>
                </w:p>
                <w:p w14:paraId="7CCED9BE">
                  <w:pPr>
                    <w:adjustRightInd w:val="0"/>
                    <w:snapToGrid w:val="0"/>
                    <w:rPr>
                      <w:snapToGrid w:val="0"/>
                      <w:color w:val="auto"/>
                      <w:kern w:val="0"/>
                      <w:szCs w:val="21"/>
                    </w:rPr>
                  </w:pPr>
                  <w:r>
                    <w:rPr>
                      <w:snapToGrid w:val="0"/>
                      <w:color w:val="auto"/>
                      <w:kern w:val="0"/>
                      <w:szCs w:val="21"/>
                    </w:rPr>
                    <w:t>本项目为报废农用机械拆解项目，对报废农用机械进行处置并对可再生物质进行分类回收，本项目投产后年拆解报废农用车辆</w:t>
                  </w:r>
                  <w:r>
                    <w:rPr>
                      <w:rFonts w:hint="eastAsia"/>
                      <w:snapToGrid w:val="0"/>
                      <w:color w:val="auto"/>
                      <w:kern w:val="0"/>
                      <w:szCs w:val="21"/>
                      <w:lang w:val="en-US" w:eastAsia="zh-CN"/>
                    </w:rPr>
                    <w:t>10000辆</w:t>
                  </w:r>
                  <w:r>
                    <w:rPr>
                      <w:snapToGrid w:val="0"/>
                      <w:color w:val="auto"/>
                      <w:kern w:val="0"/>
                      <w:szCs w:val="21"/>
                    </w:rPr>
                    <w:t>。本项目的建成将推进废旧资源利用，构建循环链接的产业体系，符合《黑龙江省城乡固体废物分类治理布局规划（2019-2035年）2021年修订版》中相关规划要求。</w:t>
                  </w:r>
                </w:p>
              </w:tc>
            </w:tr>
            <w:tr w14:paraId="010394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3" w:hRule="atLeast"/>
                <w:jc w:val="center"/>
              </w:trPr>
              <w:tc>
                <w:tcPr>
                  <w:tcW w:w="845" w:type="dxa"/>
                  <w:vAlign w:val="center"/>
                </w:tcPr>
                <w:p w14:paraId="53E5ED78">
                  <w:pPr>
                    <w:adjustRightInd w:val="0"/>
                    <w:snapToGrid w:val="0"/>
                    <w:jc w:val="center"/>
                    <w:rPr>
                      <w:snapToGrid w:val="0"/>
                      <w:color w:val="auto"/>
                      <w:kern w:val="0"/>
                      <w:szCs w:val="21"/>
                    </w:rPr>
                  </w:pPr>
                  <w:r>
                    <w:rPr>
                      <w:snapToGrid w:val="0"/>
                      <w:color w:val="auto"/>
                      <w:kern w:val="0"/>
                      <w:szCs w:val="21"/>
                    </w:rPr>
                    <w:t>“10.7.2选址条件”</w:t>
                  </w:r>
                </w:p>
              </w:tc>
              <w:tc>
                <w:tcPr>
                  <w:tcW w:w="3232" w:type="dxa"/>
                </w:tcPr>
                <w:p w14:paraId="3085337F">
                  <w:pPr>
                    <w:autoSpaceDE w:val="0"/>
                    <w:autoSpaceDN w:val="0"/>
                    <w:adjustRightInd w:val="0"/>
                    <w:rPr>
                      <w:color w:val="auto"/>
                      <w:kern w:val="0"/>
                      <w:szCs w:val="21"/>
                    </w:rPr>
                  </w:pPr>
                  <w:r>
                    <w:rPr>
                      <w:color w:val="auto"/>
                      <w:kern w:val="0"/>
                      <w:szCs w:val="21"/>
                    </w:rPr>
                    <w:t>1.位于城市主导风向下风向，交通运输便利，地下水源下游，离产废量较大企业距离近，与静脉产业园位置相同。</w:t>
                  </w:r>
                </w:p>
                <w:p w14:paraId="46B603C3">
                  <w:pPr>
                    <w:autoSpaceDE w:val="0"/>
                    <w:autoSpaceDN w:val="0"/>
                    <w:adjustRightInd w:val="0"/>
                    <w:rPr>
                      <w:color w:val="auto"/>
                      <w:kern w:val="0"/>
                      <w:szCs w:val="21"/>
                    </w:rPr>
                  </w:pPr>
                  <w:r>
                    <w:rPr>
                      <w:color w:val="auto"/>
                      <w:kern w:val="0"/>
                      <w:szCs w:val="21"/>
                    </w:rPr>
                    <w:t>2.远离居民区，与居民区距离满足环保要求。</w:t>
                  </w:r>
                </w:p>
                <w:p w14:paraId="5C0CE791">
                  <w:pPr>
                    <w:autoSpaceDE w:val="0"/>
                    <w:autoSpaceDN w:val="0"/>
                    <w:adjustRightInd w:val="0"/>
                    <w:rPr>
                      <w:color w:val="auto"/>
                      <w:kern w:val="0"/>
                      <w:szCs w:val="21"/>
                    </w:rPr>
                  </w:pPr>
                  <w:r>
                    <w:rPr>
                      <w:color w:val="auto"/>
                      <w:kern w:val="0"/>
                      <w:szCs w:val="21"/>
                    </w:rPr>
                    <w:t>3.有可靠的电力供应，具备满足工程建设的工程地质条件和水文地质条件，不受洪水或内涝威胁。</w:t>
                  </w:r>
                </w:p>
                <w:p w14:paraId="034D907D">
                  <w:pPr>
                    <w:autoSpaceDE w:val="0"/>
                    <w:autoSpaceDN w:val="0"/>
                    <w:adjustRightInd w:val="0"/>
                    <w:rPr>
                      <w:color w:val="auto"/>
                      <w:kern w:val="0"/>
                      <w:szCs w:val="21"/>
                    </w:rPr>
                  </w:pPr>
                  <w:r>
                    <w:rPr>
                      <w:color w:val="auto"/>
                      <w:kern w:val="0"/>
                      <w:szCs w:val="21"/>
                    </w:rPr>
                    <w:t>4.尽量远离生态保护红线区域，设定防护距离。符合与“三区三线”配套的综合利用空间管控措施要求。</w:t>
                  </w:r>
                </w:p>
                <w:p w14:paraId="608CA20E">
                  <w:pPr>
                    <w:autoSpaceDE w:val="0"/>
                    <w:autoSpaceDN w:val="0"/>
                    <w:adjustRightInd w:val="0"/>
                    <w:rPr>
                      <w:color w:val="auto"/>
                      <w:kern w:val="0"/>
                      <w:szCs w:val="21"/>
                    </w:rPr>
                  </w:pPr>
                  <w:r>
                    <w:rPr>
                      <w:color w:val="auto"/>
                      <w:kern w:val="0"/>
                      <w:szCs w:val="21"/>
                    </w:rPr>
                    <w:t>5.既可以靠近原料供应地，也可以靠近产品市场，土地价格低。</w:t>
                  </w:r>
                </w:p>
                <w:p w14:paraId="292D9248">
                  <w:pPr>
                    <w:autoSpaceDE w:val="0"/>
                    <w:autoSpaceDN w:val="0"/>
                    <w:adjustRightInd w:val="0"/>
                    <w:rPr>
                      <w:color w:val="auto"/>
                      <w:kern w:val="0"/>
                      <w:szCs w:val="21"/>
                    </w:rPr>
                  </w:pPr>
                  <w:r>
                    <w:rPr>
                      <w:color w:val="auto"/>
                      <w:kern w:val="0"/>
                      <w:szCs w:val="21"/>
                    </w:rPr>
                    <w:t>6.应避开地下水主要补给区和饮用水源含水层建设。禁止在河、湖、水库最高水位线以下的滩地和洪泛区建设。</w:t>
                  </w:r>
                </w:p>
                <w:p w14:paraId="36B84051">
                  <w:pPr>
                    <w:autoSpaceDE w:val="0"/>
                    <w:autoSpaceDN w:val="0"/>
                    <w:adjustRightInd w:val="0"/>
                    <w:rPr>
                      <w:color w:val="auto"/>
                      <w:kern w:val="0"/>
                      <w:szCs w:val="21"/>
                    </w:rPr>
                  </w:pPr>
                  <w:r>
                    <w:rPr>
                      <w:color w:val="auto"/>
                      <w:kern w:val="0"/>
                      <w:szCs w:val="21"/>
                    </w:rPr>
                    <w:t>7.禁止选在自然保护区、风景名胜区和其它需要特别保护的区域。</w:t>
                  </w:r>
                </w:p>
                <w:p w14:paraId="7AE457FA">
                  <w:pPr>
                    <w:autoSpaceDE w:val="0"/>
                    <w:autoSpaceDN w:val="0"/>
                    <w:adjustRightInd w:val="0"/>
                    <w:rPr>
                      <w:color w:val="auto"/>
                      <w:kern w:val="0"/>
                      <w:szCs w:val="21"/>
                    </w:rPr>
                  </w:pPr>
                  <w:r>
                    <w:rPr>
                      <w:color w:val="auto"/>
                      <w:kern w:val="0"/>
                      <w:szCs w:val="21"/>
                    </w:rPr>
                    <w:t>8.应选在满足承载力要求的基础上，以避免地基下沉的影响，特别是不均匀或局部下沉的影响。应避开断层、断层破碎带、溶洞区，以及天然滑坡或泥石流影响区。</w:t>
                  </w:r>
                </w:p>
                <w:p w14:paraId="33EE4502">
                  <w:pPr>
                    <w:adjustRightInd w:val="0"/>
                    <w:snapToGrid w:val="0"/>
                    <w:rPr>
                      <w:color w:val="auto"/>
                      <w:kern w:val="0"/>
                      <w:szCs w:val="21"/>
                    </w:rPr>
                  </w:pPr>
                  <w:r>
                    <w:rPr>
                      <w:color w:val="auto"/>
                      <w:kern w:val="0"/>
                      <w:szCs w:val="21"/>
                    </w:rPr>
                    <w:t>9.根据所在地区的环境功能区类别，综合评价其对周围环境、居住人群的身体健康、日常生活和生产活动的影响，确定其与常住居民居住场所、农用地、地表水体、高速公路、交通主干道（国道或省道）、铁路、飞机场、军事基地等敏感对象间合理的位置关系。</w:t>
                  </w:r>
                </w:p>
                <w:p w14:paraId="2B23286E">
                  <w:pPr>
                    <w:adjustRightInd w:val="0"/>
                    <w:snapToGrid w:val="0"/>
                    <w:rPr>
                      <w:snapToGrid w:val="0"/>
                      <w:color w:val="auto"/>
                      <w:kern w:val="0"/>
                      <w:szCs w:val="21"/>
                    </w:rPr>
                  </w:pPr>
                  <w:r>
                    <w:rPr>
                      <w:color w:val="auto"/>
                      <w:szCs w:val="21"/>
                    </w:rPr>
                    <w:t>10.符合国家环保要求。</w:t>
                  </w:r>
                </w:p>
              </w:tc>
              <w:tc>
                <w:tcPr>
                  <w:tcW w:w="2975" w:type="dxa"/>
                  <w:vMerge w:val="continue"/>
                  <w:vAlign w:val="center"/>
                </w:tcPr>
                <w:p w14:paraId="51D9733B">
                  <w:pPr>
                    <w:adjustRightInd w:val="0"/>
                    <w:snapToGrid w:val="0"/>
                    <w:rPr>
                      <w:snapToGrid w:val="0"/>
                      <w:color w:val="auto"/>
                      <w:kern w:val="0"/>
                      <w:szCs w:val="21"/>
                      <w:lang w:val="zh-CN"/>
                    </w:rPr>
                  </w:pPr>
                </w:p>
              </w:tc>
            </w:tr>
          </w:tbl>
          <w:p w14:paraId="4B60CC72">
            <w:pPr>
              <w:pStyle w:val="84"/>
              <w:rPr>
                <w:rFonts w:hint="eastAsia" w:ascii="Times New Roman" w:hAnsi="Times New Roman" w:eastAsia="宋体" w:cs="Times New Roman"/>
                <w:b w:val="0"/>
                <w:bCs w:val="0"/>
                <w:color w:val="FF0000"/>
                <w:kern w:val="0"/>
                <w:sz w:val="24"/>
                <w:szCs w:val="32"/>
                <w:lang w:val="en-US" w:eastAsia="zh-CN" w:bidi="ar-SA"/>
              </w:rPr>
            </w:pPr>
            <w:r>
              <w:rPr>
                <w:rFonts w:hint="eastAsia" w:ascii="Times New Roman" w:hAnsi="Times New Roman" w:eastAsia="宋体" w:cs="Times New Roman"/>
                <w:b w:val="0"/>
                <w:bCs w:val="0"/>
                <w:color w:val="FF0000"/>
                <w:kern w:val="0"/>
                <w:sz w:val="24"/>
                <w:szCs w:val="32"/>
                <w:lang w:val="en-US" w:eastAsia="zh-CN" w:bidi="ar-SA"/>
              </w:rPr>
              <w:t>根据《黑龙江省佳木斯市城乡固体废物分类治理专项规划（2019-2035 年）》：规划到2020年，全市建立起较为完善的危险废物收集、贮存、运输、利用和处置体系，危险废物利用处置设施布局趋于合理，利用处置能力与危险废物产生种类和数量基本匹配，全市危险废物得到妥善处置，力争各级各类医疗卫生机构医疗废物全部纳入集中处置，危险废物规范化管理水平、环境监管能力明显提升，基本实现全市危险废物、医疗废物的安全利用处置。</w:t>
            </w:r>
          </w:p>
          <w:p w14:paraId="6DA30CB8">
            <w:pPr>
              <w:pStyle w:val="84"/>
              <w:rPr>
                <w:rFonts w:hint="eastAsia" w:ascii="Times New Roman" w:hAnsi="Times New Roman" w:eastAsia="宋体" w:cs="Times New Roman"/>
                <w:b w:val="0"/>
                <w:bCs w:val="0"/>
                <w:color w:val="FF0000"/>
                <w:kern w:val="0"/>
                <w:sz w:val="24"/>
                <w:szCs w:val="32"/>
                <w:lang w:val="en-US" w:eastAsia="zh-CN" w:bidi="ar-SA"/>
              </w:rPr>
            </w:pPr>
            <w:r>
              <w:rPr>
                <w:rFonts w:hint="eastAsia" w:ascii="Times New Roman" w:hAnsi="Times New Roman" w:eastAsia="宋体" w:cs="Times New Roman"/>
                <w:b w:val="0"/>
                <w:bCs w:val="0"/>
                <w:color w:val="FF0000"/>
                <w:kern w:val="0"/>
                <w:sz w:val="24"/>
                <w:szCs w:val="32"/>
                <w:lang w:val="en-US" w:eastAsia="zh-CN" w:bidi="ar-SA"/>
              </w:rPr>
              <w:t>本项目为报废农机拆解项目，项目选址在佳木斯市</w:t>
            </w:r>
            <w:r>
              <w:rPr>
                <w:rFonts w:hint="eastAsia" w:cs="Times New Roman"/>
                <w:b w:val="0"/>
                <w:bCs w:val="0"/>
                <w:color w:val="FF0000"/>
                <w:kern w:val="0"/>
                <w:sz w:val="24"/>
                <w:szCs w:val="32"/>
                <w:lang w:val="en-US" w:eastAsia="zh-CN" w:bidi="ar-SA"/>
              </w:rPr>
              <w:t>桦南县</w:t>
            </w:r>
            <w:r>
              <w:rPr>
                <w:rFonts w:hint="eastAsia" w:ascii="Times New Roman" w:hAnsi="Times New Roman" w:eastAsia="宋体" w:cs="Times New Roman"/>
                <w:b w:val="0"/>
                <w:bCs w:val="0"/>
                <w:color w:val="FF0000"/>
                <w:kern w:val="0"/>
                <w:sz w:val="24"/>
                <w:szCs w:val="32"/>
                <w:lang w:val="en-US" w:eastAsia="zh-CN" w:bidi="ar-SA"/>
              </w:rPr>
              <w:t>，不属于自然保护区、地质公园、风景名胜区、森林公园、水种质资源保护区、饮用水水源保护区、湿地公园和一级国家级公益生态林等生态保护红线区域，项目选址符合要求。本项目厂内配备环保设施，建设危险废物贮存库，项目运营过程中产生的危险废物均贮存于危险废物贮存库内。综上，本项目的建设符合《黑龙江省城乡固体废物分类治理布局规划（2019-2035年）2021 年修订版》和《黑龙江省佳木斯市城乡固体废物分类治理专项规划（2019-2035年）》相关要求。</w:t>
            </w:r>
          </w:p>
          <w:p w14:paraId="3019DC41">
            <w:pPr>
              <w:pStyle w:val="84"/>
              <w:rPr>
                <w:color w:val="FF0000"/>
              </w:rPr>
            </w:pPr>
            <w:r>
              <w:rPr>
                <w:rFonts w:hint="eastAsia"/>
                <w:color w:val="auto"/>
                <w:lang w:val="en-US" w:eastAsia="zh-CN"/>
              </w:rPr>
              <w:t>二</w:t>
            </w:r>
            <w:r>
              <w:rPr>
                <w:color w:val="auto"/>
              </w:rPr>
              <w:t>、</w:t>
            </w:r>
            <w:r>
              <w:rPr>
                <w:color w:val="FF0000"/>
              </w:rPr>
              <w:t>与</w:t>
            </w:r>
            <w:r>
              <w:rPr>
                <w:rFonts w:hint="eastAsia"/>
                <w:color w:val="FF0000"/>
              </w:rPr>
              <w:t>《佳木斯市国土空间总体规划（2021—2035年）》</w:t>
            </w:r>
            <w:r>
              <w:rPr>
                <w:color w:val="FF0000"/>
              </w:rPr>
              <w:t>符合性分析</w:t>
            </w:r>
          </w:p>
          <w:p w14:paraId="53033707">
            <w:pPr>
              <w:pStyle w:val="77"/>
              <w:rPr>
                <w:rFonts w:hint="default" w:eastAsia="宋体"/>
                <w:b/>
                <w:bCs/>
                <w:color w:val="auto"/>
                <w:lang w:val="en-US" w:eastAsia="zh-CN"/>
              </w:rPr>
            </w:pPr>
            <w:r>
              <w:rPr>
                <w:rFonts w:hint="eastAsia"/>
                <w:color w:val="auto"/>
                <w:szCs w:val="32"/>
                <w:lang w:val="en-US" w:eastAsia="zh-CN"/>
              </w:rPr>
              <w:t>根据桦南县自然资源局出具的本项目的占地情况说明（详见附件7），本项目厂址位于城镇开发边界内，不占用生态保护红线和永久基本农田，符合“三区三线”成果要求。</w:t>
            </w:r>
          </w:p>
        </w:tc>
      </w:tr>
      <w:tr w14:paraId="34971E1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382" w:hRule="atLeast"/>
          <w:jc w:val="center"/>
        </w:trPr>
        <w:tc>
          <w:tcPr>
            <w:tcW w:w="1550" w:type="dxa"/>
            <w:vAlign w:val="center"/>
          </w:tcPr>
          <w:p w14:paraId="53CB4BD2">
            <w:pPr>
              <w:jc w:val="center"/>
              <w:rPr>
                <w:b/>
                <w:bCs/>
                <w:color w:val="auto"/>
                <w:sz w:val="24"/>
              </w:rPr>
            </w:pPr>
            <w:r>
              <w:rPr>
                <w:b/>
                <w:bCs/>
                <w:color w:val="auto"/>
                <w:sz w:val="24"/>
              </w:rPr>
              <w:t>其</w:t>
            </w:r>
          </w:p>
          <w:p w14:paraId="72631F37">
            <w:pPr>
              <w:jc w:val="center"/>
              <w:rPr>
                <w:b/>
                <w:bCs/>
                <w:color w:val="auto"/>
                <w:sz w:val="24"/>
              </w:rPr>
            </w:pPr>
            <w:r>
              <w:rPr>
                <w:b/>
                <w:bCs/>
                <w:color w:val="auto"/>
                <w:sz w:val="24"/>
              </w:rPr>
              <w:t>他</w:t>
            </w:r>
          </w:p>
          <w:p w14:paraId="1EAE6FF1">
            <w:pPr>
              <w:jc w:val="center"/>
              <w:rPr>
                <w:b/>
                <w:bCs/>
                <w:color w:val="auto"/>
                <w:sz w:val="24"/>
              </w:rPr>
            </w:pPr>
            <w:r>
              <w:rPr>
                <w:b/>
                <w:bCs/>
                <w:color w:val="auto"/>
                <w:sz w:val="24"/>
              </w:rPr>
              <w:t>符</w:t>
            </w:r>
          </w:p>
          <w:p w14:paraId="58130484">
            <w:pPr>
              <w:jc w:val="center"/>
              <w:rPr>
                <w:b/>
                <w:bCs/>
                <w:color w:val="auto"/>
                <w:sz w:val="24"/>
              </w:rPr>
            </w:pPr>
            <w:r>
              <w:rPr>
                <w:b/>
                <w:bCs/>
                <w:color w:val="auto"/>
                <w:sz w:val="24"/>
              </w:rPr>
              <w:t>合</w:t>
            </w:r>
          </w:p>
          <w:p w14:paraId="205A23DF">
            <w:pPr>
              <w:jc w:val="center"/>
              <w:rPr>
                <w:b/>
                <w:bCs/>
                <w:color w:val="auto"/>
                <w:sz w:val="24"/>
              </w:rPr>
            </w:pPr>
            <w:r>
              <w:rPr>
                <w:b/>
                <w:bCs/>
                <w:color w:val="auto"/>
                <w:sz w:val="24"/>
              </w:rPr>
              <w:t>性</w:t>
            </w:r>
          </w:p>
          <w:p w14:paraId="2A124EE4">
            <w:pPr>
              <w:jc w:val="center"/>
              <w:rPr>
                <w:b/>
                <w:bCs/>
                <w:color w:val="auto"/>
                <w:sz w:val="24"/>
              </w:rPr>
            </w:pPr>
            <w:r>
              <w:rPr>
                <w:b/>
                <w:bCs/>
                <w:color w:val="auto"/>
                <w:sz w:val="24"/>
              </w:rPr>
              <w:t>分</w:t>
            </w:r>
          </w:p>
          <w:p w14:paraId="27B5D98D">
            <w:pPr>
              <w:jc w:val="center"/>
              <w:rPr>
                <w:b/>
                <w:bCs/>
                <w:color w:val="auto"/>
                <w:sz w:val="24"/>
              </w:rPr>
            </w:pPr>
            <w:r>
              <w:rPr>
                <w:b/>
                <w:bCs/>
                <w:color w:val="auto"/>
                <w:sz w:val="24"/>
              </w:rPr>
              <w:t>析</w:t>
            </w:r>
          </w:p>
        </w:tc>
        <w:tc>
          <w:tcPr>
            <w:tcW w:w="7318" w:type="dxa"/>
            <w:gridSpan w:val="3"/>
          </w:tcPr>
          <w:p w14:paraId="1C8366DB">
            <w:pPr>
              <w:pStyle w:val="84"/>
              <w:rPr>
                <w:color w:val="auto"/>
              </w:rPr>
            </w:pPr>
            <w:r>
              <w:rPr>
                <w:color w:val="auto"/>
              </w:rPr>
              <w:t>一、产业政策</w:t>
            </w:r>
          </w:p>
          <w:p w14:paraId="3FA04B43">
            <w:pPr>
              <w:pStyle w:val="77"/>
              <w:rPr>
                <w:color w:val="auto"/>
              </w:rPr>
            </w:pPr>
            <w:r>
              <w:rPr>
                <w:color w:val="auto"/>
              </w:rPr>
              <w:t>根据《产业结构调整指导目录（20</w:t>
            </w:r>
            <w:r>
              <w:rPr>
                <w:rFonts w:hint="eastAsia"/>
                <w:color w:val="auto"/>
                <w:lang w:val="en-US" w:eastAsia="zh-CN"/>
              </w:rPr>
              <w:t>24</w:t>
            </w:r>
            <w:r>
              <w:rPr>
                <w:color w:val="auto"/>
              </w:rPr>
              <w:t>年本）》相关规定，本项目不属于第二类“限制类”及第三类“淘汰类”建设项目，属于第一类“鼓励类”（四十</w:t>
            </w:r>
            <w:r>
              <w:rPr>
                <w:rFonts w:hint="eastAsia"/>
                <w:color w:val="auto"/>
                <w:lang w:val="en-US" w:eastAsia="zh-CN"/>
              </w:rPr>
              <w:t>二</w:t>
            </w:r>
            <w:r>
              <w:rPr>
                <w:color w:val="auto"/>
              </w:rPr>
              <w:t xml:space="preserve">、环境保护与资源节约综合利用 </w:t>
            </w:r>
            <w:r>
              <w:rPr>
                <w:rFonts w:hint="eastAsia"/>
                <w:color w:val="auto"/>
                <w:lang w:val="en-US" w:eastAsia="zh-CN"/>
              </w:rPr>
              <w:t>9</w:t>
            </w:r>
            <w:r>
              <w:rPr>
                <w:rFonts w:hint="eastAsia"/>
                <w:color w:val="auto"/>
              </w:rPr>
              <w:t>再制造：报废汽车、退役民用飞机、工程机械、矿山机械、农业机械、机床、文办设备及耗材、盾构机、航空发动机、工业机器人、火车内燃机车等废旧设备及零部件拆解、再利用、再制造</w:t>
            </w:r>
            <w:r>
              <w:rPr>
                <w:color w:val="auto"/>
              </w:rPr>
              <w:t>）项目。</w:t>
            </w:r>
          </w:p>
          <w:p w14:paraId="5AD36E42">
            <w:pPr>
              <w:pStyle w:val="77"/>
              <w:rPr>
                <w:color w:val="auto"/>
              </w:rPr>
            </w:pPr>
            <w:r>
              <w:rPr>
                <w:bCs/>
                <w:color w:val="auto"/>
              </w:rPr>
              <w:t>本项目所用设备无《产业结构调整指导目录（20</w:t>
            </w:r>
            <w:r>
              <w:rPr>
                <w:rFonts w:hint="eastAsia"/>
                <w:bCs/>
                <w:color w:val="auto"/>
                <w:lang w:val="en-US" w:eastAsia="zh-CN"/>
              </w:rPr>
              <w:t>24</w:t>
            </w:r>
            <w:r>
              <w:rPr>
                <w:bCs/>
                <w:color w:val="auto"/>
              </w:rPr>
              <w:t>年本）》中限制类中生产装置设备、淘汰类中落后生产工艺装备。项目所用设备无《部分工业行业淘汰落后生产工艺装备和产品指导目录》（2010年本）中淘汰落后生产工艺装备，本项目符合国家产业政策及有关部门的相关行业规定。</w:t>
            </w:r>
          </w:p>
          <w:p w14:paraId="4435D06E">
            <w:pPr>
              <w:pStyle w:val="84"/>
              <w:rPr>
                <w:color w:val="auto"/>
              </w:rPr>
            </w:pPr>
            <w:r>
              <w:rPr>
                <w:color w:val="auto"/>
              </w:rPr>
              <w:t>二、选址符合性分析</w:t>
            </w:r>
          </w:p>
          <w:p w14:paraId="369B50D9">
            <w:pPr>
              <w:pStyle w:val="84"/>
              <w:rPr>
                <w:color w:val="auto"/>
              </w:rPr>
            </w:pPr>
            <w:r>
              <w:rPr>
                <w:color w:val="auto"/>
              </w:rPr>
              <w:t>1、用地相符性</w:t>
            </w:r>
          </w:p>
          <w:p w14:paraId="6BFD9419">
            <w:pPr>
              <w:pStyle w:val="77"/>
              <w:rPr>
                <w:color w:val="auto"/>
              </w:rPr>
            </w:pPr>
            <w:r>
              <w:rPr>
                <w:color w:val="auto"/>
              </w:rPr>
              <w:t>本项目位于</w:t>
            </w:r>
            <w:r>
              <w:rPr>
                <w:rFonts w:hint="eastAsia"/>
                <w:color w:val="auto"/>
                <w:lang w:eastAsia="zh-CN"/>
              </w:rPr>
              <w:t>黑龙江省佳木斯市桦南县曙光农场第十五作业站</w:t>
            </w:r>
            <w:r>
              <w:rPr>
                <w:color w:val="auto"/>
              </w:rPr>
              <w:t>，项目选址不属于生活饮用水源地和地下水补给区、风景名胜区、温泉疗养区、水产养殖区、基本农田保护区、自然保护区等需要特殊保护区域。</w:t>
            </w:r>
          </w:p>
          <w:p w14:paraId="63994D38">
            <w:pPr>
              <w:pStyle w:val="77"/>
              <w:rPr>
                <w:color w:val="auto"/>
              </w:rPr>
            </w:pPr>
            <w:r>
              <w:rPr>
                <w:color w:val="auto"/>
              </w:rPr>
              <w:t>根据国土资源部、国家发展和改革委员会2012年5月30日发布的“关于发布实施《限制用地项目目录（2012年本）》和《禁止用地项目目录（2012年本）》的通知”中规定，各级国土资源管理部门和投资管理部门一律不得办理相关手续；凡列入《限制用地项目目录（2012年本）》的建设项目，必须符合目录规定条件，各级国土资源管理部门和投资管理部门方可办理相关手续。按照国务院批准的《产业结构调整指导目录（20</w:t>
            </w:r>
            <w:r>
              <w:rPr>
                <w:rFonts w:hint="eastAsia"/>
                <w:color w:val="auto"/>
                <w:lang w:val="en-US" w:eastAsia="zh-CN"/>
              </w:rPr>
              <w:t>24</w:t>
            </w:r>
            <w:r>
              <w:rPr>
                <w:color w:val="auto"/>
              </w:rPr>
              <w:t>年本）》，凡采用明令淘汰的落后工艺技术、装备或者生产明令淘汰产品的建设项目，各级国土资源管理部门和投资管理部门一律不得办理相关手续。</w:t>
            </w:r>
          </w:p>
          <w:p w14:paraId="627579E3">
            <w:pPr>
              <w:pStyle w:val="77"/>
              <w:rPr>
                <w:color w:val="auto"/>
              </w:rPr>
            </w:pPr>
            <w:r>
              <w:rPr>
                <w:color w:val="auto"/>
              </w:rPr>
              <w:t>本项目用地占地性质为工业用地，不属于《限制用地项目目录（2012年本）》和《禁止用地项目目录（2012年本）》中的限制用地、禁止用地项目，符合土地政策要求。</w:t>
            </w:r>
          </w:p>
          <w:p w14:paraId="6D53EBB6">
            <w:pPr>
              <w:pStyle w:val="77"/>
              <w:rPr>
                <w:color w:val="auto"/>
              </w:rPr>
            </w:pPr>
            <w:r>
              <w:rPr>
                <w:color w:val="auto"/>
              </w:rPr>
              <w:t>2、外环境相容性</w:t>
            </w:r>
          </w:p>
          <w:p w14:paraId="68BBC34A">
            <w:pPr>
              <w:pStyle w:val="77"/>
              <w:rPr>
                <w:color w:val="auto"/>
              </w:rPr>
            </w:pPr>
            <w:r>
              <w:rPr>
                <w:color w:val="auto"/>
              </w:rPr>
              <w:t>本项目位于</w:t>
            </w:r>
            <w:r>
              <w:rPr>
                <w:rFonts w:hint="eastAsia"/>
                <w:color w:val="auto"/>
                <w:lang w:eastAsia="zh-CN"/>
              </w:rPr>
              <w:t>黑龙江省佳木斯市桦南县曙光农场第十五作业站</w:t>
            </w:r>
            <w:r>
              <w:rPr>
                <w:color w:val="auto"/>
              </w:rPr>
              <w:t>，厂区东侧为</w:t>
            </w:r>
            <w:r>
              <w:rPr>
                <w:rFonts w:hint="eastAsia"/>
                <w:color w:val="auto"/>
                <w:lang w:val="en-US" w:eastAsia="zh-CN"/>
              </w:rPr>
              <w:t>农田</w:t>
            </w:r>
            <w:r>
              <w:rPr>
                <w:color w:val="auto"/>
              </w:rPr>
              <w:t>、厂区南侧为</w:t>
            </w:r>
            <w:r>
              <w:rPr>
                <w:rFonts w:hint="eastAsia"/>
                <w:color w:val="auto"/>
                <w:lang w:val="en-US" w:eastAsia="zh-CN"/>
              </w:rPr>
              <w:t>农田</w:t>
            </w:r>
            <w:r>
              <w:rPr>
                <w:color w:val="auto"/>
              </w:rPr>
              <w:t>、厂区西侧为</w:t>
            </w:r>
            <w:r>
              <w:rPr>
                <w:rFonts w:hint="eastAsia"/>
                <w:color w:val="auto"/>
                <w:lang w:val="en-US" w:eastAsia="zh-CN"/>
              </w:rPr>
              <w:t>水泥管厂</w:t>
            </w:r>
            <w:r>
              <w:rPr>
                <w:rFonts w:hint="eastAsia"/>
                <w:color w:val="auto"/>
                <w:lang w:eastAsia="zh-CN"/>
              </w:rPr>
              <w:t>、</w:t>
            </w:r>
            <w:r>
              <w:rPr>
                <w:color w:val="auto"/>
              </w:rPr>
              <w:t>厂区北侧</w:t>
            </w:r>
            <w:r>
              <w:rPr>
                <w:rFonts w:hint="eastAsia"/>
                <w:color w:val="auto"/>
                <w:lang w:val="en-US" w:eastAsia="zh-CN"/>
              </w:rPr>
              <w:t>为村路</w:t>
            </w:r>
            <w:r>
              <w:rPr>
                <w:color w:val="auto"/>
              </w:rPr>
              <w:t>。</w:t>
            </w:r>
          </w:p>
          <w:p w14:paraId="2FEA9A22">
            <w:pPr>
              <w:pStyle w:val="77"/>
              <w:numPr>
                <w:ilvl w:val="0"/>
                <w:numId w:val="1"/>
              </w:numPr>
              <w:rPr>
                <w:color w:val="auto"/>
              </w:rPr>
            </w:pPr>
            <w:r>
              <w:rPr>
                <w:color w:val="auto"/>
              </w:rPr>
              <w:t>项目所在地具有方便的交通运输和水电条件，便于项目的建设。</w:t>
            </w:r>
          </w:p>
          <w:p w14:paraId="17EF71E8">
            <w:pPr>
              <w:pStyle w:val="77"/>
              <w:numPr>
                <w:ilvl w:val="0"/>
                <w:numId w:val="1"/>
              </w:numPr>
              <w:rPr>
                <w:color w:val="auto"/>
              </w:rPr>
            </w:pPr>
            <w:r>
              <w:rPr>
                <w:rFonts w:hint="eastAsia"/>
                <w:color w:val="auto"/>
              </w:rPr>
              <w:t>根据项目周边自然环境的踏查，本项目占地范围内无特殊生态敏感区及重要生态敏感区等生态环境保护目标，项目所在地无国家级、省、市级自然保护区、风景名胜区、文物保护对象。本项目厂界外500m范围内无地下水集中式饮用水水源和热水、矿泉水、温泉等特殊地下水资源。</w:t>
            </w:r>
          </w:p>
          <w:p w14:paraId="667ECB03">
            <w:pPr>
              <w:pStyle w:val="77"/>
              <w:rPr>
                <w:color w:val="auto"/>
              </w:rPr>
            </w:pPr>
            <w:r>
              <w:rPr>
                <w:color w:val="auto"/>
              </w:rPr>
              <w:t>（</w:t>
            </w:r>
            <w:r>
              <w:rPr>
                <w:rFonts w:hint="eastAsia"/>
                <w:color w:val="auto"/>
                <w:lang w:val="en-US" w:eastAsia="zh-CN"/>
              </w:rPr>
              <w:t>3</w:t>
            </w:r>
            <w:r>
              <w:rPr>
                <w:color w:val="auto"/>
              </w:rPr>
              <w:t>）项目建设过程中产生的废气、噪声、废水、固废对周围环境将产生一定影响，但通过采取相应的环保措施可使该项目的环境影响降低。项目建成后对周边环境的影响主要是废气、废水、固体废物以及设备产生的噪声，采取污染防治措施后对周边环境影响较小。</w:t>
            </w:r>
          </w:p>
          <w:p w14:paraId="4CEAB34A">
            <w:pPr>
              <w:pStyle w:val="77"/>
              <w:rPr>
                <w:color w:val="auto"/>
              </w:rPr>
            </w:pPr>
            <w:r>
              <w:rPr>
                <w:color w:val="auto"/>
              </w:rPr>
              <w:t>3、环境功能一致性分析</w:t>
            </w:r>
          </w:p>
          <w:p w14:paraId="466F3D06">
            <w:pPr>
              <w:pStyle w:val="77"/>
              <w:rPr>
                <w:color w:val="auto"/>
              </w:rPr>
            </w:pPr>
            <w:r>
              <w:rPr>
                <w:rFonts w:hint="eastAsia"/>
                <w:color w:val="auto"/>
              </w:rPr>
              <w:t>项目建设过程中产生的废气、噪声、废水、固废对周围环境将产生一定影响，但通过采取相应的环保措施可使该项目的环境影响降低。项目周边不存在自然保护区、风景名胜区、世界文化和自然遗产地、饮用水水源保护区等生态环境敏感目标，项目建成后对周边环境的影响主要是废气、废水、生产废物以及设备产生的噪声，采取污染防治措施后对周边环境影响较小。项目建设不会使得环境功能发生改变。</w:t>
            </w:r>
            <w:r>
              <w:rPr>
                <w:color w:val="auto"/>
              </w:rPr>
              <w:t>综上所述，项目选址可行。</w:t>
            </w:r>
          </w:p>
          <w:p w14:paraId="23D19389">
            <w:pPr>
              <w:pStyle w:val="84"/>
              <w:rPr>
                <w:color w:val="auto"/>
              </w:rPr>
            </w:pPr>
            <w:r>
              <w:rPr>
                <w:color w:val="auto"/>
              </w:rPr>
              <w:t>三、</w:t>
            </w:r>
            <w:r>
              <w:rPr>
                <w:rFonts w:hint="eastAsia"/>
                <w:color w:val="FF0000"/>
                <w:lang w:val="en-US" w:eastAsia="zh-CN"/>
              </w:rPr>
              <w:t>生态环境分区管控</w:t>
            </w:r>
            <w:r>
              <w:rPr>
                <w:color w:val="auto"/>
              </w:rPr>
              <w:t>符合性分析</w:t>
            </w:r>
          </w:p>
          <w:p w14:paraId="53984653">
            <w:pPr>
              <w:pStyle w:val="84"/>
              <w:rPr>
                <w:rFonts w:hint="eastAsia" w:ascii="Times New Roman" w:hAnsi="Times New Roman" w:eastAsia="宋体" w:cs="Times New Roman"/>
                <w:b w:val="0"/>
                <w:bCs w:val="0"/>
                <w:color w:val="auto"/>
                <w:kern w:val="0"/>
                <w:sz w:val="24"/>
                <w:szCs w:val="24"/>
                <w:lang w:val="en-US" w:eastAsia="zh-CN" w:bidi="ar-SA"/>
              </w:rPr>
            </w:pPr>
            <w:r>
              <w:rPr>
                <w:rFonts w:hint="eastAsia" w:ascii="Times New Roman" w:hAnsi="Times New Roman" w:eastAsia="宋体" w:cs="Times New Roman"/>
                <w:b w:val="0"/>
                <w:bCs w:val="0"/>
                <w:color w:val="auto"/>
                <w:kern w:val="0"/>
                <w:sz w:val="24"/>
                <w:szCs w:val="24"/>
                <w:lang w:val="en-US" w:eastAsia="zh-CN" w:bidi="ar-SA"/>
              </w:rPr>
              <w:t>根据《佳木斯市人民政府关于“三线一单”生态环境分区管控的实施意见》（佳政规〔2021〕4号）</w:t>
            </w:r>
            <w:r>
              <w:rPr>
                <w:rFonts w:hint="eastAsia"/>
                <w:color w:val="auto"/>
                <w:lang w:val="en-US" w:eastAsia="zh-CN"/>
              </w:rPr>
              <w:t>，</w:t>
            </w:r>
            <w:r>
              <w:rPr>
                <w:rFonts w:hint="eastAsia" w:ascii="Times New Roman" w:hAnsi="Times New Roman" w:eastAsia="宋体" w:cs="Times New Roman"/>
                <w:b w:val="0"/>
                <w:bCs w:val="0"/>
                <w:color w:val="auto"/>
                <w:kern w:val="0"/>
                <w:sz w:val="24"/>
                <w:szCs w:val="24"/>
                <w:lang w:val="en-US" w:eastAsia="zh-CN" w:bidi="ar-SA"/>
              </w:rPr>
              <w:t>结合本项目生产工艺、排污状况和区域环境及环境质量现状进行调查的基础上，与“三线一单”符合性分析。本项目位于佳木斯市桦南县曙光农场第十五作业站，所在区域为重点管控单元。</w:t>
            </w:r>
          </w:p>
          <w:p w14:paraId="1D0AAFB4">
            <w:pPr>
              <w:pStyle w:val="84"/>
              <w:rPr>
                <w:color w:val="auto"/>
              </w:rPr>
            </w:pPr>
            <w:r>
              <w:rPr>
                <w:color w:val="auto"/>
              </w:rPr>
              <w:t>1、生态保护红线</w:t>
            </w:r>
          </w:p>
          <w:p w14:paraId="3972E6DD">
            <w:pPr>
              <w:pStyle w:val="77"/>
              <w:rPr>
                <w:color w:val="auto"/>
              </w:rPr>
            </w:pPr>
            <w:r>
              <w:rPr>
                <w:color w:val="auto"/>
              </w:rPr>
              <w:t>本项目位于</w:t>
            </w:r>
            <w:r>
              <w:rPr>
                <w:rFonts w:hint="eastAsia"/>
                <w:color w:val="auto"/>
                <w:lang w:eastAsia="zh-CN"/>
              </w:rPr>
              <w:t>黑龙江省佳木斯市桦南县曙光农场第十五作业站</w:t>
            </w:r>
            <w:r>
              <w:rPr>
                <w:color w:val="auto"/>
              </w:rPr>
              <w:t>，</w:t>
            </w:r>
            <w:r>
              <w:rPr>
                <w:rFonts w:hint="eastAsia"/>
                <w:color w:val="auto"/>
              </w:rPr>
              <w:t>周边无自然保护区、森林公园、风景名胜区、世界文化自然遗产、地质公园和基本农田等需要殊保护区域。因此，本项目占地不在生态空间和生态保护红线范围内，本项目建设符合生态保护红线要求。</w:t>
            </w:r>
          </w:p>
          <w:p w14:paraId="2E4F8120">
            <w:pPr>
              <w:pStyle w:val="77"/>
              <w:rPr>
                <w:color w:val="auto"/>
              </w:rPr>
            </w:pPr>
            <w:r>
              <w:rPr>
                <w:color w:val="auto"/>
              </w:rPr>
              <w:t>（2）环境质量底线</w:t>
            </w:r>
          </w:p>
          <w:p w14:paraId="6A126774">
            <w:pPr>
              <w:pStyle w:val="77"/>
              <w:rPr>
                <w:rFonts w:ascii="Times New Roman" w:hAnsi="Times New Roman" w:cs="Times New Roman"/>
                <w:color w:val="auto"/>
              </w:rPr>
            </w:pPr>
            <w:r>
              <w:rPr>
                <w:color w:val="auto"/>
              </w:rPr>
              <w:t>本项目所在区域环境空气功能为二类区</w:t>
            </w:r>
            <w:r>
              <w:rPr>
                <w:rFonts w:hint="eastAsia"/>
                <w:color w:val="auto"/>
                <w:lang w:eastAsia="zh-CN"/>
              </w:rPr>
              <w:t>，</w:t>
            </w:r>
            <w:r>
              <w:rPr>
                <w:rFonts w:hint="eastAsia"/>
                <w:color w:val="auto"/>
                <w:lang w:val="en-US" w:eastAsia="zh-CN"/>
              </w:rPr>
              <w:t>为环境空气质量达标区，其他污染物TSP的监测满足《环境空气质量标准》（GB3095-2012）及修改单中二级标准要求</w:t>
            </w:r>
            <w:r>
              <w:rPr>
                <w:color w:val="auto"/>
              </w:rPr>
              <w:t>。本项目为报废农用机械拆解项目，项目建设过程中严格落实本报告表提出的污染物防治措施，</w:t>
            </w:r>
            <w:r>
              <w:rPr>
                <w:rFonts w:hint="eastAsia"/>
                <w:color w:val="auto"/>
              </w:rPr>
              <w:t>本项目在全封闭拆解车间内切割工位设置移动式布袋除尘器，排空油箱油品</w:t>
            </w:r>
            <w:r>
              <w:rPr>
                <w:rFonts w:hint="eastAsia"/>
                <w:color w:val="auto"/>
                <w:lang w:val="en-US" w:eastAsia="zh-CN"/>
              </w:rPr>
              <w:t>产生的非甲烷总烃</w:t>
            </w:r>
            <w:r>
              <w:rPr>
                <w:rFonts w:hint="eastAsia"/>
                <w:color w:val="auto"/>
              </w:rPr>
              <w:t>采用集气罩+活性炭吸附装置</w:t>
            </w:r>
            <w:r>
              <w:rPr>
                <w:rFonts w:hint="eastAsia"/>
                <w:color w:val="auto"/>
                <w:lang w:val="en-US" w:eastAsia="zh-CN"/>
              </w:rPr>
              <w:t>处理后排放，危险废物采用密闭容器包装，经活性炭吸附后由15m高P1排气筒排放</w:t>
            </w:r>
            <w:r>
              <w:rPr>
                <w:color w:val="auto"/>
              </w:rPr>
              <w:t>。</w:t>
            </w:r>
            <w:r>
              <w:rPr>
                <w:rFonts w:hint="eastAsia"/>
                <w:color w:val="auto"/>
                <w:lang w:val="en-US" w:eastAsia="zh-CN"/>
              </w:rPr>
              <w:t>采取措施后，</w:t>
            </w:r>
            <w:r>
              <w:rPr>
                <w:color w:val="auto"/>
              </w:rPr>
              <w:t>颗粒物排放浓度</w:t>
            </w:r>
            <w:r>
              <w:rPr>
                <w:rFonts w:hint="eastAsia"/>
                <w:color w:val="auto"/>
                <w:lang w:val="en-US" w:eastAsia="zh-CN"/>
              </w:rPr>
              <w:t>满足</w:t>
            </w:r>
            <w:r>
              <w:rPr>
                <w:color w:val="auto"/>
              </w:rPr>
              <w:t>《大气污染物综合排放标准》（GB16297-1996）表2中无组织排放监控浓度限值要求；拆解工段非甲烷总烃排放浓度</w:t>
            </w:r>
            <w:r>
              <w:rPr>
                <w:rFonts w:hint="eastAsia"/>
                <w:color w:val="auto"/>
                <w:lang w:val="en-US" w:eastAsia="zh-CN"/>
              </w:rPr>
              <w:t>满足</w:t>
            </w:r>
            <w:r>
              <w:rPr>
                <w:color w:val="auto"/>
              </w:rPr>
              <w:t>《大气污染物综合排放标准》（GB16297-1996）非甲烷总烃无组织</w:t>
            </w:r>
            <w:r>
              <w:rPr>
                <w:rFonts w:hint="eastAsia"/>
                <w:color w:val="auto"/>
                <w:lang w:val="en-US" w:eastAsia="zh-CN"/>
              </w:rPr>
              <w:t>和有组织</w:t>
            </w:r>
            <w:r>
              <w:rPr>
                <w:color w:val="auto"/>
              </w:rPr>
              <w:t>排放监控浓度限值；厂区内非甲烷总烃满足《挥发性有机物无组织排放控制标准》（GB37822-2019）中表A.1无组织排放限值（1h平均浓度＜10m</w:t>
            </w:r>
            <w:r>
              <w:rPr>
                <w:rFonts w:ascii="Times New Roman" w:hAnsi="Times New Roman" w:cs="Times New Roman"/>
                <w:color w:val="auto"/>
              </w:rPr>
              <w:t>g/m3，任意一次浓度值＜30mg/m</w:t>
            </w:r>
            <w:r>
              <w:rPr>
                <w:rFonts w:ascii="Times New Roman" w:hAnsi="Times New Roman" w:cs="Times New Roman"/>
                <w:color w:val="auto"/>
                <w:vertAlign w:val="superscript"/>
              </w:rPr>
              <w:t>3</w:t>
            </w:r>
            <w:r>
              <w:rPr>
                <w:rFonts w:ascii="Times New Roman" w:hAnsi="Times New Roman" w:cs="Times New Roman"/>
                <w:color w:val="auto"/>
              </w:rPr>
              <w:t>）。</w:t>
            </w:r>
          </w:p>
          <w:p w14:paraId="279AE9AD">
            <w:pPr>
              <w:pStyle w:val="77"/>
              <w:rPr>
                <w:rFonts w:ascii="Times New Roman" w:hAnsi="Times New Roman" w:cs="Times New Roman"/>
                <w:color w:val="auto"/>
                <w:lang w:val="en-US" w:eastAsia="zh-CN"/>
              </w:rPr>
            </w:pPr>
            <w:r>
              <w:rPr>
                <w:rFonts w:hint="eastAsia" w:ascii="Times New Roman" w:hAnsi="Times New Roman" w:cs="Times New Roman"/>
                <w:color w:val="auto"/>
                <w:lang w:val="en-US" w:eastAsia="zh-CN"/>
              </w:rPr>
              <w:t>本项目地表水为</w:t>
            </w:r>
            <w:r>
              <w:rPr>
                <w:rFonts w:hint="eastAsia" w:cs="Times New Roman"/>
                <w:color w:val="auto"/>
                <w:lang w:val="en-US" w:eastAsia="zh-CN"/>
              </w:rPr>
              <w:t>八虎力河</w:t>
            </w:r>
            <w:r>
              <w:rPr>
                <w:rFonts w:hint="eastAsia" w:ascii="Times New Roman" w:hAnsi="Times New Roman" w:cs="Times New Roman"/>
                <w:color w:val="auto"/>
                <w:lang w:val="en-US" w:eastAsia="zh-CN"/>
              </w:rPr>
              <w:t>，地表水环境达到《地表水环境质量标准》</w:t>
            </w:r>
            <w:r>
              <w:rPr>
                <w:rFonts w:hint="default" w:ascii="Times New Roman" w:hAnsi="Times New Roman" w:cs="Times New Roman"/>
                <w:color w:val="auto"/>
                <w:lang w:val="en-US" w:eastAsia="zh-CN"/>
              </w:rPr>
              <w:t>(GB3838-2002) III</w:t>
            </w:r>
            <w:r>
              <w:rPr>
                <w:rFonts w:hint="eastAsia" w:ascii="Times New Roman" w:hAnsi="Times New Roman" w:cs="Times New Roman"/>
                <w:color w:val="auto"/>
                <w:lang w:val="en-US" w:eastAsia="zh-CN"/>
              </w:rPr>
              <w:t>类标准要求。</w:t>
            </w:r>
          </w:p>
          <w:p w14:paraId="6A8FDE05">
            <w:pPr>
              <w:pStyle w:val="77"/>
              <w:rPr>
                <w:color w:val="auto"/>
              </w:rPr>
            </w:pPr>
            <w:r>
              <w:rPr>
                <w:rFonts w:ascii="Times New Roman" w:hAnsi="Times New Roman" w:cs="Times New Roman"/>
                <w:color w:val="auto"/>
              </w:rPr>
              <w:t>通过环境影响分析可知，本项目建成后，</w:t>
            </w:r>
            <w:r>
              <w:rPr>
                <w:rFonts w:hint="eastAsia" w:ascii="Times New Roman" w:hAnsi="Times New Roman" w:cs="Times New Roman"/>
                <w:color w:val="auto"/>
                <w:lang w:val="en-US" w:eastAsia="zh-CN"/>
              </w:rPr>
              <w:t>通过</w:t>
            </w:r>
            <w:r>
              <w:rPr>
                <w:rFonts w:hint="eastAsia" w:ascii="Times New Roman" w:hAnsi="Times New Roman" w:cs="Times New Roman"/>
                <w:color w:val="auto"/>
              </w:rPr>
              <w:t>采取选用低噪声设备，通过厂房隔声、基础减振等措施</w:t>
            </w:r>
            <w:r>
              <w:rPr>
                <w:rFonts w:hint="eastAsia" w:ascii="Times New Roman" w:hAnsi="Times New Roman" w:cs="Times New Roman"/>
                <w:color w:val="auto"/>
                <w:lang w:eastAsia="zh-CN"/>
              </w:rPr>
              <w:t>，</w:t>
            </w:r>
            <w:r>
              <w:rPr>
                <w:rFonts w:ascii="Times New Roman" w:hAnsi="Times New Roman" w:cs="Times New Roman"/>
                <w:color w:val="auto"/>
              </w:rPr>
              <w:t>项目厂界噪声可满足《工业企</w:t>
            </w:r>
            <w:r>
              <w:rPr>
                <w:snapToGrid w:val="0"/>
                <w:color w:val="auto"/>
              </w:rPr>
              <w:t>业厂界环境噪声排放标准》（GB12348-2008）表1中2类标准的要求。</w:t>
            </w:r>
          </w:p>
          <w:p w14:paraId="46DC94EA">
            <w:pPr>
              <w:pStyle w:val="77"/>
              <w:rPr>
                <w:color w:val="auto"/>
              </w:rPr>
            </w:pPr>
            <w:r>
              <w:rPr>
                <w:color w:val="auto"/>
              </w:rPr>
              <w:t>因此本项目建设符合环境质量底线要求。</w:t>
            </w:r>
          </w:p>
          <w:p w14:paraId="797F0095">
            <w:pPr>
              <w:pStyle w:val="77"/>
              <w:rPr>
                <w:color w:val="auto"/>
              </w:rPr>
            </w:pPr>
            <w:r>
              <w:rPr>
                <w:color w:val="auto"/>
              </w:rPr>
              <w:t>（3）资源利用上线</w:t>
            </w:r>
          </w:p>
          <w:p w14:paraId="6FC0B38C">
            <w:pPr>
              <w:pStyle w:val="77"/>
              <w:rPr>
                <w:color w:val="auto"/>
              </w:rPr>
            </w:pPr>
            <w:r>
              <w:rPr>
                <w:color w:val="auto"/>
              </w:rPr>
              <w:t>本项目为报废农用机械拆解项目，能源主要来源为市政供电，消耗的水主要用于生活用水，资源消耗均符合相关设计和标准要求。本工程在选址和布局上采用环境影响最小的布局方案，减少对土地的占用，土地资源消耗符合要求。因此本项目建设符合资源利用上线要求。</w:t>
            </w:r>
          </w:p>
          <w:p w14:paraId="2B503D9D">
            <w:pPr>
              <w:pStyle w:val="77"/>
              <w:rPr>
                <w:color w:val="auto"/>
              </w:rPr>
            </w:pPr>
            <w:r>
              <w:rPr>
                <w:color w:val="auto"/>
              </w:rPr>
              <w:t>（4）生态环境准入清单</w:t>
            </w:r>
          </w:p>
          <w:p w14:paraId="28E65BBF">
            <w:pPr>
              <w:pStyle w:val="78"/>
              <w:keepNext w:val="0"/>
              <w:keepLines w:val="0"/>
              <w:pageBreakBefore w:val="0"/>
              <w:widowControl w:val="0"/>
              <w:kinsoku/>
              <w:wordWrap/>
              <w:overflowPunct/>
              <w:topLinePunct w:val="0"/>
              <w:autoSpaceDE/>
              <w:autoSpaceDN/>
              <w:bidi w:val="0"/>
              <w:adjustRightInd w:val="0"/>
              <w:snapToGrid w:val="0"/>
              <w:spacing w:line="500" w:lineRule="exact"/>
              <w:ind w:firstLine="480" w:firstLineChars="200"/>
              <w:jc w:val="left"/>
              <w:textAlignment w:val="auto"/>
              <w:rPr>
                <w:rFonts w:ascii="Times New Roman" w:hAnsi="Times New Roman" w:eastAsia="宋体" w:cs="Times New Roman"/>
                <w:b w:val="0"/>
                <w:bCs/>
                <w:color w:val="auto"/>
                <w:kern w:val="0"/>
                <w:sz w:val="24"/>
                <w:szCs w:val="24"/>
                <w:lang w:val="en-US" w:eastAsia="zh-CN" w:bidi="ar-SA"/>
              </w:rPr>
            </w:pPr>
            <w:r>
              <w:rPr>
                <w:rFonts w:ascii="Times New Roman" w:hAnsi="Times New Roman" w:eastAsia="宋体" w:cs="Times New Roman"/>
                <w:b w:val="0"/>
                <w:bCs/>
                <w:color w:val="auto"/>
                <w:kern w:val="0"/>
                <w:sz w:val="24"/>
                <w:szCs w:val="24"/>
                <w:lang w:val="en-US" w:eastAsia="zh-CN" w:bidi="ar-SA"/>
              </w:rPr>
              <w:t>本项目位于</w:t>
            </w:r>
            <w:r>
              <w:rPr>
                <w:rFonts w:hint="eastAsia" w:ascii="Times New Roman" w:hAnsi="Times New Roman" w:eastAsia="宋体" w:cs="Times New Roman"/>
                <w:b w:val="0"/>
                <w:bCs/>
                <w:color w:val="auto"/>
                <w:kern w:val="0"/>
                <w:sz w:val="24"/>
                <w:szCs w:val="24"/>
                <w:lang w:val="en-US" w:eastAsia="zh-CN" w:bidi="ar-SA"/>
              </w:rPr>
              <w:t>佳木斯市桦南县曙光农场第十五作业站</w:t>
            </w:r>
            <w:r>
              <w:rPr>
                <w:rFonts w:ascii="Times New Roman" w:hAnsi="Times New Roman" w:eastAsia="宋体" w:cs="Times New Roman"/>
                <w:b w:val="0"/>
                <w:bCs/>
                <w:color w:val="auto"/>
                <w:kern w:val="0"/>
                <w:sz w:val="24"/>
                <w:szCs w:val="24"/>
                <w:lang w:val="en-US" w:eastAsia="zh-CN" w:bidi="ar-SA"/>
              </w:rPr>
              <w:t>，根据</w:t>
            </w:r>
            <w:r>
              <w:rPr>
                <w:rFonts w:hint="eastAsia" w:ascii="Times New Roman" w:hAnsi="Times New Roman" w:eastAsia="宋体" w:cs="Times New Roman"/>
                <w:b w:val="0"/>
                <w:bCs/>
                <w:color w:val="auto"/>
                <w:kern w:val="0"/>
                <w:sz w:val="24"/>
                <w:szCs w:val="24"/>
                <w:lang w:val="en-US" w:eastAsia="zh-CN" w:bidi="ar-SA"/>
              </w:rPr>
              <w:t>《</w:t>
            </w:r>
            <w:r>
              <w:rPr>
                <w:rFonts w:hint="default" w:ascii="Times New Roman" w:hAnsi="Times New Roman" w:eastAsia="宋体" w:cs="Times New Roman"/>
                <w:b w:val="0"/>
                <w:bCs/>
                <w:color w:val="auto"/>
                <w:kern w:val="0"/>
                <w:sz w:val="24"/>
                <w:szCs w:val="24"/>
                <w:lang w:val="en-US" w:eastAsia="zh-CN" w:bidi="ar-SA"/>
              </w:rPr>
              <w:t>《</w:t>
            </w:r>
            <w:r>
              <w:rPr>
                <w:rFonts w:hint="eastAsia" w:ascii="Times New Roman" w:hAnsi="Times New Roman" w:eastAsia="宋体" w:cs="Times New Roman"/>
                <w:b w:val="0"/>
                <w:bCs/>
                <w:color w:val="auto"/>
                <w:kern w:val="0"/>
                <w:sz w:val="24"/>
                <w:szCs w:val="24"/>
                <w:lang w:val="en-US" w:eastAsia="zh-CN" w:bidi="ar-SA"/>
              </w:rPr>
              <w:t>佳木斯市生态环境准入清单（2023年版）</w:t>
            </w:r>
            <w:r>
              <w:rPr>
                <w:rFonts w:hint="default" w:ascii="Times New Roman" w:hAnsi="Times New Roman" w:eastAsia="宋体" w:cs="Times New Roman"/>
                <w:b w:val="0"/>
                <w:bCs/>
                <w:color w:val="auto"/>
                <w:kern w:val="0"/>
                <w:sz w:val="24"/>
                <w:szCs w:val="24"/>
                <w:lang w:val="en-US" w:eastAsia="zh-CN" w:bidi="ar-SA"/>
              </w:rPr>
              <w:t>》</w:t>
            </w:r>
            <w:r>
              <w:rPr>
                <w:rFonts w:ascii="Times New Roman" w:hAnsi="Times New Roman" w:eastAsia="宋体" w:cs="Times New Roman"/>
                <w:b w:val="0"/>
                <w:bCs/>
                <w:color w:val="auto"/>
                <w:kern w:val="0"/>
                <w:sz w:val="24"/>
                <w:szCs w:val="24"/>
                <w:lang w:val="en-US" w:eastAsia="zh-CN" w:bidi="ar-SA"/>
              </w:rPr>
              <w:t>，本项目位于</w:t>
            </w:r>
            <w:r>
              <w:rPr>
                <w:rFonts w:hint="eastAsia" w:cs="Times New Roman"/>
                <w:b w:val="0"/>
                <w:bCs/>
                <w:color w:val="auto"/>
                <w:kern w:val="0"/>
                <w:sz w:val="24"/>
                <w:szCs w:val="24"/>
                <w:lang w:val="en-US" w:eastAsia="zh-CN" w:bidi="ar-SA"/>
              </w:rPr>
              <w:t>桦南县城镇空间</w:t>
            </w:r>
            <w:r>
              <w:rPr>
                <w:rFonts w:ascii="Times New Roman" w:hAnsi="Times New Roman" w:eastAsia="宋体" w:cs="Times New Roman"/>
                <w:b w:val="0"/>
                <w:bCs/>
                <w:color w:val="auto"/>
                <w:kern w:val="0"/>
                <w:sz w:val="24"/>
                <w:szCs w:val="24"/>
                <w:lang w:val="en-US" w:eastAsia="zh-CN" w:bidi="ar-SA"/>
              </w:rPr>
              <w:t>，管控单元编号</w:t>
            </w:r>
            <w:r>
              <w:rPr>
                <w:rFonts w:hint="eastAsia" w:ascii="Times New Roman" w:hAnsi="Times New Roman" w:eastAsia="宋体" w:cs="Times New Roman"/>
                <w:b w:val="0"/>
                <w:bCs/>
                <w:color w:val="auto"/>
                <w:kern w:val="0"/>
                <w:sz w:val="24"/>
                <w:szCs w:val="24"/>
                <w:lang w:val="en-US" w:eastAsia="zh-CN" w:bidi="ar-SA"/>
              </w:rPr>
              <w:t>ZH23082220003</w:t>
            </w:r>
            <w:r>
              <w:rPr>
                <w:rFonts w:ascii="Times New Roman" w:hAnsi="Times New Roman" w:eastAsia="宋体" w:cs="Times New Roman"/>
                <w:b w:val="0"/>
                <w:bCs/>
                <w:color w:val="auto"/>
                <w:kern w:val="0"/>
                <w:sz w:val="24"/>
                <w:szCs w:val="24"/>
                <w:lang w:val="en-US" w:eastAsia="zh-CN" w:bidi="ar-SA"/>
              </w:rPr>
              <w:t>。本项目</w:t>
            </w:r>
            <w:r>
              <w:rPr>
                <w:rFonts w:hint="eastAsia" w:cs="Times New Roman"/>
                <w:b w:val="0"/>
                <w:bCs/>
                <w:color w:val="auto"/>
                <w:kern w:val="0"/>
                <w:sz w:val="24"/>
                <w:szCs w:val="24"/>
                <w:lang w:val="en-US" w:eastAsia="zh-CN" w:bidi="ar-SA"/>
              </w:rPr>
              <w:t>与</w:t>
            </w:r>
            <w:r>
              <w:rPr>
                <w:rFonts w:ascii="Times New Roman" w:hAnsi="Times New Roman" w:eastAsia="宋体" w:cs="Times New Roman"/>
                <w:b w:val="0"/>
                <w:bCs/>
                <w:color w:val="auto"/>
                <w:kern w:val="0"/>
                <w:sz w:val="24"/>
                <w:szCs w:val="24"/>
                <w:lang w:val="en-US" w:eastAsia="zh-CN" w:bidi="ar-SA"/>
              </w:rPr>
              <w:t>生态环境准入清单对照情况见下表。</w:t>
            </w:r>
          </w:p>
          <w:p w14:paraId="4C1CE7AB">
            <w:pPr>
              <w:pStyle w:val="78"/>
              <w:rPr>
                <w:color w:val="auto"/>
              </w:rPr>
            </w:pPr>
            <w:r>
              <w:rPr>
                <w:color w:val="auto"/>
              </w:rPr>
              <w:t>表1-6 生态环境准入清单符合性分析</w:t>
            </w:r>
          </w:p>
          <w:tbl>
            <w:tblPr>
              <w:tblStyle w:val="19"/>
              <w:tblW w:w="476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48"/>
              <w:gridCol w:w="1345"/>
              <w:gridCol w:w="4379"/>
            </w:tblGrid>
            <w:tr w14:paraId="10953A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 w:hRule="atLeast"/>
                <w:jc w:val="center"/>
              </w:trPr>
              <w:tc>
                <w:tcPr>
                  <w:tcW w:w="1767" w:type="pct"/>
                  <w:gridSpan w:val="2"/>
                  <w:tcBorders>
                    <w:bottom w:val="single" w:color="auto" w:sz="4" w:space="0"/>
                  </w:tcBorders>
                  <w:vAlign w:val="center"/>
                </w:tcPr>
                <w:p w14:paraId="49026F3A">
                  <w:pPr>
                    <w:pStyle w:val="82"/>
                    <w:jc w:val="center"/>
                    <w:rPr>
                      <w:snapToGrid w:val="0"/>
                      <w:color w:val="auto"/>
                    </w:rPr>
                  </w:pPr>
                  <w:r>
                    <w:rPr>
                      <w:snapToGrid w:val="0"/>
                      <w:color w:val="auto"/>
                    </w:rPr>
                    <w:t>环境管控单元编码</w:t>
                  </w:r>
                </w:p>
              </w:tc>
              <w:tc>
                <w:tcPr>
                  <w:tcW w:w="3232" w:type="pct"/>
                  <w:tcBorders>
                    <w:bottom w:val="single" w:color="auto" w:sz="4" w:space="0"/>
                  </w:tcBorders>
                  <w:vAlign w:val="center"/>
                </w:tcPr>
                <w:p w14:paraId="60AA7D64">
                  <w:pPr>
                    <w:pStyle w:val="82"/>
                    <w:jc w:val="center"/>
                    <w:rPr>
                      <w:snapToGrid w:val="0"/>
                      <w:color w:val="auto"/>
                    </w:rPr>
                  </w:pPr>
                  <w:r>
                    <w:rPr>
                      <w:rFonts w:hint="eastAsia"/>
                      <w:color w:val="auto"/>
                    </w:rPr>
                    <w:t>ZH23082220003</w:t>
                  </w:r>
                </w:p>
              </w:tc>
            </w:tr>
            <w:tr w14:paraId="6AF5A1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67" w:type="pct"/>
                  <w:gridSpan w:val="2"/>
                  <w:vAlign w:val="center"/>
                </w:tcPr>
                <w:p w14:paraId="33745F0C">
                  <w:pPr>
                    <w:pStyle w:val="82"/>
                    <w:jc w:val="center"/>
                    <w:rPr>
                      <w:snapToGrid w:val="0"/>
                      <w:color w:val="auto"/>
                    </w:rPr>
                  </w:pPr>
                  <w:r>
                    <w:rPr>
                      <w:snapToGrid w:val="0"/>
                      <w:color w:val="auto"/>
                    </w:rPr>
                    <w:t>环境管控单元名称</w:t>
                  </w:r>
                </w:p>
              </w:tc>
              <w:tc>
                <w:tcPr>
                  <w:tcW w:w="3232" w:type="pct"/>
                  <w:vAlign w:val="center"/>
                </w:tcPr>
                <w:p w14:paraId="1A6D8463">
                  <w:pPr>
                    <w:pStyle w:val="82"/>
                    <w:jc w:val="center"/>
                    <w:rPr>
                      <w:snapToGrid w:val="0"/>
                      <w:color w:val="auto"/>
                    </w:rPr>
                  </w:pPr>
                  <w:r>
                    <w:rPr>
                      <w:rFonts w:hint="eastAsia"/>
                      <w:snapToGrid w:val="0"/>
                      <w:color w:val="auto"/>
                      <w:lang w:val="en-US" w:eastAsia="zh-CN"/>
                    </w:rPr>
                    <w:t>桦南县城镇空间</w:t>
                  </w:r>
                </w:p>
              </w:tc>
            </w:tr>
            <w:tr w14:paraId="6092FC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 w:hRule="atLeast"/>
                <w:jc w:val="center"/>
              </w:trPr>
              <w:tc>
                <w:tcPr>
                  <w:tcW w:w="1767" w:type="pct"/>
                  <w:gridSpan w:val="2"/>
                  <w:vAlign w:val="center"/>
                </w:tcPr>
                <w:p w14:paraId="77F043AF">
                  <w:pPr>
                    <w:pStyle w:val="82"/>
                    <w:jc w:val="center"/>
                    <w:rPr>
                      <w:snapToGrid w:val="0"/>
                      <w:color w:val="auto"/>
                    </w:rPr>
                  </w:pPr>
                  <w:r>
                    <w:rPr>
                      <w:snapToGrid w:val="0"/>
                      <w:color w:val="auto"/>
                    </w:rPr>
                    <w:t>管控单元类别</w:t>
                  </w:r>
                </w:p>
              </w:tc>
              <w:tc>
                <w:tcPr>
                  <w:tcW w:w="3232" w:type="pct"/>
                  <w:vAlign w:val="center"/>
                </w:tcPr>
                <w:p w14:paraId="2DF72767">
                  <w:pPr>
                    <w:pStyle w:val="82"/>
                    <w:jc w:val="center"/>
                    <w:rPr>
                      <w:snapToGrid w:val="0"/>
                      <w:color w:val="auto"/>
                    </w:rPr>
                  </w:pPr>
                  <w:r>
                    <w:rPr>
                      <w:snapToGrid w:val="0"/>
                      <w:color w:val="auto"/>
                    </w:rPr>
                    <w:t>重点管控单元</w:t>
                  </w:r>
                </w:p>
              </w:tc>
            </w:tr>
            <w:tr w14:paraId="099BE9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jc w:val="center"/>
              </w:trPr>
              <w:tc>
                <w:tcPr>
                  <w:tcW w:w="774" w:type="pct"/>
                  <w:vMerge w:val="restart"/>
                  <w:vAlign w:val="center"/>
                </w:tcPr>
                <w:p w14:paraId="3E3BCE1E">
                  <w:pPr>
                    <w:pStyle w:val="82"/>
                    <w:jc w:val="center"/>
                    <w:rPr>
                      <w:color w:val="auto"/>
                    </w:rPr>
                  </w:pPr>
                  <w:r>
                    <w:rPr>
                      <w:color w:val="auto"/>
                    </w:rPr>
                    <w:t>管控要求</w:t>
                  </w:r>
                </w:p>
              </w:tc>
              <w:tc>
                <w:tcPr>
                  <w:tcW w:w="992" w:type="pct"/>
                  <w:vAlign w:val="center"/>
                </w:tcPr>
                <w:p w14:paraId="066A24B0">
                  <w:pPr>
                    <w:pStyle w:val="82"/>
                    <w:rPr>
                      <w:color w:val="auto"/>
                    </w:rPr>
                  </w:pPr>
                  <w:r>
                    <w:rPr>
                      <w:color w:val="auto"/>
                    </w:rPr>
                    <w:t>空间布局约束</w:t>
                  </w:r>
                </w:p>
              </w:tc>
              <w:tc>
                <w:tcPr>
                  <w:tcW w:w="3232" w:type="pct"/>
                  <w:vAlign w:val="center"/>
                </w:tcPr>
                <w:p w14:paraId="3327C13B">
                  <w:pPr>
                    <w:pStyle w:val="82"/>
                    <w:rPr>
                      <w:rFonts w:hint="eastAsia"/>
                      <w:color w:val="auto"/>
                      <w:spacing w:val="-3"/>
                      <w:lang w:val="zh-CN" w:bidi="zh-CN"/>
                    </w:rPr>
                  </w:pPr>
                  <w:r>
                    <w:rPr>
                      <w:rFonts w:hint="eastAsia"/>
                      <w:color w:val="auto"/>
                      <w:spacing w:val="-3"/>
                      <w:lang w:val="zh-CN" w:bidi="zh-CN"/>
                    </w:rPr>
                    <w:t>1.执行：①严禁在人口密集区新建危险化学品生产项目，城镇人口密集区危险化学品生产企业应搬迁改造。②禁止在城镇居民区、文化教育科学研究区等人口集中区域建设畜禽养殖场、养殖小区。</w:t>
                  </w:r>
                </w:p>
                <w:p w14:paraId="202E078A">
                  <w:pPr>
                    <w:pStyle w:val="82"/>
                    <w:rPr>
                      <w:rFonts w:hint="eastAsia"/>
                      <w:color w:val="auto"/>
                      <w:spacing w:val="-3"/>
                      <w:lang w:val="zh-CN" w:bidi="zh-CN"/>
                    </w:rPr>
                  </w:pPr>
                  <w:r>
                    <w:rPr>
                      <w:rFonts w:hint="eastAsia"/>
                      <w:color w:val="auto"/>
                      <w:spacing w:val="-3"/>
                      <w:lang w:val="zh-CN" w:bidi="zh-CN"/>
                    </w:rPr>
                    <w:t>2.水环境农业污染重点管控区同时执行：①科学划定畜禽养殖禁养区。②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w:t>
                  </w:r>
                </w:p>
                <w:p w14:paraId="3DD8DCAA">
                  <w:pPr>
                    <w:pStyle w:val="82"/>
                    <w:rPr>
                      <w:color w:val="auto"/>
                    </w:rPr>
                  </w:pPr>
                  <w:r>
                    <w:rPr>
                      <w:rFonts w:hint="eastAsia"/>
                      <w:color w:val="auto"/>
                      <w:spacing w:val="-3"/>
                      <w:lang w:val="zh-CN" w:bidi="zh-CN"/>
                    </w:rPr>
                    <w:t>3.大气环境布局敏感重点管控区同时执行：①严控“两高”行业产能。严格执行钢铁、水泥、平板玻璃等行业产能置换实施办法。②利用水泥窑协同处置城市生活垃圾、危险废弃物、电石渣等固废伴生水泥项目，必须依托现有新型干法水泥熟料生产线进行不扩产能改造。</w:t>
                  </w:r>
                </w:p>
              </w:tc>
            </w:tr>
            <w:tr w14:paraId="50E638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74" w:type="pct"/>
                  <w:vMerge w:val="continue"/>
                  <w:vAlign w:val="center"/>
                </w:tcPr>
                <w:p w14:paraId="6A3ED3D4">
                  <w:pPr>
                    <w:pStyle w:val="82"/>
                    <w:rPr>
                      <w:color w:val="auto"/>
                    </w:rPr>
                  </w:pPr>
                </w:p>
              </w:tc>
              <w:tc>
                <w:tcPr>
                  <w:tcW w:w="992" w:type="pct"/>
                  <w:vAlign w:val="center"/>
                </w:tcPr>
                <w:p w14:paraId="23E310B3">
                  <w:pPr>
                    <w:pStyle w:val="82"/>
                    <w:rPr>
                      <w:color w:val="auto"/>
                    </w:rPr>
                  </w:pPr>
                  <w:r>
                    <w:rPr>
                      <w:color w:val="auto"/>
                    </w:rPr>
                    <w:t>污染物排放管控</w:t>
                  </w:r>
                </w:p>
              </w:tc>
              <w:tc>
                <w:tcPr>
                  <w:tcW w:w="3232" w:type="pct"/>
                  <w:vAlign w:val="center"/>
                </w:tcPr>
                <w:p w14:paraId="2EF0A6DE">
                  <w:pPr>
                    <w:pStyle w:val="82"/>
                    <w:rPr>
                      <w:rFonts w:hint="eastAsia" w:ascii="Times New Roman" w:hAnsi="Times New Roman" w:eastAsia="宋体" w:cs="Times New Roman"/>
                      <w:color w:val="auto"/>
                      <w:spacing w:val="-3"/>
                      <w:lang w:val="zh-CN" w:bidi="zh-CN"/>
                    </w:rPr>
                  </w:pPr>
                  <w:r>
                    <w:rPr>
                      <w:rFonts w:hint="eastAsia" w:ascii="Times New Roman" w:hAnsi="Times New Roman" w:eastAsia="宋体" w:cs="Times New Roman"/>
                      <w:color w:val="auto"/>
                      <w:spacing w:val="-3"/>
                      <w:lang w:val="zh-CN" w:bidi="zh-CN"/>
                    </w:rPr>
                    <w:t>1.执行：加快65t／h以上燃煤锅炉（含电力）超低排放改造。</w:t>
                  </w:r>
                </w:p>
                <w:p w14:paraId="3A2959B1">
                  <w:pPr>
                    <w:pStyle w:val="82"/>
                    <w:rPr>
                      <w:rFonts w:hint="eastAsia" w:ascii="Times New Roman" w:hAnsi="Times New Roman" w:eastAsia="宋体" w:cs="Times New Roman"/>
                      <w:color w:val="auto"/>
                      <w:spacing w:val="-3"/>
                      <w:lang w:val="zh-CN" w:bidi="zh-CN"/>
                    </w:rPr>
                  </w:pPr>
                  <w:r>
                    <w:rPr>
                      <w:rFonts w:hint="eastAsia" w:ascii="Times New Roman" w:hAnsi="Times New Roman" w:eastAsia="宋体" w:cs="Times New Roman"/>
                      <w:color w:val="auto"/>
                      <w:spacing w:val="-3"/>
                      <w:lang w:val="zh-CN" w:bidi="zh-CN"/>
                    </w:rPr>
                    <w:t>2.水环境农业污染重点管控区同时执行：①支持规模化畜禽养殖场（小区）开展标准化改造和建设，提高畜禽粪污收集和处理机械化水平，实施雨污分流、粪污资源化利用，控制畜禽养殖污染排放。②畜禽养殖户应当及时对畜禽粪便、污水进行收集、贮存、清运，或者进行无害化处理。县级人民政府应当组织对本行政区域的畜禽散养密集区畜禽粪便、污水进行集中处理利用，督促乡镇人民政府建设或者配备污染防治配套设施。③全面加强农业面源污染防控，科学合理使用农业投入品，提高使用效率，减少农业内源性污染。</w:t>
                  </w:r>
                </w:p>
                <w:p w14:paraId="553D34A3">
                  <w:pPr>
                    <w:pStyle w:val="82"/>
                    <w:rPr>
                      <w:rFonts w:hint="eastAsia" w:ascii="Times New Roman" w:hAnsi="Times New Roman" w:eastAsia="宋体" w:cs="Times New Roman"/>
                      <w:color w:val="auto"/>
                      <w:spacing w:val="-3"/>
                      <w:lang w:val="zh-CN" w:bidi="zh-CN"/>
                    </w:rPr>
                  </w:pPr>
                  <w:r>
                    <w:rPr>
                      <w:rFonts w:hint="eastAsia" w:ascii="Times New Roman" w:hAnsi="Times New Roman" w:eastAsia="宋体" w:cs="Times New Roman"/>
                      <w:color w:val="auto"/>
                      <w:spacing w:val="-3"/>
                      <w:lang w:val="zh-CN" w:bidi="zh-CN"/>
                    </w:rPr>
                    <w:t>3.大气环境布局敏感重点管控区同时执行：①对以煤、石焦油、渣油、重油等为燃料的锅炉和工业炉窑，加快使用清洁低碳能源以及工厂余热、电力热力等进行替代。②  ③到2025年，在用65蒸吨/小时以上的燃煤锅炉（含电力）实现超低排放，钢铁企业基本实现超低排放。</w:t>
                  </w:r>
                </w:p>
              </w:tc>
            </w:tr>
            <w:tr w14:paraId="4A92FC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74" w:type="pct"/>
                  <w:vMerge w:val="continue"/>
                  <w:vAlign w:val="center"/>
                </w:tcPr>
                <w:p w14:paraId="5064CB38">
                  <w:pPr>
                    <w:pStyle w:val="82"/>
                    <w:rPr>
                      <w:color w:val="auto"/>
                    </w:rPr>
                  </w:pPr>
                </w:p>
              </w:tc>
              <w:tc>
                <w:tcPr>
                  <w:tcW w:w="992" w:type="pct"/>
                  <w:vAlign w:val="center"/>
                </w:tcPr>
                <w:p w14:paraId="0D6CDC94">
                  <w:pPr>
                    <w:pStyle w:val="82"/>
                    <w:rPr>
                      <w:color w:val="auto"/>
                    </w:rPr>
                  </w:pPr>
                  <w:r>
                    <w:rPr>
                      <w:color w:val="auto"/>
                    </w:rPr>
                    <w:t>环境风险防控</w:t>
                  </w:r>
                </w:p>
              </w:tc>
              <w:tc>
                <w:tcPr>
                  <w:tcW w:w="3232" w:type="pct"/>
                  <w:vAlign w:val="center"/>
                </w:tcPr>
                <w:p w14:paraId="1B5D6572">
                  <w:pPr>
                    <w:pStyle w:val="82"/>
                    <w:rPr>
                      <w:rFonts w:hint="eastAsia" w:ascii="Times New Roman" w:hAnsi="Times New Roman" w:eastAsia="宋体" w:cs="Times New Roman"/>
                      <w:color w:val="auto"/>
                      <w:spacing w:val="-3"/>
                      <w:kern w:val="2"/>
                      <w:sz w:val="21"/>
                      <w:szCs w:val="24"/>
                      <w:lang w:val="zh-CN" w:eastAsia="zh-CN" w:bidi="zh-CN"/>
                    </w:rPr>
                  </w:pPr>
                  <w:r>
                    <w:rPr>
                      <w:rFonts w:hint="eastAsia" w:ascii="Times New Roman" w:hAnsi="Times New Roman" w:eastAsia="宋体" w:cs="Times New Roman"/>
                      <w:color w:val="auto"/>
                      <w:spacing w:val="-3"/>
                      <w:kern w:val="2"/>
                      <w:sz w:val="21"/>
                      <w:szCs w:val="24"/>
                      <w:lang w:val="zh-CN" w:eastAsia="zh-CN" w:bidi="zh-CN"/>
                    </w:rPr>
                    <w:t>1.执行化工园区与城市建成区、人员密集场所、重要设施、敏感目标等应当保持规定的安全距离，相对封闭，不应保留常住居民，非关联企业和产业要逐步搬迁或退出，妥善防范化解“邻避”问题。严禁在松花江干流及一级支流沿岸1公里范围内布局化工园区。</w:t>
                  </w:r>
                </w:p>
                <w:p w14:paraId="6B93B5C4">
                  <w:pPr>
                    <w:pStyle w:val="82"/>
                    <w:rPr>
                      <w:rFonts w:hint="eastAsia" w:ascii="Times New Roman" w:hAnsi="Times New Roman" w:eastAsia="宋体" w:cs="Times New Roman"/>
                      <w:color w:val="auto"/>
                      <w:spacing w:val="-3"/>
                      <w:kern w:val="2"/>
                      <w:sz w:val="21"/>
                      <w:szCs w:val="24"/>
                      <w:lang w:val="zh-CN" w:eastAsia="zh-CN" w:bidi="zh-CN"/>
                    </w:rPr>
                  </w:pPr>
                  <w:r>
                    <w:rPr>
                      <w:rFonts w:hint="eastAsia" w:ascii="Times New Roman" w:hAnsi="Times New Roman" w:eastAsia="宋体" w:cs="Times New Roman"/>
                      <w:color w:val="auto"/>
                      <w:spacing w:val="-3"/>
                      <w:kern w:val="2"/>
                      <w:sz w:val="21"/>
                      <w:szCs w:val="24"/>
                      <w:lang w:val="zh-CN" w:eastAsia="zh-CN" w:bidi="zh-CN"/>
                    </w:rPr>
                    <w:t>2.大气环境布局敏感重点管控区同时执行：禁止在居民区、学校、医疗和养老机构等周边新建有色金属冶炼、焦化等行业企业。</w:t>
                  </w:r>
                </w:p>
              </w:tc>
            </w:tr>
            <w:tr w14:paraId="485021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774" w:type="pct"/>
                  <w:vMerge w:val="continue"/>
                  <w:vAlign w:val="center"/>
                </w:tcPr>
                <w:p w14:paraId="412EBDF5">
                  <w:pPr>
                    <w:pStyle w:val="82"/>
                    <w:rPr>
                      <w:color w:val="auto"/>
                    </w:rPr>
                  </w:pPr>
                </w:p>
              </w:tc>
              <w:tc>
                <w:tcPr>
                  <w:tcW w:w="992" w:type="pct"/>
                  <w:vAlign w:val="center"/>
                </w:tcPr>
                <w:p w14:paraId="0DC61AD4">
                  <w:pPr>
                    <w:pStyle w:val="82"/>
                    <w:rPr>
                      <w:color w:val="auto"/>
                    </w:rPr>
                  </w:pPr>
                  <w:r>
                    <w:rPr>
                      <w:color w:val="auto"/>
                    </w:rPr>
                    <w:t>资源利用效率要求</w:t>
                  </w:r>
                </w:p>
              </w:tc>
              <w:tc>
                <w:tcPr>
                  <w:tcW w:w="3232" w:type="pct"/>
                  <w:vAlign w:val="center"/>
                </w:tcPr>
                <w:p w14:paraId="75116098">
                  <w:pPr>
                    <w:keepNext w:val="0"/>
                    <w:keepLines w:val="0"/>
                    <w:widowControl/>
                    <w:suppressLineNumbers w:val="0"/>
                    <w:jc w:val="left"/>
                    <w:rPr>
                      <w:rFonts w:hint="default" w:ascii="Times New Roman" w:hAnsi="Times New Roman" w:eastAsia="宋体" w:cs="Times New Roman"/>
                      <w:color w:val="auto"/>
                      <w:kern w:val="0"/>
                      <w:sz w:val="20"/>
                      <w:szCs w:val="20"/>
                      <w:lang w:val="en-US" w:eastAsia="zh-CN" w:bidi="ar"/>
                    </w:rPr>
                  </w:pPr>
                  <w:r>
                    <w:rPr>
                      <w:rFonts w:hint="default" w:ascii="Times New Roman" w:hAnsi="Times New Roman" w:eastAsia="宋体" w:cs="Times New Roman"/>
                      <w:color w:val="auto"/>
                      <w:kern w:val="0"/>
                      <w:sz w:val="20"/>
                      <w:szCs w:val="20"/>
                      <w:lang w:val="en-US" w:eastAsia="zh-CN" w:bidi="ar"/>
                    </w:rPr>
                    <w:t>1.执行：①推进污水再生利用设施建设。②公共建筑必须采用节水器具，限期淘汰公共建筑中不符合节水标准的水嘴、便器水箱等生活用水器具。</w:t>
                  </w:r>
                </w:p>
                <w:p w14:paraId="16BD10A9">
                  <w:pPr>
                    <w:keepNext w:val="0"/>
                    <w:keepLines w:val="0"/>
                    <w:widowControl/>
                    <w:suppressLineNumbers w:val="0"/>
                    <w:jc w:val="left"/>
                    <w:rPr>
                      <w:rFonts w:hint="eastAsia" w:ascii="Times New Roman" w:hAnsi="Times New Roman" w:eastAsia="宋体" w:cs="Times New Roman"/>
                      <w:color w:val="auto"/>
                      <w:spacing w:val="-3"/>
                      <w:kern w:val="2"/>
                      <w:sz w:val="21"/>
                      <w:szCs w:val="24"/>
                      <w:lang w:val="zh-CN" w:eastAsia="zh-CN" w:bidi="zh-CN"/>
                    </w:rPr>
                  </w:pPr>
                  <w:r>
                    <w:rPr>
                      <w:rFonts w:hint="default" w:ascii="Times New Roman" w:hAnsi="Times New Roman" w:eastAsia="宋体" w:cs="Times New Roman"/>
                      <w:color w:val="auto"/>
                      <w:kern w:val="0"/>
                      <w:sz w:val="20"/>
                      <w:szCs w:val="20"/>
                      <w:lang w:val="en-US" w:eastAsia="zh-CN" w:bidi="ar"/>
                    </w:rPr>
                    <w:t>2.高污染燃料禁燃区同时执行：①在禁燃区内，禁止销售、燃用高污染燃料；禁止新建、扩建燃用高污染燃料的设施，已建成的，应当在城市人民政府规定的期限内改用天然气、页岩气、液化石油气、电或者其他清洁能源。②城市建设应当统筹规划，在燃煤供热地区，推进热电联产和集中供热。在集中供热管网覆盖地区，禁止新建、扩建分散燃煤供热锅炉；已建成的不能达标排放的燃煤供热锅炉，应当在城市人民政府规定的期限内拆除。</w:t>
                  </w:r>
                </w:p>
              </w:tc>
            </w:tr>
            <w:tr w14:paraId="44C4A0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 w:hRule="atLeast"/>
                <w:jc w:val="center"/>
              </w:trPr>
              <w:tc>
                <w:tcPr>
                  <w:tcW w:w="1767" w:type="pct"/>
                  <w:gridSpan w:val="2"/>
                  <w:vAlign w:val="center"/>
                </w:tcPr>
                <w:p w14:paraId="454234D0">
                  <w:pPr>
                    <w:pStyle w:val="82"/>
                    <w:jc w:val="center"/>
                    <w:rPr>
                      <w:color w:val="auto"/>
                    </w:rPr>
                  </w:pPr>
                  <w:r>
                    <w:rPr>
                      <w:color w:val="auto"/>
                    </w:rPr>
                    <w:t>符合性分析</w:t>
                  </w:r>
                </w:p>
              </w:tc>
              <w:tc>
                <w:tcPr>
                  <w:tcW w:w="3232" w:type="pct"/>
                  <w:vAlign w:val="center"/>
                </w:tcPr>
                <w:p w14:paraId="518CA77B">
                  <w:pPr>
                    <w:pStyle w:val="82"/>
                    <w:rPr>
                      <w:snapToGrid w:val="0"/>
                      <w:color w:val="auto"/>
                    </w:rPr>
                  </w:pPr>
                  <w:r>
                    <w:rPr>
                      <w:snapToGrid w:val="0"/>
                      <w:color w:val="auto"/>
                    </w:rPr>
                    <w:t>本项目位于</w:t>
                  </w:r>
                  <w:r>
                    <w:rPr>
                      <w:rFonts w:hint="eastAsia"/>
                      <w:snapToGrid w:val="0"/>
                      <w:color w:val="auto"/>
                      <w:lang w:eastAsia="zh-CN"/>
                    </w:rPr>
                    <w:t>黑龙江省佳木斯市桦南县曙光农场第十五作业站</w:t>
                  </w:r>
                  <w:r>
                    <w:rPr>
                      <w:snapToGrid w:val="0"/>
                      <w:color w:val="auto"/>
                    </w:rPr>
                    <w:t>，</w:t>
                  </w:r>
                  <w:r>
                    <w:rPr>
                      <w:rFonts w:hint="eastAsia"/>
                      <w:snapToGrid w:val="0"/>
                      <w:color w:val="auto"/>
                    </w:rPr>
                    <w:t>对报废农用机动车进行处置并对可再生物质进行分类回收，用地性质为工业用地；</w:t>
                  </w:r>
                  <w:r>
                    <w:rPr>
                      <w:snapToGrid w:val="0"/>
                      <w:color w:val="auto"/>
                    </w:rPr>
                    <w:t>本项目不涉及有毒有害和易燃易爆物质的生产等，</w:t>
                  </w:r>
                  <w:r>
                    <w:rPr>
                      <w:rFonts w:hint="eastAsia"/>
                      <w:snapToGrid w:val="0"/>
                      <w:color w:val="auto"/>
                      <w:lang w:val="en-US" w:eastAsia="zh-CN"/>
                    </w:rPr>
                    <w:t>非危险化学品生产、养殖项目；</w:t>
                  </w:r>
                  <w:r>
                    <w:rPr>
                      <w:rFonts w:hint="eastAsia"/>
                      <w:snapToGrid w:val="0"/>
                      <w:color w:val="auto"/>
                    </w:rPr>
                    <w:t>冬季供热采用电暖气取暖</w:t>
                  </w:r>
                  <w:r>
                    <w:rPr>
                      <w:rFonts w:hint="eastAsia"/>
                      <w:snapToGrid w:val="0"/>
                      <w:color w:val="auto"/>
                      <w:lang w:eastAsia="zh-CN"/>
                    </w:rPr>
                    <w:t>，</w:t>
                  </w:r>
                  <w:r>
                    <w:rPr>
                      <w:snapToGrid w:val="0"/>
                      <w:color w:val="auto"/>
                    </w:rPr>
                    <w:t>本项目不</w:t>
                  </w:r>
                  <w:r>
                    <w:rPr>
                      <w:rFonts w:hint="eastAsia"/>
                      <w:snapToGrid w:val="0"/>
                      <w:color w:val="auto"/>
                    </w:rPr>
                    <w:t>采用</w:t>
                  </w:r>
                  <w:r>
                    <w:rPr>
                      <w:snapToGrid w:val="0"/>
                      <w:color w:val="auto"/>
                    </w:rPr>
                    <w:t>燃用高污染燃料，项目为报废农用机械拆解项目。本项目生活污水</w:t>
                  </w:r>
                  <w:r>
                    <w:rPr>
                      <w:rFonts w:hint="eastAsia"/>
                      <w:b w:val="0"/>
                      <w:bCs w:val="0"/>
                      <w:snapToGrid w:val="0"/>
                      <w:color w:val="auto"/>
                      <w:lang w:val="en-US" w:eastAsia="zh-CN"/>
                    </w:rPr>
                    <w:t>排入防渗旱厕</w:t>
                  </w:r>
                  <w:r>
                    <w:rPr>
                      <w:b w:val="0"/>
                      <w:bCs w:val="0"/>
                      <w:snapToGrid w:val="0"/>
                      <w:color w:val="auto"/>
                    </w:rPr>
                    <w:t>。</w:t>
                  </w:r>
                </w:p>
              </w:tc>
            </w:tr>
          </w:tbl>
          <w:p w14:paraId="44991035">
            <w:pPr>
              <w:pStyle w:val="84"/>
              <w:rPr>
                <w:color w:val="auto"/>
              </w:rPr>
            </w:pPr>
            <w:r>
              <w:rPr>
                <w:color w:val="auto"/>
              </w:rPr>
              <w:t>四、</w:t>
            </w:r>
            <w:r>
              <w:rPr>
                <w:color w:val="FF0000"/>
              </w:rPr>
              <w:t>与《报废农业机械回收拆解技术规范》（NY/T2900-20</w:t>
            </w:r>
            <w:r>
              <w:rPr>
                <w:rFonts w:hint="eastAsia"/>
                <w:color w:val="FF0000"/>
                <w:lang w:val="en-US" w:eastAsia="zh-CN"/>
              </w:rPr>
              <w:t>22</w:t>
            </w:r>
            <w:r>
              <w:rPr>
                <w:color w:val="FF0000"/>
              </w:rPr>
              <w:t>）符合性分析</w:t>
            </w:r>
          </w:p>
          <w:p w14:paraId="032FDD3B">
            <w:pPr>
              <w:pStyle w:val="78"/>
              <w:rPr>
                <w:color w:val="auto"/>
              </w:rPr>
            </w:pPr>
            <w:r>
              <w:rPr>
                <w:color w:val="auto"/>
              </w:rPr>
              <w:t>表1-8 与《报废农业机械回收拆解技术规范》符合性分析</w:t>
            </w:r>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71"/>
              <w:gridCol w:w="2804"/>
              <w:gridCol w:w="1127"/>
            </w:tblGrid>
            <w:tr w14:paraId="47910D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 w:hRule="atLeast"/>
                <w:tblHeader/>
              </w:trPr>
              <w:tc>
                <w:tcPr>
                  <w:tcW w:w="3171" w:type="dxa"/>
                  <w:vAlign w:val="center"/>
                </w:tcPr>
                <w:p w14:paraId="6E0FE4D5">
                  <w:pPr>
                    <w:jc w:val="center"/>
                    <w:rPr>
                      <w:b/>
                      <w:bCs/>
                      <w:color w:val="auto"/>
                      <w:szCs w:val="21"/>
                    </w:rPr>
                  </w:pPr>
                  <w:r>
                    <w:rPr>
                      <w:b/>
                      <w:bCs/>
                      <w:color w:val="auto"/>
                      <w:szCs w:val="21"/>
                    </w:rPr>
                    <w:t>规范要求</w:t>
                  </w:r>
                </w:p>
              </w:tc>
              <w:tc>
                <w:tcPr>
                  <w:tcW w:w="2804" w:type="dxa"/>
                  <w:vAlign w:val="center"/>
                </w:tcPr>
                <w:p w14:paraId="0BA9232C">
                  <w:pPr>
                    <w:jc w:val="center"/>
                    <w:rPr>
                      <w:b/>
                      <w:bCs/>
                      <w:color w:val="auto"/>
                      <w:szCs w:val="21"/>
                    </w:rPr>
                  </w:pPr>
                  <w:r>
                    <w:rPr>
                      <w:b/>
                      <w:bCs/>
                      <w:color w:val="auto"/>
                      <w:szCs w:val="21"/>
                    </w:rPr>
                    <w:t>本项目情况</w:t>
                  </w:r>
                </w:p>
              </w:tc>
              <w:tc>
                <w:tcPr>
                  <w:tcW w:w="1127" w:type="dxa"/>
                  <w:vAlign w:val="center"/>
                </w:tcPr>
                <w:p w14:paraId="2A60A4A5">
                  <w:pPr>
                    <w:jc w:val="center"/>
                    <w:rPr>
                      <w:b/>
                      <w:bCs/>
                      <w:color w:val="auto"/>
                      <w:szCs w:val="21"/>
                    </w:rPr>
                  </w:pPr>
                  <w:r>
                    <w:rPr>
                      <w:b/>
                      <w:bCs/>
                      <w:color w:val="auto"/>
                      <w:szCs w:val="21"/>
                    </w:rPr>
                    <w:t>是否符合要求</w:t>
                  </w:r>
                </w:p>
              </w:tc>
            </w:tr>
            <w:tr w14:paraId="1DEF96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14:paraId="4FF05C75">
                  <w:pPr>
                    <w:rPr>
                      <w:color w:val="auto"/>
                      <w:szCs w:val="21"/>
                    </w:rPr>
                  </w:pPr>
                  <w:r>
                    <w:rPr>
                      <w:color w:val="auto"/>
                      <w:szCs w:val="21"/>
                    </w:rPr>
                    <w:t>报废农业机械回收拆解应严格遵循安全环保和循环利用的原则进行。回收拆解报废农业机械应按检查和登记→拆解前存储→拆解→拆解后存储和处置的流程作业。</w:t>
                  </w:r>
                </w:p>
              </w:tc>
              <w:tc>
                <w:tcPr>
                  <w:tcW w:w="2804" w:type="dxa"/>
                  <w:vAlign w:val="center"/>
                </w:tcPr>
                <w:p w14:paraId="0DDBB22C">
                  <w:pPr>
                    <w:rPr>
                      <w:color w:val="auto"/>
                      <w:szCs w:val="21"/>
                    </w:rPr>
                  </w:pPr>
                  <w:r>
                    <w:rPr>
                      <w:color w:val="auto"/>
                      <w:szCs w:val="21"/>
                    </w:rPr>
                    <w:t>本项目严格遵循安全环保和循环利用的原则进行。回收拆解报废农业机械应按检查和登记→拆解前存储→拆解→拆解后存储和处置的流程作业。</w:t>
                  </w:r>
                </w:p>
              </w:tc>
              <w:tc>
                <w:tcPr>
                  <w:tcW w:w="1127" w:type="dxa"/>
                  <w:vAlign w:val="center"/>
                </w:tcPr>
                <w:p w14:paraId="51525234">
                  <w:pPr>
                    <w:jc w:val="center"/>
                    <w:rPr>
                      <w:color w:val="auto"/>
                      <w:szCs w:val="21"/>
                    </w:rPr>
                  </w:pPr>
                  <w:r>
                    <w:rPr>
                      <w:color w:val="auto"/>
                      <w:szCs w:val="21"/>
                    </w:rPr>
                    <w:t>符合</w:t>
                  </w:r>
                </w:p>
              </w:tc>
            </w:tr>
            <w:tr w14:paraId="32B822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14:paraId="00C49E5E">
                  <w:pPr>
                    <w:rPr>
                      <w:rFonts w:hint="eastAsia"/>
                      <w:color w:val="auto"/>
                      <w:szCs w:val="21"/>
                    </w:rPr>
                  </w:pPr>
                  <w:r>
                    <w:rPr>
                      <w:rFonts w:hint="eastAsia"/>
                      <w:color w:val="auto"/>
                      <w:szCs w:val="21"/>
                    </w:rPr>
                    <w:t>企业应具有专业技术人员</w:t>
                  </w:r>
                  <w:r>
                    <w:rPr>
                      <w:rFonts w:hint="eastAsia"/>
                      <w:color w:val="auto"/>
                      <w:szCs w:val="21"/>
                      <w:lang w:eastAsia="zh-CN"/>
                    </w:rPr>
                    <w:t>，</w:t>
                  </w:r>
                  <w:r>
                    <w:rPr>
                      <w:rFonts w:hint="eastAsia"/>
                      <w:color w:val="auto"/>
                      <w:szCs w:val="21"/>
                    </w:rPr>
                    <w:t>其专业能力应能达到规范拆解、环保作业、安全操作(含危险物质收集</w:t>
                  </w:r>
                </w:p>
                <w:p w14:paraId="7997A8BA">
                  <w:pPr>
                    <w:rPr>
                      <w:rFonts w:hint="eastAsia" w:eastAsia="宋体"/>
                      <w:color w:val="auto"/>
                      <w:szCs w:val="21"/>
                      <w:lang w:eastAsia="zh-CN"/>
                    </w:rPr>
                  </w:pPr>
                  <w:r>
                    <w:rPr>
                      <w:rFonts w:hint="eastAsia"/>
                      <w:color w:val="auto"/>
                      <w:szCs w:val="21"/>
                    </w:rPr>
                    <w:t>存储、运输)等相应要求</w:t>
                  </w:r>
                  <w:r>
                    <w:rPr>
                      <w:rFonts w:hint="eastAsia"/>
                      <w:color w:val="auto"/>
                      <w:szCs w:val="21"/>
                      <w:lang w:eastAsia="zh-CN"/>
                    </w:rPr>
                    <w:t>，</w:t>
                  </w:r>
                  <w:r>
                    <w:rPr>
                      <w:rFonts w:hint="eastAsia"/>
                      <w:color w:val="auto"/>
                      <w:szCs w:val="21"/>
                    </w:rPr>
                    <w:t>并配备专业安全生产管理人员和环保人员</w:t>
                  </w:r>
                  <w:r>
                    <w:rPr>
                      <w:rFonts w:hint="eastAsia"/>
                      <w:color w:val="auto"/>
                      <w:szCs w:val="21"/>
                      <w:lang w:eastAsia="zh-CN"/>
                    </w:rPr>
                    <w:t>，</w:t>
                  </w:r>
                  <w:r>
                    <w:rPr>
                      <w:rFonts w:hint="eastAsia"/>
                      <w:color w:val="auto"/>
                      <w:szCs w:val="21"/>
                    </w:rPr>
                    <w:t>国家有持证上岗规定的岗位</w:t>
                  </w:r>
                  <w:r>
                    <w:rPr>
                      <w:rFonts w:hint="eastAsia"/>
                      <w:color w:val="auto"/>
                      <w:szCs w:val="21"/>
                      <w:lang w:eastAsia="zh-CN"/>
                    </w:rPr>
                    <w:t>，</w:t>
                  </w:r>
                  <w:r>
                    <w:rPr>
                      <w:rFonts w:hint="eastAsia"/>
                      <w:color w:val="auto"/>
                      <w:szCs w:val="21"/>
                    </w:rPr>
                    <w:t>应持证上岗</w:t>
                  </w:r>
                  <w:r>
                    <w:rPr>
                      <w:rFonts w:hint="eastAsia"/>
                      <w:color w:val="auto"/>
                      <w:szCs w:val="21"/>
                      <w:lang w:eastAsia="zh-CN"/>
                    </w:rPr>
                    <w:t>。</w:t>
                  </w:r>
                </w:p>
              </w:tc>
              <w:tc>
                <w:tcPr>
                  <w:tcW w:w="2804" w:type="dxa"/>
                  <w:vAlign w:val="center"/>
                </w:tcPr>
                <w:p w14:paraId="39556D4C">
                  <w:pPr>
                    <w:rPr>
                      <w:color w:val="auto"/>
                      <w:szCs w:val="21"/>
                    </w:rPr>
                  </w:pPr>
                  <w:r>
                    <w:rPr>
                      <w:color w:val="auto"/>
                      <w:szCs w:val="21"/>
                    </w:rPr>
                    <w:t>本项目拟聘请专业技术人员从事</w:t>
                  </w:r>
                  <w:r>
                    <w:rPr>
                      <w:snapToGrid w:val="0"/>
                      <w:color w:val="auto"/>
                      <w:kern w:val="0"/>
                      <w:szCs w:val="21"/>
                    </w:rPr>
                    <w:t>农用机械</w:t>
                  </w:r>
                  <w:r>
                    <w:rPr>
                      <w:color w:val="auto"/>
                      <w:szCs w:val="21"/>
                    </w:rPr>
                    <w:t>拆解工作。</w:t>
                  </w:r>
                </w:p>
              </w:tc>
              <w:tc>
                <w:tcPr>
                  <w:tcW w:w="1127" w:type="dxa"/>
                  <w:vAlign w:val="center"/>
                </w:tcPr>
                <w:p w14:paraId="3BC89DEB">
                  <w:pPr>
                    <w:jc w:val="center"/>
                    <w:rPr>
                      <w:color w:val="auto"/>
                      <w:szCs w:val="21"/>
                    </w:rPr>
                  </w:pPr>
                  <w:r>
                    <w:rPr>
                      <w:color w:val="auto"/>
                      <w:szCs w:val="21"/>
                    </w:rPr>
                    <w:t>符合</w:t>
                  </w:r>
                </w:p>
              </w:tc>
            </w:tr>
            <w:tr w14:paraId="577AF8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 w:hRule="atLeast"/>
              </w:trPr>
              <w:tc>
                <w:tcPr>
                  <w:tcW w:w="3171" w:type="dxa"/>
                  <w:vAlign w:val="center"/>
                </w:tcPr>
                <w:p w14:paraId="3427E1EC">
                  <w:pPr>
                    <w:rPr>
                      <w:rFonts w:hint="eastAsia"/>
                      <w:color w:val="auto"/>
                      <w:szCs w:val="21"/>
                    </w:rPr>
                  </w:pPr>
                  <w:r>
                    <w:rPr>
                      <w:rFonts w:hint="eastAsia"/>
                      <w:color w:val="auto"/>
                      <w:szCs w:val="21"/>
                    </w:rPr>
                    <w:t>报废农业机械拆解作业场地应有独立的拆解区、产品及拆解后物料储存区、固体废物或危险废物</w:t>
                  </w:r>
                </w:p>
                <w:p w14:paraId="2EA703F9">
                  <w:pPr>
                    <w:rPr>
                      <w:rFonts w:hint="eastAsia" w:eastAsia="宋体"/>
                      <w:color w:val="auto"/>
                      <w:szCs w:val="21"/>
                      <w:lang w:eastAsia="zh-CN"/>
                    </w:rPr>
                  </w:pPr>
                  <w:r>
                    <w:rPr>
                      <w:rFonts w:hint="eastAsia"/>
                      <w:color w:val="auto"/>
                      <w:szCs w:val="21"/>
                    </w:rPr>
                    <w:t>料储存控制区等各功能区</w:t>
                  </w:r>
                  <w:r>
                    <w:rPr>
                      <w:rFonts w:hint="eastAsia"/>
                      <w:color w:val="auto"/>
                      <w:szCs w:val="21"/>
                      <w:lang w:eastAsia="zh-CN"/>
                    </w:rPr>
                    <w:t>，</w:t>
                  </w:r>
                  <w:r>
                    <w:rPr>
                      <w:rFonts w:hint="eastAsia"/>
                      <w:color w:val="auto"/>
                      <w:szCs w:val="21"/>
                    </w:rPr>
                    <w:t>各功能区场地面积应与拆解能力相匹配</w:t>
                  </w:r>
                  <w:r>
                    <w:rPr>
                      <w:rFonts w:hint="eastAsia"/>
                      <w:color w:val="auto"/>
                      <w:szCs w:val="21"/>
                      <w:lang w:eastAsia="zh-CN"/>
                    </w:rPr>
                    <w:t>，</w:t>
                  </w:r>
                  <w:r>
                    <w:rPr>
                      <w:rFonts w:hint="eastAsia"/>
                      <w:color w:val="auto"/>
                      <w:szCs w:val="21"/>
                    </w:rPr>
                    <w:t>场地总面积宜不低于</w:t>
                  </w:r>
                  <w:r>
                    <w:rPr>
                      <w:rFonts w:hint="eastAsia"/>
                      <w:color w:val="auto"/>
                      <w:szCs w:val="21"/>
                      <w:lang w:val="en-US" w:eastAsia="zh-CN"/>
                    </w:rPr>
                    <w:t>2</w:t>
                  </w:r>
                  <w:r>
                    <w:rPr>
                      <w:rFonts w:hint="eastAsia" w:ascii="Times New Roman" w:eastAsia="宋体"/>
                      <w:color w:val="auto"/>
                      <w:szCs w:val="21"/>
                      <w:lang w:val="en-US" w:eastAsia="zh-CN"/>
                    </w:rPr>
                    <w:t>000</w:t>
                  </w:r>
                  <w:r>
                    <w:rPr>
                      <w:color w:val="auto"/>
                      <w:szCs w:val="21"/>
                    </w:rPr>
                    <w:t>m</w:t>
                  </w:r>
                  <w:r>
                    <w:rPr>
                      <w:color w:val="auto"/>
                      <w:szCs w:val="21"/>
                      <w:vertAlign w:val="superscript"/>
                    </w:rPr>
                    <w:t>2</w:t>
                  </w:r>
                  <w:r>
                    <w:rPr>
                      <w:rFonts w:hint="eastAsia"/>
                      <w:color w:val="auto"/>
                      <w:szCs w:val="21"/>
                      <w:lang w:eastAsia="zh-CN"/>
                    </w:rPr>
                    <w:t>，</w:t>
                  </w:r>
                  <w:r>
                    <w:rPr>
                      <w:rFonts w:hint="eastAsia"/>
                      <w:color w:val="auto"/>
                      <w:szCs w:val="21"/>
                    </w:rPr>
                    <w:t>作业场地(包括拆解和储存场地)面积不低于场地总面积的</w:t>
                  </w:r>
                  <w:r>
                    <w:rPr>
                      <w:rFonts w:hint="eastAsia"/>
                      <w:color w:val="auto"/>
                      <w:szCs w:val="21"/>
                      <w:lang w:val="en-US" w:eastAsia="zh-CN"/>
                    </w:rPr>
                    <w:t>70%。</w:t>
                  </w:r>
                  <w:r>
                    <w:rPr>
                      <w:rFonts w:hint="eastAsia"/>
                      <w:color w:val="auto"/>
                      <w:szCs w:val="21"/>
                    </w:rPr>
                    <w:t>报废农机回收拆解企业应通过环境影响评价</w:t>
                  </w:r>
                  <w:r>
                    <w:rPr>
                      <w:rFonts w:hint="eastAsia"/>
                      <w:color w:val="auto"/>
                      <w:szCs w:val="21"/>
                      <w:lang w:eastAsia="zh-CN"/>
                    </w:rPr>
                    <w:t>，</w:t>
                  </w:r>
                  <w:r>
                    <w:rPr>
                      <w:rFonts w:hint="eastAsia"/>
                      <w:color w:val="auto"/>
                      <w:szCs w:val="21"/>
                    </w:rPr>
                    <w:t>选址合理</w:t>
                  </w:r>
                  <w:r>
                    <w:rPr>
                      <w:rFonts w:hint="eastAsia"/>
                      <w:color w:val="auto"/>
                      <w:szCs w:val="21"/>
                      <w:lang w:eastAsia="zh-CN"/>
                    </w:rPr>
                    <w:t>。</w:t>
                  </w:r>
                </w:p>
              </w:tc>
              <w:tc>
                <w:tcPr>
                  <w:tcW w:w="2804" w:type="dxa"/>
                  <w:vAlign w:val="center"/>
                </w:tcPr>
                <w:p w14:paraId="14F944C4">
                  <w:pPr>
                    <w:rPr>
                      <w:color w:val="auto"/>
                      <w:szCs w:val="21"/>
                      <w:highlight w:val="yellow"/>
                    </w:rPr>
                  </w:pPr>
                  <w:r>
                    <w:rPr>
                      <w:color w:val="auto"/>
                      <w:szCs w:val="21"/>
                    </w:rPr>
                    <w:t>本项</w:t>
                  </w:r>
                  <w:r>
                    <w:rPr>
                      <w:rFonts w:hint="eastAsia"/>
                      <w:color w:val="auto"/>
                      <w:szCs w:val="21"/>
                      <w:lang w:val="en-US" w:eastAsia="zh-CN"/>
                    </w:rPr>
                    <w:t>目设有拆解车间、待拆车辆贮存场地、农机拆除成品半成品及零件贮存库、办公室、危险废物贮存库，</w:t>
                  </w:r>
                  <w:r>
                    <w:rPr>
                      <w:color w:val="auto"/>
                    </w:rPr>
                    <w:t>总占地面积为</w:t>
                  </w:r>
                  <w:r>
                    <w:rPr>
                      <w:rFonts w:hint="eastAsia"/>
                      <w:color w:val="auto"/>
                      <w:lang w:val="en-US" w:eastAsia="zh-CN"/>
                    </w:rPr>
                    <w:t>4392.34</w:t>
                  </w:r>
                  <w:r>
                    <w:rPr>
                      <w:color w:val="auto"/>
                    </w:rPr>
                    <w:t>m</w:t>
                  </w:r>
                  <w:r>
                    <w:rPr>
                      <w:color w:val="auto"/>
                      <w:vertAlign w:val="superscript"/>
                    </w:rPr>
                    <w:t>2</w:t>
                  </w:r>
                  <w:r>
                    <w:rPr>
                      <w:color w:val="auto"/>
                    </w:rPr>
                    <w:t>，</w:t>
                  </w:r>
                  <w:r>
                    <w:rPr>
                      <w:rFonts w:hint="eastAsia"/>
                      <w:color w:val="auto"/>
                      <w:szCs w:val="21"/>
                    </w:rPr>
                    <w:t>拆解和储存场地</w:t>
                  </w:r>
                  <w:r>
                    <w:rPr>
                      <w:color w:val="auto"/>
                    </w:rPr>
                    <w:t>面积为</w:t>
                  </w:r>
                  <w:r>
                    <w:rPr>
                      <w:rFonts w:hint="eastAsia"/>
                      <w:color w:val="auto"/>
                      <w:lang w:val="en-US" w:eastAsia="zh-CN"/>
                    </w:rPr>
                    <w:t>4212.34</w:t>
                  </w:r>
                  <w:r>
                    <w:rPr>
                      <w:color w:val="auto"/>
                    </w:rPr>
                    <w:t>m</w:t>
                  </w:r>
                  <w:r>
                    <w:rPr>
                      <w:color w:val="auto"/>
                      <w:vertAlign w:val="superscript"/>
                    </w:rPr>
                    <w:t>2</w:t>
                  </w:r>
                  <w:r>
                    <w:rPr>
                      <w:color w:val="auto"/>
                    </w:rPr>
                    <w:t>。</w:t>
                  </w:r>
                </w:p>
              </w:tc>
              <w:tc>
                <w:tcPr>
                  <w:tcW w:w="1127" w:type="dxa"/>
                  <w:vAlign w:val="center"/>
                </w:tcPr>
                <w:p w14:paraId="4102DA67">
                  <w:pPr>
                    <w:jc w:val="center"/>
                    <w:rPr>
                      <w:color w:val="auto"/>
                      <w:szCs w:val="21"/>
                    </w:rPr>
                  </w:pPr>
                  <w:r>
                    <w:rPr>
                      <w:color w:val="auto"/>
                      <w:szCs w:val="21"/>
                    </w:rPr>
                    <w:t>符合</w:t>
                  </w:r>
                </w:p>
              </w:tc>
            </w:tr>
            <w:tr w14:paraId="043DB4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 w:hRule="atLeast"/>
              </w:trPr>
              <w:tc>
                <w:tcPr>
                  <w:tcW w:w="3171" w:type="dxa"/>
                  <w:vAlign w:val="center"/>
                </w:tcPr>
                <w:p w14:paraId="4C2FB7F4">
                  <w:pPr>
                    <w:rPr>
                      <w:rFonts w:hint="eastAsia"/>
                      <w:color w:val="auto"/>
                      <w:szCs w:val="21"/>
                    </w:rPr>
                  </w:pPr>
                  <w:r>
                    <w:rPr>
                      <w:rFonts w:hint="eastAsia"/>
                      <w:color w:val="auto"/>
                      <w:szCs w:val="21"/>
                    </w:rPr>
                    <w:t>拆解车间应为封闭或半封闭车间</w:t>
                  </w:r>
                  <w:r>
                    <w:rPr>
                      <w:rFonts w:hint="eastAsia"/>
                      <w:color w:val="auto"/>
                      <w:szCs w:val="21"/>
                      <w:lang w:eastAsia="zh-CN"/>
                    </w:rPr>
                    <w:t>，</w:t>
                  </w:r>
                  <w:r>
                    <w:rPr>
                      <w:rFonts w:hint="eastAsia"/>
                      <w:color w:val="auto"/>
                      <w:szCs w:val="21"/>
                    </w:rPr>
                    <w:t>通风、光线良好</w:t>
                  </w:r>
                  <w:r>
                    <w:rPr>
                      <w:rFonts w:hint="eastAsia"/>
                      <w:color w:val="auto"/>
                      <w:szCs w:val="21"/>
                      <w:lang w:eastAsia="zh-CN"/>
                    </w:rPr>
                    <w:t>，</w:t>
                  </w:r>
                  <w:r>
                    <w:rPr>
                      <w:rFonts w:hint="eastAsia"/>
                      <w:color w:val="auto"/>
                      <w:szCs w:val="21"/>
                    </w:rPr>
                    <w:t>地面硬化且防渗漏</w:t>
                  </w:r>
                  <w:r>
                    <w:rPr>
                      <w:rFonts w:hint="eastAsia"/>
                      <w:color w:val="auto"/>
                      <w:szCs w:val="21"/>
                      <w:lang w:eastAsia="zh-CN"/>
                    </w:rPr>
                    <w:t>，</w:t>
                  </w:r>
                  <w:r>
                    <w:rPr>
                      <w:rFonts w:hint="eastAsia"/>
                      <w:color w:val="auto"/>
                      <w:szCs w:val="21"/>
                    </w:rPr>
                    <w:t>安全防范设施齐全;存储场地(包括临时存储)的地面应硬化并防渗漏.所有场所应满足 GB</w:t>
                  </w:r>
                  <w:r>
                    <w:rPr>
                      <w:rFonts w:hint="eastAsia"/>
                      <w:color w:val="auto"/>
                      <w:szCs w:val="21"/>
                      <w:lang w:val="en-US" w:eastAsia="zh-CN"/>
                    </w:rPr>
                    <w:t>50037</w:t>
                  </w:r>
                  <w:r>
                    <w:rPr>
                      <w:rFonts w:hint="eastAsia"/>
                      <w:color w:val="auto"/>
                      <w:szCs w:val="21"/>
                    </w:rPr>
                    <w:t>规定的防渗漏要求.</w:t>
                  </w:r>
                </w:p>
              </w:tc>
              <w:tc>
                <w:tcPr>
                  <w:tcW w:w="2804" w:type="dxa"/>
                  <w:vAlign w:val="center"/>
                </w:tcPr>
                <w:p w14:paraId="260F1097">
                  <w:pPr>
                    <w:rPr>
                      <w:color w:val="auto"/>
                      <w:szCs w:val="21"/>
                    </w:rPr>
                  </w:pPr>
                  <w:r>
                    <w:rPr>
                      <w:color w:val="auto"/>
                      <w:szCs w:val="21"/>
                    </w:rPr>
                    <w:t>拆解车间为全封闭车间，通风、光线良好。存储场地及拆解车间地面硬化且防渗漏。</w:t>
                  </w:r>
                </w:p>
              </w:tc>
              <w:tc>
                <w:tcPr>
                  <w:tcW w:w="1127" w:type="dxa"/>
                  <w:vAlign w:val="center"/>
                </w:tcPr>
                <w:p w14:paraId="08F3E014">
                  <w:pPr>
                    <w:jc w:val="center"/>
                    <w:rPr>
                      <w:rFonts w:ascii="Times New Roman" w:hAnsi="Times New Roman" w:eastAsia="宋体" w:cs="Times New Roman"/>
                      <w:color w:val="auto"/>
                      <w:kern w:val="2"/>
                      <w:sz w:val="21"/>
                      <w:szCs w:val="21"/>
                      <w:lang w:val="en-US" w:eastAsia="zh-CN" w:bidi="ar-SA"/>
                    </w:rPr>
                  </w:pPr>
                  <w:r>
                    <w:rPr>
                      <w:color w:val="auto"/>
                      <w:szCs w:val="21"/>
                    </w:rPr>
                    <w:t>符合</w:t>
                  </w:r>
                </w:p>
              </w:tc>
            </w:tr>
            <w:tr w14:paraId="163A2BD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14:paraId="2E4C9513">
                  <w:pPr>
                    <w:rPr>
                      <w:color w:val="auto"/>
                      <w:szCs w:val="21"/>
                    </w:rPr>
                  </w:pPr>
                  <w:r>
                    <w:rPr>
                      <w:color w:val="auto"/>
                      <w:szCs w:val="21"/>
                    </w:rPr>
                    <w:t>报废农业机械拆解企业应具备必要的设备，包括但不限于农业机械称重设备、起重运输设备、剪断设备、切割设备、专业容器等，在排空易燃易爆及有毒有害液体、气体物品时，应使用专用设备处理且工作环境安全可靠。</w:t>
                  </w:r>
                </w:p>
              </w:tc>
              <w:tc>
                <w:tcPr>
                  <w:tcW w:w="2804" w:type="dxa"/>
                  <w:vAlign w:val="center"/>
                </w:tcPr>
                <w:p w14:paraId="21A143C0">
                  <w:pPr>
                    <w:rPr>
                      <w:color w:val="auto"/>
                      <w:szCs w:val="21"/>
                      <w:highlight w:val="yellow"/>
                    </w:rPr>
                  </w:pPr>
                  <w:r>
                    <w:rPr>
                      <w:color w:val="auto"/>
                      <w:szCs w:val="21"/>
                    </w:rPr>
                    <w:t>本项目设置</w:t>
                  </w:r>
                  <w:r>
                    <w:rPr>
                      <w:color w:val="auto"/>
                    </w:rPr>
                    <w:t>龙门吊、等离子切割机、无齿锯、油液油排设备等，满足项目需要。</w:t>
                  </w:r>
                </w:p>
              </w:tc>
              <w:tc>
                <w:tcPr>
                  <w:tcW w:w="1127" w:type="dxa"/>
                  <w:vAlign w:val="center"/>
                </w:tcPr>
                <w:p w14:paraId="0E117FEB">
                  <w:pPr>
                    <w:jc w:val="center"/>
                    <w:rPr>
                      <w:color w:val="auto"/>
                      <w:szCs w:val="21"/>
                    </w:rPr>
                  </w:pPr>
                  <w:r>
                    <w:rPr>
                      <w:color w:val="auto"/>
                      <w:szCs w:val="21"/>
                    </w:rPr>
                    <w:t>符合</w:t>
                  </w:r>
                </w:p>
              </w:tc>
            </w:tr>
            <w:tr w14:paraId="0CC2CC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14:paraId="10D8D863">
                  <w:pPr>
                    <w:rPr>
                      <w:color w:val="auto"/>
                      <w:szCs w:val="21"/>
                    </w:rPr>
                  </w:pPr>
                  <w:r>
                    <w:rPr>
                      <w:rFonts w:hint="eastAsia"/>
                      <w:color w:val="auto"/>
                      <w:szCs w:val="21"/>
                    </w:rPr>
                    <w:t>应具备环保设备</w:t>
                  </w:r>
                  <w:r>
                    <w:rPr>
                      <w:rFonts w:hint="eastAsia"/>
                      <w:color w:val="auto"/>
                      <w:szCs w:val="21"/>
                      <w:lang w:eastAsia="zh-CN"/>
                    </w:rPr>
                    <w:t>，</w:t>
                  </w:r>
                  <w:r>
                    <w:rPr>
                      <w:rFonts w:hint="eastAsia"/>
                      <w:color w:val="auto"/>
                      <w:szCs w:val="21"/>
                    </w:rPr>
                    <w:t>包括但不限于专用废液收集容器、油水分离器、专用制冷液收集容器、蓄电池/锂电池/氢燃料电池等专用收集容器.</w:t>
                  </w:r>
                </w:p>
              </w:tc>
              <w:tc>
                <w:tcPr>
                  <w:tcW w:w="2804" w:type="dxa"/>
                  <w:vAlign w:val="center"/>
                </w:tcPr>
                <w:p w14:paraId="176F52CF">
                  <w:pPr>
                    <w:rPr>
                      <w:rFonts w:hint="default" w:eastAsia="宋体"/>
                      <w:color w:val="auto"/>
                      <w:szCs w:val="21"/>
                      <w:lang w:val="en-US" w:eastAsia="zh-CN"/>
                    </w:rPr>
                  </w:pPr>
                  <w:r>
                    <w:rPr>
                      <w:rFonts w:hint="eastAsia"/>
                      <w:color w:val="auto"/>
                      <w:szCs w:val="21"/>
                      <w:lang w:val="en-US" w:eastAsia="zh-CN"/>
                    </w:rPr>
                    <w:t>本项目具备废油液专用储罐、废蓄电池专用存储区耐酸容器内、废防冻液专用储罐、废活性炭专用桶等专门收集容器。满足项目需求。</w:t>
                  </w:r>
                </w:p>
              </w:tc>
              <w:tc>
                <w:tcPr>
                  <w:tcW w:w="1127" w:type="dxa"/>
                  <w:vAlign w:val="center"/>
                </w:tcPr>
                <w:p w14:paraId="58AB1B2D">
                  <w:pPr>
                    <w:jc w:val="center"/>
                    <w:rPr>
                      <w:rFonts w:ascii="Times New Roman" w:hAnsi="Times New Roman" w:eastAsia="宋体" w:cs="Times New Roman"/>
                      <w:color w:val="auto"/>
                      <w:kern w:val="2"/>
                      <w:sz w:val="21"/>
                      <w:szCs w:val="21"/>
                      <w:lang w:val="en-US" w:eastAsia="zh-CN" w:bidi="ar-SA"/>
                    </w:rPr>
                  </w:pPr>
                  <w:r>
                    <w:rPr>
                      <w:color w:val="auto"/>
                      <w:szCs w:val="21"/>
                    </w:rPr>
                    <w:t>符合</w:t>
                  </w:r>
                </w:p>
              </w:tc>
            </w:tr>
            <w:tr w14:paraId="4C1DF8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14:paraId="4CDE0F01">
                  <w:pPr>
                    <w:rPr>
                      <w:color w:val="auto"/>
                      <w:szCs w:val="21"/>
                    </w:rPr>
                  </w:pPr>
                  <w:r>
                    <w:rPr>
                      <w:rFonts w:hint="eastAsia"/>
                      <w:color w:val="auto"/>
                    </w:rPr>
                    <w:t>在报废农业机械拆解及主要总成解体销毁过程中</w:t>
                  </w:r>
                  <w:r>
                    <w:rPr>
                      <w:rFonts w:hint="eastAsia"/>
                      <w:color w:val="auto"/>
                      <w:lang w:eastAsia="zh-CN"/>
                    </w:rPr>
                    <w:t>，</w:t>
                  </w:r>
                  <w:r>
                    <w:rPr>
                      <w:rFonts w:hint="eastAsia"/>
                      <w:color w:val="auto"/>
                    </w:rPr>
                    <w:t>至少对回收确认、零部件拆解、对机体等零部件拆分或压扁破碎3个环节进行录像监控</w:t>
                  </w:r>
                  <w:r>
                    <w:rPr>
                      <w:rFonts w:hint="eastAsia"/>
                      <w:color w:val="auto"/>
                      <w:lang w:eastAsia="zh-CN"/>
                    </w:rPr>
                    <w:t>，</w:t>
                  </w:r>
                  <w:r>
                    <w:rPr>
                      <w:rFonts w:hint="eastAsia"/>
                      <w:color w:val="auto"/>
                    </w:rPr>
                    <w:t>应剪辑保留 10 s 以上的重要时段视频资料进行存档</w:t>
                  </w:r>
                  <w:r>
                    <w:rPr>
                      <w:rFonts w:hint="eastAsia"/>
                      <w:color w:val="auto"/>
                      <w:lang w:eastAsia="zh-CN"/>
                    </w:rPr>
                    <w:t>，</w:t>
                  </w:r>
                  <w:r>
                    <w:rPr>
                      <w:rFonts w:hint="eastAsia"/>
                      <w:color w:val="auto"/>
                    </w:rPr>
                    <w:t>同时拍摄(或截图)机体解体销毁前、中、后的照片各 1张。相关信息的保存期限不应少于 5 年。</w:t>
                  </w:r>
                </w:p>
              </w:tc>
              <w:tc>
                <w:tcPr>
                  <w:tcW w:w="2804" w:type="dxa"/>
                  <w:vAlign w:val="center"/>
                </w:tcPr>
                <w:p w14:paraId="25C91B4D">
                  <w:pPr>
                    <w:rPr>
                      <w:color w:val="auto"/>
                      <w:szCs w:val="21"/>
                    </w:rPr>
                  </w:pPr>
                  <w:r>
                    <w:rPr>
                      <w:color w:val="auto"/>
                      <w:szCs w:val="21"/>
                    </w:rPr>
                    <w:t>建设单位将在每个环节保留10s以上的视频资料或解体销毁前、中、后各照片1张。</w:t>
                  </w:r>
                  <w:r>
                    <w:rPr>
                      <w:rFonts w:hint="eastAsia"/>
                      <w:color w:val="auto"/>
                      <w:szCs w:val="21"/>
                    </w:rPr>
                    <w:t>相关信息的保存期限不应少于5年。</w:t>
                  </w:r>
                </w:p>
              </w:tc>
              <w:tc>
                <w:tcPr>
                  <w:tcW w:w="1127" w:type="dxa"/>
                  <w:vAlign w:val="center"/>
                </w:tcPr>
                <w:p w14:paraId="22C33411">
                  <w:pPr>
                    <w:jc w:val="center"/>
                    <w:rPr>
                      <w:color w:val="auto"/>
                      <w:szCs w:val="21"/>
                    </w:rPr>
                  </w:pPr>
                  <w:r>
                    <w:rPr>
                      <w:color w:val="auto"/>
                      <w:szCs w:val="21"/>
                    </w:rPr>
                    <w:t>符合</w:t>
                  </w:r>
                </w:p>
              </w:tc>
            </w:tr>
            <w:tr w14:paraId="0305F9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14:paraId="711D4E78">
                  <w:pPr>
                    <w:rPr>
                      <w:rFonts w:hint="eastAsia" w:eastAsia="宋体"/>
                      <w:color w:val="auto"/>
                      <w:lang w:eastAsia="zh-CN"/>
                    </w:rPr>
                  </w:pPr>
                  <w:r>
                    <w:rPr>
                      <w:rFonts w:hint="eastAsia"/>
                      <w:color w:val="auto"/>
                    </w:rPr>
                    <w:t>拆解区环境噪声限值应符合 GB</w:t>
                  </w:r>
                  <w:r>
                    <w:rPr>
                      <w:rFonts w:hint="eastAsia"/>
                      <w:color w:val="auto"/>
                      <w:lang w:val="en-US" w:eastAsia="zh-CN"/>
                    </w:rPr>
                    <w:t>12348</w:t>
                  </w:r>
                  <w:r>
                    <w:rPr>
                      <w:rFonts w:hint="eastAsia"/>
                      <w:color w:val="auto"/>
                    </w:rPr>
                    <w:t>规定的三类声环境功能区的要求</w:t>
                  </w:r>
                  <w:r>
                    <w:rPr>
                      <w:rFonts w:hint="eastAsia"/>
                      <w:color w:val="auto"/>
                      <w:lang w:eastAsia="zh-CN"/>
                    </w:rPr>
                    <w:t>。拆解时存在有害气体或易燃气体，应做好导流和无害处理。</w:t>
                  </w:r>
                </w:p>
              </w:tc>
              <w:tc>
                <w:tcPr>
                  <w:tcW w:w="2804" w:type="dxa"/>
                  <w:vAlign w:val="center"/>
                </w:tcPr>
                <w:p w14:paraId="3C531F6C">
                  <w:pPr>
                    <w:rPr>
                      <w:rFonts w:hint="default" w:eastAsia="宋体"/>
                      <w:color w:val="auto"/>
                      <w:szCs w:val="21"/>
                      <w:lang w:val="en-US" w:eastAsia="zh-CN"/>
                    </w:rPr>
                  </w:pPr>
                  <w:r>
                    <w:rPr>
                      <w:rFonts w:hint="eastAsia"/>
                      <w:color w:val="auto"/>
                      <w:szCs w:val="21"/>
                      <w:lang w:val="en-US" w:eastAsia="zh-CN"/>
                    </w:rPr>
                    <w:t>本项目采取选用低噪声设备，通过厂房隔声、基础减振等措施，噪声能够达标排放。本项目切割工段产生颗粒物通过布袋除尘处理、排空油箱产生的非甲烷总烃经过集气罩和活性炭吸附后均能实现达标排放。</w:t>
                  </w:r>
                </w:p>
              </w:tc>
              <w:tc>
                <w:tcPr>
                  <w:tcW w:w="1127" w:type="dxa"/>
                  <w:vAlign w:val="center"/>
                </w:tcPr>
                <w:p w14:paraId="2B09AA99">
                  <w:pPr>
                    <w:jc w:val="center"/>
                    <w:rPr>
                      <w:color w:val="auto"/>
                      <w:szCs w:val="21"/>
                    </w:rPr>
                  </w:pPr>
                  <w:r>
                    <w:rPr>
                      <w:rFonts w:hint="eastAsia"/>
                      <w:color w:val="auto"/>
                      <w:szCs w:val="21"/>
                    </w:rPr>
                    <w:t>符合</w:t>
                  </w:r>
                </w:p>
              </w:tc>
            </w:tr>
            <w:tr w14:paraId="43BE0E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14:paraId="17B7520F">
                  <w:pP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应建立报废农业机械回收拆解档案和数据库</w:t>
                  </w:r>
                  <w:r>
                    <w:rPr>
                      <w:rFonts w:hint="eastAsia"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对回收报废的农业机械逐台登记;记录农业机械和</w:t>
                  </w:r>
                </w:p>
                <w:p w14:paraId="619631E8">
                  <w:pPr>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所有者信息</w:t>
                  </w:r>
                  <w:r>
                    <w:rPr>
                      <w:rFonts w:hint="eastAsia"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信息主要包括:机主(单位或个人)名称、证件号码、牌照号码(适用时)、品牌型号、机架号、发动机号、出厂年份、接收或收购日期等;记录回收、拆解、废弃物处理及拆解后零部件、材料和废弃物的数量/重量和流向等</w:t>
                  </w:r>
                  <w:r>
                    <w:rPr>
                      <w:rFonts w:hint="eastAsia"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并做好标识</w:t>
                  </w:r>
                  <w:r>
                    <w:rPr>
                      <w:rFonts w:hint="eastAsia"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处理批次和拆解数量与重量应统一;纸质档案保存期限不应少于</w:t>
                  </w:r>
                  <w:r>
                    <w:rPr>
                      <w:rFonts w:hint="eastAsia" w:ascii="Times New Roman" w:hAnsi="Times New Roman" w:eastAsia="宋体" w:cs="Times New Roman"/>
                      <w:color w:val="auto"/>
                      <w:szCs w:val="21"/>
                      <w:lang w:val="en-US" w:eastAsia="zh-CN"/>
                    </w:rPr>
                    <w:t>3</w:t>
                  </w:r>
                  <w:r>
                    <w:rPr>
                      <w:rFonts w:hint="default" w:ascii="Times New Roman" w:hAnsi="Times New Roman" w:eastAsia="宋体" w:cs="Times New Roman"/>
                      <w:color w:val="auto"/>
                      <w:szCs w:val="21"/>
                    </w:rPr>
                    <w:t>年</w:t>
                  </w:r>
                  <w:r>
                    <w:rPr>
                      <w:rFonts w:hint="eastAsia"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备份的电子档案和数据库</w:t>
                  </w:r>
                  <w:r>
                    <w:rPr>
                      <w:rFonts w:hint="eastAsia"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保存期限不应少于</w:t>
                  </w:r>
                  <w:r>
                    <w:rPr>
                      <w:rFonts w:hint="eastAsia" w:ascii="Times New Roman" w:hAnsi="Times New Roman" w:eastAsia="宋体" w:cs="Times New Roman"/>
                      <w:color w:val="auto"/>
                      <w:szCs w:val="21"/>
                      <w:lang w:val="en-US" w:eastAsia="zh-CN"/>
                    </w:rPr>
                    <w:t>5</w:t>
                  </w:r>
                  <w:r>
                    <w:rPr>
                      <w:rFonts w:hint="default" w:ascii="Times New Roman" w:hAnsi="Times New Roman" w:eastAsia="宋体" w:cs="Times New Roman"/>
                      <w:color w:val="auto"/>
                      <w:szCs w:val="21"/>
                    </w:rPr>
                    <w:t>年。</w:t>
                  </w:r>
                </w:p>
              </w:tc>
              <w:tc>
                <w:tcPr>
                  <w:tcW w:w="2804" w:type="dxa"/>
                  <w:vAlign w:val="center"/>
                </w:tcPr>
                <w:p w14:paraId="0E52BAA2">
                  <w:pPr>
                    <w:rPr>
                      <w:color w:val="auto"/>
                      <w:szCs w:val="21"/>
                    </w:rPr>
                  </w:pPr>
                  <w:r>
                    <w:rPr>
                      <w:color w:val="auto"/>
                      <w:szCs w:val="21"/>
                    </w:rPr>
                    <w:t>企业建成后设置专门人员进行固体废物管理和系统上报工作。</w:t>
                  </w:r>
                </w:p>
              </w:tc>
              <w:tc>
                <w:tcPr>
                  <w:tcW w:w="1127" w:type="dxa"/>
                  <w:vAlign w:val="center"/>
                </w:tcPr>
                <w:p w14:paraId="32FE3588">
                  <w:pPr>
                    <w:jc w:val="center"/>
                    <w:rPr>
                      <w:color w:val="auto"/>
                      <w:szCs w:val="21"/>
                    </w:rPr>
                  </w:pPr>
                  <w:r>
                    <w:rPr>
                      <w:color w:val="auto"/>
                      <w:szCs w:val="21"/>
                    </w:rPr>
                    <w:t>符合</w:t>
                  </w:r>
                </w:p>
              </w:tc>
            </w:tr>
            <w:tr w14:paraId="16B49E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14:paraId="1E18EF42">
                  <w:pPr>
                    <w:rPr>
                      <w:color w:val="auto"/>
                      <w:szCs w:val="21"/>
                    </w:rPr>
                  </w:pPr>
                  <w:r>
                    <w:rPr>
                      <w:rFonts w:hint="eastAsia"/>
                      <w:color w:val="auto"/>
                      <w:szCs w:val="21"/>
                    </w:rPr>
                    <w:t>预拆解需先对报废农业机械进行清洁处理，去除机械外部的非原机所属的覆盖物。</w:t>
                  </w:r>
                </w:p>
              </w:tc>
              <w:tc>
                <w:tcPr>
                  <w:tcW w:w="2804" w:type="dxa"/>
                  <w:vAlign w:val="center"/>
                </w:tcPr>
                <w:p w14:paraId="26BB523D">
                  <w:pPr>
                    <w:rPr>
                      <w:color w:val="auto"/>
                      <w:szCs w:val="21"/>
                    </w:rPr>
                  </w:pPr>
                  <w:r>
                    <w:rPr>
                      <w:rFonts w:hint="eastAsia"/>
                      <w:color w:val="auto"/>
                      <w:szCs w:val="21"/>
                    </w:rPr>
                    <w:t>本项目拆解前需要对报废农业机动车进行清洁处理，去除机械外部的非原机所属的覆盖物。</w:t>
                  </w:r>
                </w:p>
              </w:tc>
              <w:tc>
                <w:tcPr>
                  <w:tcW w:w="1127" w:type="dxa"/>
                  <w:vAlign w:val="center"/>
                </w:tcPr>
                <w:p w14:paraId="43DE6E3C">
                  <w:pPr>
                    <w:jc w:val="center"/>
                    <w:rPr>
                      <w:color w:val="auto"/>
                      <w:szCs w:val="21"/>
                    </w:rPr>
                  </w:pPr>
                  <w:r>
                    <w:rPr>
                      <w:rFonts w:hint="eastAsia"/>
                      <w:color w:val="auto"/>
                      <w:szCs w:val="21"/>
                    </w:rPr>
                    <w:t>符合</w:t>
                  </w:r>
                </w:p>
              </w:tc>
            </w:tr>
            <w:tr w14:paraId="7E660A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14:paraId="4FD3C9E3">
                  <w:pPr>
                    <w:rPr>
                      <w:rFonts w:hint="eastAsia" w:eastAsia="宋体"/>
                      <w:color w:val="auto"/>
                      <w:szCs w:val="21"/>
                      <w:lang w:eastAsia="zh-CN"/>
                    </w:rPr>
                  </w:pPr>
                  <w:r>
                    <w:rPr>
                      <w:rFonts w:hint="eastAsia"/>
                      <w:color w:val="auto"/>
                      <w:szCs w:val="21"/>
                    </w:rPr>
                    <w:t>固体废物储存</w:t>
                  </w:r>
                  <w:r>
                    <w:rPr>
                      <w:rFonts w:hint="eastAsia"/>
                      <w:color w:val="auto"/>
                      <w:szCs w:val="21"/>
                      <w:lang w:eastAsia="zh-CN"/>
                    </w:rPr>
                    <w:t>：固体废物的储存应符合 GB</w:t>
                  </w:r>
                  <w:r>
                    <w:rPr>
                      <w:rFonts w:hint="eastAsia"/>
                      <w:color w:val="auto"/>
                      <w:szCs w:val="21"/>
                      <w:lang w:val="en-US" w:eastAsia="zh-CN"/>
                    </w:rPr>
                    <w:t>18599</w:t>
                  </w:r>
                  <w:r>
                    <w:rPr>
                      <w:rFonts w:hint="eastAsia"/>
                      <w:color w:val="auto"/>
                      <w:szCs w:val="21"/>
                      <w:lang w:eastAsia="zh-CN"/>
                    </w:rPr>
                    <w:t>、GB</w:t>
                  </w:r>
                  <w:r>
                    <w:rPr>
                      <w:rFonts w:hint="eastAsia"/>
                      <w:color w:val="auto"/>
                      <w:szCs w:val="21"/>
                      <w:lang w:val="en-US" w:eastAsia="zh-CN"/>
                    </w:rPr>
                    <w:t>18597</w:t>
                  </w:r>
                  <w:r>
                    <w:rPr>
                      <w:rFonts w:hint="eastAsia"/>
                      <w:color w:val="auto"/>
                      <w:szCs w:val="21"/>
                      <w:lang w:eastAsia="zh-CN"/>
                    </w:rPr>
                    <w:t>和 HJ</w:t>
                  </w:r>
                  <w:r>
                    <w:rPr>
                      <w:rFonts w:hint="eastAsia"/>
                      <w:color w:val="auto"/>
                      <w:szCs w:val="21"/>
                      <w:lang w:val="en-US" w:eastAsia="zh-CN"/>
                    </w:rPr>
                    <w:t>2025</w:t>
                  </w:r>
                  <w:r>
                    <w:rPr>
                      <w:rFonts w:hint="eastAsia"/>
                      <w:color w:val="auto"/>
                      <w:szCs w:val="21"/>
                      <w:lang w:eastAsia="zh-CN"/>
                    </w:rPr>
                    <w:t>的规定。一般工业固体废物储存设施及包装物应按照 GB</w:t>
                  </w:r>
                  <w:r>
                    <w:rPr>
                      <w:rFonts w:hint="eastAsia"/>
                      <w:color w:val="auto"/>
                      <w:szCs w:val="21"/>
                      <w:lang w:val="en-US" w:eastAsia="zh-CN"/>
                    </w:rPr>
                    <w:t>15562.2</w:t>
                  </w:r>
                  <w:r>
                    <w:rPr>
                      <w:rFonts w:hint="eastAsia"/>
                      <w:color w:val="auto"/>
                      <w:szCs w:val="21"/>
                      <w:lang w:eastAsia="zh-CN"/>
                    </w:rPr>
                    <w:t>的规定进行标识，危险废物储存设施及包装物的标志应符合GB</w:t>
                  </w:r>
                  <w:r>
                    <w:rPr>
                      <w:rFonts w:hint="eastAsia"/>
                      <w:color w:val="auto"/>
                      <w:szCs w:val="21"/>
                      <w:lang w:val="en-US" w:eastAsia="zh-CN"/>
                    </w:rPr>
                    <w:t>18597</w:t>
                  </w:r>
                  <w:r>
                    <w:rPr>
                      <w:rFonts w:hint="eastAsia"/>
                      <w:color w:val="auto"/>
                      <w:szCs w:val="21"/>
                      <w:lang w:eastAsia="zh-CN"/>
                    </w:rPr>
                    <w:t>和HJ</w:t>
                  </w:r>
                  <w:r>
                    <w:rPr>
                      <w:rFonts w:hint="eastAsia"/>
                      <w:color w:val="auto"/>
                      <w:szCs w:val="21"/>
                      <w:lang w:val="en-US" w:eastAsia="zh-CN"/>
                    </w:rPr>
                    <w:t>2025</w:t>
                  </w:r>
                  <w:r>
                    <w:rPr>
                      <w:rFonts w:hint="eastAsia"/>
                      <w:color w:val="auto"/>
                      <w:szCs w:val="21"/>
                      <w:lang w:eastAsia="zh-CN"/>
                    </w:rPr>
                    <w:t>的规定。所有固体废物避免混合、混放。妥善处置固体废物，不应非法转移、倾倒、利用和处置。废弃电器、铅酸蓄电池储存场地不得有明火。容器和装置要防漏和防止洒溅，并对其进行日常性检查。对拆解后的所有固体废物分类储存和标识。</w:t>
                  </w:r>
                </w:p>
              </w:tc>
              <w:tc>
                <w:tcPr>
                  <w:tcW w:w="2804" w:type="dxa"/>
                  <w:vAlign w:val="center"/>
                </w:tcPr>
                <w:p w14:paraId="4BFCD4A5">
                  <w:pPr>
                    <w:rPr>
                      <w:rFonts w:hint="default" w:eastAsia="宋体"/>
                      <w:color w:val="auto"/>
                      <w:szCs w:val="21"/>
                      <w:lang w:val="en-US" w:eastAsia="zh-CN"/>
                    </w:rPr>
                  </w:pPr>
                  <w:r>
                    <w:rPr>
                      <w:rFonts w:hint="eastAsia"/>
                      <w:color w:val="auto"/>
                      <w:szCs w:val="21"/>
                    </w:rPr>
                    <w:t>本项目拆解后产生的有毒有害的危险废物按照GB18597</w:t>
                  </w:r>
                  <w:r>
                    <w:rPr>
                      <w:rFonts w:hint="eastAsia"/>
                      <w:color w:val="auto"/>
                      <w:szCs w:val="21"/>
                      <w:lang w:eastAsia="zh-CN"/>
                    </w:rPr>
                    <w:t>、</w:t>
                  </w:r>
                  <w:r>
                    <w:rPr>
                      <w:rFonts w:hint="eastAsia"/>
                      <w:color w:val="auto"/>
                      <w:szCs w:val="21"/>
                      <w:lang w:val="en-US" w:eastAsia="zh-CN"/>
                    </w:rPr>
                    <w:t>HJ202</w:t>
                  </w:r>
                  <w:r>
                    <w:rPr>
                      <w:rFonts w:hint="eastAsia"/>
                      <w:color w:val="auto"/>
                      <w:szCs w:val="21"/>
                    </w:rPr>
                    <w:t>的规定进行存储和处置</w:t>
                  </w:r>
                  <w:r>
                    <w:rPr>
                      <w:rFonts w:hint="eastAsia"/>
                      <w:color w:val="auto"/>
                      <w:szCs w:val="21"/>
                      <w:lang w:eastAsia="zh-CN"/>
                    </w:rPr>
                    <w:t>，</w:t>
                  </w:r>
                  <w:r>
                    <w:rPr>
                      <w:rFonts w:hint="eastAsia"/>
                      <w:color w:val="auto"/>
                      <w:szCs w:val="21"/>
                    </w:rPr>
                    <w:t>危险废物交由有相应资质的单位进行处置</w:t>
                  </w:r>
                  <w:r>
                    <w:rPr>
                      <w:rFonts w:hint="eastAsia"/>
                      <w:color w:val="auto"/>
                      <w:szCs w:val="21"/>
                      <w:lang w:eastAsia="zh-CN"/>
                    </w:rPr>
                    <w:t>，</w:t>
                  </w:r>
                  <w:r>
                    <w:rPr>
                      <w:rFonts w:hint="eastAsia"/>
                      <w:color w:val="auto"/>
                      <w:szCs w:val="21"/>
                      <w:lang w:val="en-US" w:eastAsia="zh-CN"/>
                    </w:rPr>
                    <w:t>一般固废按照 GB18599的规定进行存储和处置</w:t>
                  </w:r>
                  <w:r>
                    <w:rPr>
                      <w:rFonts w:hint="eastAsia"/>
                      <w:color w:val="auto"/>
                      <w:szCs w:val="21"/>
                    </w:rPr>
                    <w:t>。</w:t>
                  </w:r>
                  <w:r>
                    <w:rPr>
                      <w:rFonts w:hint="eastAsia"/>
                      <w:color w:val="auto"/>
                      <w:szCs w:val="21"/>
                      <w:lang w:val="en-US" w:eastAsia="zh-CN"/>
                    </w:rPr>
                    <w:t>一般工业固体废物与危险废物储存设施和包装物按规定设置标志。危险废物均置于专用储存容器中存放。所有固体废物均不混合混放。</w:t>
                  </w:r>
                </w:p>
              </w:tc>
              <w:tc>
                <w:tcPr>
                  <w:tcW w:w="1127" w:type="dxa"/>
                  <w:vAlign w:val="center"/>
                </w:tcPr>
                <w:p w14:paraId="0592CF88">
                  <w:pPr>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符合</w:t>
                  </w:r>
                </w:p>
              </w:tc>
            </w:tr>
            <w:tr w14:paraId="5B343F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171" w:type="dxa"/>
                  <w:vAlign w:val="center"/>
                </w:tcPr>
                <w:p w14:paraId="62C37580">
                  <w:pPr>
                    <w:rPr>
                      <w:rFonts w:hint="eastAsia"/>
                      <w:color w:val="auto"/>
                      <w:szCs w:val="21"/>
                    </w:rPr>
                  </w:pPr>
                  <w:r>
                    <w:rPr>
                      <w:rFonts w:hint="eastAsia"/>
                      <w:color w:val="auto"/>
                      <w:szCs w:val="21"/>
                    </w:rPr>
                    <w:t>拆解后存储与处置：废液应使用专用密闭容器存储，防漏、防洒溅、防挥发，并交给核发的废液回收处理企业；拆解后的可再利用零部件存储前，应做清洗和防锈等处理后在室内存储，并标明“回用件”；拆解后的所有的零部件、材料、废物</w:t>
                  </w:r>
                  <w:r>
                    <w:rPr>
                      <w:rFonts w:hint="eastAsia"/>
                      <w:color w:val="auto"/>
                      <w:szCs w:val="21"/>
                      <w:lang w:eastAsia="zh-CN"/>
                    </w:rPr>
                    <w:t>，</w:t>
                  </w:r>
                  <w:r>
                    <w:rPr>
                      <w:rFonts w:hint="eastAsia"/>
                      <w:color w:val="auto"/>
                      <w:szCs w:val="21"/>
                    </w:rPr>
                    <w:t>应按照 GB</w:t>
                  </w:r>
                  <w:r>
                    <w:rPr>
                      <w:rFonts w:hint="eastAsia"/>
                      <w:color w:val="auto"/>
                      <w:szCs w:val="21"/>
                      <w:lang w:val="en-US" w:eastAsia="zh-CN"/>
                    </w:rPr>
                    <w:t>18484</w:t>
                  </w:r>
                  <w:r>
                    <w:rPr>
                      <w:rFonts w:hint="eastAsia"/>
                      <w:color w:val="auto"/>
                      <w:szCs w:val="21"/>
                    </w:rPr>
                    <w:t>的规定分类存储和标识</w:t>
                  </w:r>
                  <w:r>
                    <w:rPr>
                      <w:rFonts w:hint="eastAsia"/>
                      <w:color w:val="auto"/>
                      <w:szCs w:val="21"/>
                      <w:lang w:eastAsia="zh-CN"/>
                    </w:rPr>
                    <w:t>，</w:t>
                  </w:r>
                  <w:r>
                    <w:rPr>
                      <w:rFonts w:hint="eastAsia"/>
                      <w:color w:val="auto"/>
                      <w:szCs w:val="21"/>
                    </w:rPr>
                    <w:t>废物不得焚烧、丢弃；对列入国家危险废物名录的危险废物应按照 GB</w:t>
                  </w:r>
                  <w:r>
                    <w:rPr>
                      <w:rFonts w:hint="eastAsia"/>
                      <w:color w:val="auto"/>
                      <w:szCs w:val="21"/>
                      <w:lang w:val="en-US" w:eastAsia="zh-CN"/>
                    </w:rPr>
                    <w:t>18599</w:t>
                  </w:r>
                  <w:r>
                    <w:rPr>
                      <w:rFonts w:hint="eastAsia"/>
                      <w:color w:val="auto"/>
                      <w:szCs w:val="21"/>
                    </w:rPr>
                    <w:t>的规定进行储存和污染控制管理</w:t>
                  </w:r>
                  <w:r>
                    <w:rPr>
                      <w:rFonts w:hint="eastAsia"/>
                      <w:color w:val="auto"/>
                      <w:szCs w:val="21"/>
                      <w:lang w:eastAsia="zh-CN"/>
                    </w:rPr>
                    <w:t>；</w:t>
                  </w:r>
                  <w:r>
                    <w:rPr>
                      <w:rFonts w:hint="eastAsia"/>
                      <w:color w:val="auto"/>
                      <w:szCs w:val="21"/>
                    </w:rPr>
                    <w:t>拆解后有毒有害的危险废物的存储和处置应符合 GB</w:t>
                  </w:r>
                  <w:r>
                    <w:rPr>
                      <w:rFonts w:hint="eastAsia"/>
                      <w:color w:val="auto"/>
                      <w:szCs w:val="21"/>
                      <w:lang w:val="en-US" w:eastAsia="zh-CN"/>
                    </w:rPr>
                    <w:t>18597</w:t>
                  </w:r>
                  <w:r>
                    <w:rPr>
                      <w:rFonts w:hint="eastAsia"/>
                      <w:color w:val="auto"/>
                      <w:szCs w:val="21"/>
                    </w:rPr>
                    <w:t>的规定</w:t>
                  </w:r>
                  <w:r>
                    <w:rPr>
                      <w:rFonts w:hint="eastAsia"/>
                      <w:color w:val="auto"/>
                      <w:szCs w:val="21"/>
                      <w:lang w:eastAsia="zh-CN"/>
                    </w:rPr>
                    <w:t>，</w:t>
                  </w:r>
                  <w:r>
                    <w:rPr>
                      <w:rFonts w:hint="eastAsia"/>
                      <w:color w:val="auto"/>
                      <w:szCs w:val="21"/>
                    </w:rPr>
                    <w:t>危险废物应交由具有相应资质的企业进行处置；动力蓄电池、电子元器件拆解后应单独存放</w:t>
                  </w:r>
                  <w:r>
                    <w:rPr>
                      <w:rFonts w:hint="eastAsia"/>
                      <w:color w:val="auto"/>
                      <w:szCs w:val="21"/>
                      <w:lang w:eastAsia="zh-CN"/>
                    </w:rPr>
                    <w:t>，</w:t>
                  </w:r>
                  <w:r>
                    <w:rPr>
                      <w:rFonts w:hint="eastAsia"/>
                      <w:color w:val="auto"/>
                      <w:szCs w:val="21"/>
                    </w:rPr>
                    <w:t>对锂电池进行整体拆解存放</w:t>
                  </w:r>
                  <w:r>
                    <w:rPr>
                      <w:rFonts w:hint="eastAsia"/>
                      <w:color w:val="auto"/>
                      <w:szCs w:val="21"/>
                      <w:lang w:eastAsia="zh-CN"/>
                    </w:rPr>
                    <w:t>，</w:t>
                  </w:r>
                  <w:r>
                    <w:rPr>
                      <w:rFonts w:hint="eastAsia"/>
                      <w:color w:val="auto"/>
                      <w:szCs w:val="21"/>
                    </w:rPr>
                    <w:t>做好防止自燃措施</w:t>
                  </w:r>
                  <w:r>
                    <w:rPr>
                      <w:rFonts w:hint="eastAsia"/>
                      <w:color w:val="auto"/>
                      <w:szCs w:val="21"/>
                      <w:lang w:eastAsia="zh-CN"/>
                    </w:rPr>
                    <w:t>，</w:t>
                  </w:r>
                  <w:r>
                    <w:rPr>
                      <w:rFonts w:hint="eastAsia"/>
                      <w:color w:val="auto"/>
                      <w:szCs w:val="21"/>
                    </w:rPr>
                    <w:t>并交由有资质的处置企业进行回收处理.电子元器件应交由有废电器资质企业拆解</w:t>
                  </w:r>
                  <w:r>
                    <w:rPr>
                      <w:rFonts w:hint="eastAsia"/>
                      <w:color w:val="auto"/>
                      <w:szCs w:val="21"/>
                      <w:lang w:eastAsia="zh-CN"/>
                    </w:rPr>
                    <w:t>，</w:t>
                  </w:r>
                  <w:r>
                    <w:rPr>
                      <w:rFonts w:hint="eastAsia"/>
                      <w:color w:val="auto"/>
                      <w:szCs w:val="21"/>
                    </w:rPr>
                    <w:t>不可自行拆解。</w:t>
                  </w:r>
                </w:p>
              </w:tc>
              <w:tc>
                <w:tcPr>
                  <w:tcW w:w="2804" w:type="dxa"/>
                  <w:vAlign w:val="center"/>
                </w:tcPr>
                <w:p w14:paraId="7A3374C7">
                  <w:pPr>
                    <w:rPr>
                      <w:rFonts w:hint="eastAsia"/>
                      <w:color w:val="auto"/>
                      <w:szCs w:val="21"/>
                    </w:rPr>
                  </w:pPr>
                  <w:r>
                    <w:rPr>
                      <w:rFonts w:hint="eastAsia"/>
                      <w:color w:val="auto"/>
                      <w:szCs w:val="21"/>
                    </w:rPr>
                    <w:t>本项目废液使用专用密闭容器存储，防漏、防洒溅、防挥发，暂存于</w:t>
                  </w:r>
                  <w:r>
                    <w:rPr>
                      <w:rFonts w:hint="eastAsia"/>
                      <w:color w:val="auto"/>
                      <w:szCs w:val="21"/>
                      <w:lang w:eastAsia="zh-CN"/>
                    </w:rPr>
                    <w:t>危险废物贮存库</w:t>
                  </w:r>
                  <w:r>
                    <w:rPr>
                      <w:rFonts w:hint="eastAsia"/>
                      <w:color w:val="auto"/>
                      <w:szCs w:val="21"/>
                    </w:rPr>
                    <w:t>，定期委托有资质单位进行处理；本项目拆解下来的各种可回收利用物品和零部件，包括废钢铁、废有色金属、废塑料、废玻璃、废橡胶等仅拆下，不进行拆解，交由有资质单位进行拆解或定期外售；拆解后一般固体废物的存储和处置应按照GB18599的规定执行；拆解后有毒有害的危险废物的存储和处置应按照GB18597的规定执行，危险废物应交由具有相应资质的单位进行处置。</w:t>
                  </w:r>
                </w:p>
              </w:tc>
              <w:tc>
                <w:tcPr>
                  <w:tcW w:w="1127" w:type="dxa"/>
                  <w:vAlign w:val="center"/>
                </w:tcPr>
                <w:p w14:paraId="3E068353">
                  <w:pPr>
                    <w:jc w:val="center"/>
                    <w:rPr>
                      <w:color w:val="auto"/>
                      <w:szCs w:val="21"/>
                    </w:rPr>
                  </w:pPr>
                  <w:r>
                    <w:rPr>
                      <w:rFonts w:hint="eastAsia"/>
                      <w:color w:val="auto"/>
                      <w:szCs w:val="21"/>
                    </w:rPr>
                    <w:t>符合</w:t>
                  </w:r>
                </w:p>
              </w:tc>
            </w:tr>
          </w:tbl>
          <w:p w14:paraId="493B1AA2">
            <w:pPr>
              <w:pStyle w:val="84"/>
              <w:rPr>
                <w:color w:val="auto"/>
              </w:rPr>
            </w:pPr>
            <w:r>
              <w:rPr>
                <w:rFonts w:hint="eastAsia"/>
                <w:color w:val="auto"/>
                <w:lang w:val="en-US" w:eastAsia="zh-CN"/>
              </w:rPr>
              <w:t>八</w:t>
            </w:r>
            <w:r>
              <w:rPr>
                <w:color w:val="auto"/>
              </w:rPr>
              <w:t>、与《黑龙江省重点行业挥发性有机物综合治理行动方案》符合性分析</w:t>
            </w:r>
          </w:p>
          <w:p w14:paraId="19F757F3">
            <w:pPr>
              <w:pStyle w:val="77"/>
              <w:rPr>
                <w:b/>
                <w:bCs/>
                <w:color w:val="auto"/>
              </w:rPr>
            </w:pPr>
            <w:r>
              <w:rPr>
                <w:color w:val="auto"/>
              </w:rPr>
              <w:t>根据《黑龙江省重点行业挥发性有机物综合治理行动方案》中要求，“使用的原辅材料VOCs含量（质量比）低于10%的工序，可不要求采取无组织排放收集措施”。</w:t>
            </w:r>
          </w:p>
          <w:p w14:paraId="158E894A">
            <w:pPr>
              <w:pStyle w:val="77"/>
              <w:rPr>
                <w:color w:val="auto"/>
              </w:rPr>
            </w:pPr>
            <w:r>
              <w:rPr>
                <w:rFonts w:hint="eastAsia"/>
                <w:color w:val="auto"/>
                <w:lang w:val="en-US" w:eastAsia="zh-CN"/>
              </w:rPr>
              <w:t>油液抽取</w:t>
            </w:r>
            <w:r>
              <w:rPr>
                <w:rFonts w:hint="eastAsia"/>
                <w:color w:val="auto"/>
              </w:rPr>
              <w:t>工段设置1套集气罩+活性炭吸附装置，收集率80%，除尘效率60%，</w:t>
            </w:r>
            <w:r>
              <w:rPr>
                <w:rFonts w:hint="eastAsia"/>
                <w:color w:val="auto"/>
                <w:lang w:val="en-US" w:eastAsia="zh-CN"/>
              </w:rPr>
              <w:t>经过处理后的</w:t>
            </w:r>
            <w:r>
              <w:rPr>
                <w:color w:val="auto"/>
              </w:rPr>
              <w:t>非甲烷总烃以无组织形式排出室外。</w:t>
            </w:r>
            <w:r>
              <w:rPr>
                <w:rFonts w:hint="eastAsia"/>
                <w:color w:val="auto"/>
                <w:lang w:val="en-US" w:eastAsia="zh-CN"/>
              </w:rPr>
              <w:t>切割工段粉尘在</w:t>
            </w:r>
            <w:r>
              <w:rPr>
                <w:color w:val="auto"/>
              </w:rPr>
              <w:t>切割工位设置</w:t>
            </w:r>
            <w:r>
              <w:rPr>
                <w:rFonts w:hint="eastAsia"/>
                <w:color w:val="auto"/>
                <w:lang w:eastAsia="zh-CN"/>
              </w:rPr>
              <w:t>移动式布袋除尘器</w:t>
            </w:r>
            <w:r>
              <w:rPr>
                <w:color w:val="auto"/>
              </w:rPr>
              <w:t>，除尘效率按99%计</w:t>
            </w:r>
            <w:r>
              <w:rPr>
                <w:rFonts w:hint="eastAsia"/>
                <w:color w:val="auto"/>
                <w:lang w:val="en-US" w:eastAsia="zh-CN"/>
              </w:rPr>
              <w:t>，</w:t>
            </w:r>
            <w:r>
              <w:rPr>
                <w:rFonts w:hint="eastAsia"/>
                <w:color w:val="auto"/>
              </w:rPr>
              <w:t>危险废物采用密闭容器包装，</w:t>
            </w:r>
            <w:r>
              <w:rPr>
                <w:rFonts w:hint="eastAsia"/>
                <w:color w:val="auto"/>
                <w:lang w:val="en-US" w:eastAsia="zh-CN"/>
              </w:rPr>
              <w:t>设置通过活性炭吸附（吸附效率90%）处理后由1根15m高排气筒P1排放</w:t>
            </w:r>
            <w:r>
              <w:rPr>
                <w:rFonts w:hint="eastAsia"/>
                <w:color w:val="auto"/>
                <w:lang w:eastAsia="zh-CN"/>
              </w:rPr>
              <w:t>。</w:t>
            </w:r>
            <w:r>
              <w:rPr>
                <w:color w:val="auto"/>
              </w:rPr>
              <w:t>符合《黑龙江省重点行业挥发性有机物综合治理行动方案》的要求。</w:t>
            </w:r>
          </w:p>
          <w:p w14:paraId="5A6D601D">
            <w:pPr>
              <w:pStyle w:val="84"/>
              <w:rPr>
                <w:color w:val="FF0000"/>
              </w:rPr>
            </w:pPr>
            <w:r>
              <w:rPr>
                <w:rFonts w:hint="eastAsia"/>
                <w:color w:val="auto"/>
                <w:lang w:val="en-US" w:eastAsia="zh-CN"/>
              </w:rPr>
              <w:t>九</w:t>
            </w:r>
            <w:r>
              <w:rPr>
                <w:color w:val="auto"/>
              </w:rPr>
              <w:t>、</w:t>
            </w:r>
            <w:r>
              <w:rPr>
                <w:color w:val="FF0000"/>
              </w:rPr>
              <w:t>与《重点行业挥发性有机物综合治理行动方案》符合性分析</w:t>
            </w:r>
          </w:p>
          <w:p w14:paraId="598E7C67">
            <w:pPr>
              <w:pStyle w:val="77"/>
              <w:rPr>
                <w:color w:val="auto"/>
              </w:rPr>
            </w:pPr>
            <w:r>
              <w:rPr>
                <w:rFonts w:hint="eastAsia"/>
                <w:color w:val="auto"/>
                <w:lang w:val="en-US" w:eastAsia="zh-CN"/>
              </w:rPr>
              <w:t>本项目油液抽取</w:t>
            </w:r>
            <w:r>
              <w:rPr>
                <w:rFonts w:hint="eastAsia"/>
                <w:color w:val="auto"/>
              </w:rPr>
              <w:t>工段设置1套集气罩+活性炭吸附装置，收集率80%，除尘效率60%，</w:t>
            </w:r>
            <w:r>
              <w:rPr>
                <w:rFonts w:hint="eastAsia"/>
                <w:color w:val="auto"/>
                <w:lang w:val="en-US" w:eastAsia="zh-CN"/>
              </w:rPr>
              <w:t>经过处理后的</w:t>
            </w:r>
            <w:r>
              <w:rPr>
                <w:color w:val="auto"/>
              </w:rPr>
              <w:t>非甲烷总烃以无组织形式排出室外。</w:t>
            </w:r>
            <w:r>
              <w:rPr>
                <w:rFonts w:hint="eastAsia"/>
                <w:color w:val="auto"/>
                <w:lang w:val="en-US" w:eastAsia="zh-CN"/>
              </w:rPr>
              <w:t>切割工段粉尘在</w:t>
            </w:r>
            <w:r>
              <w:rPr>
                <w:color w:val="auto"/>
              </w:rPr>
              <w:t>切割工位设置</w:t>
            </w:r>
            <w:r>
              <w:rPr>
                <w:rFonts w:hint="eastAsia"/>
                <w:color w:val="auto"/>
                <w:lang w:eastAsia="zh-CN"/>
              </w:rPr>
              <w:t>移动式布袋除尘器</w:t>
            </w:r>
            <w:r>
              <w:rPr>
                <w:color w:val="auto"/>
              </w:rPr>
              <w:t>，除尘效率按99%计</w:t>
            </w:r>
            <w:r>
              <w:rPr>
                <w:rFonts w:hint="eastAsia"/>
                <w:color w:val="auto"/>
                <w:lang w:val="en-US" w:eastAsia="zh-CN"/>
              </w:rPr>
              <w:t>，</w:t>
            </w:r>
            <w:r>
              <w:rPr>
                <w:rFonts w:hint="eastAsia"/>
                <w:color w:val="auto"/>
              </w:rPr>
              <w:t>危险废物采用密闭容器包装，</w:t>
            </w:r>
            <w:r>
              <w:rPr>
                <w:rFonts w:hint="eastAsia"/>
                <w:color w:val="auto"/>
                <w:lang w:val="en-US" w:eastAsia="zh-CN"/>
              </w:rPr>
              <w:t>设置通过活性炭吸附（吸附效率90%）处理后由1根15m高排气筒P1排放</w:t>
            </w:r>
            <w:r>
              <w:rPr>
                <w:rFonts w:hint="eastAsia"/>
                <w:color w:val="auto"/>
                <w:lang w:eastAsia="zh-CN"/>
              </w:rPr>
              <w:t>。</w:t>
            </w:r>
            <w:r>
              <w:rPr>
                <w:color w:val="auto"/>
              </w:rPr>
              <w:t>符合《重点行业挥发性有机物综合治理行动方案》的要求。</w:t>
            </w:r>
          </w:p>
          <w:p w14:paraId="7C4CC6AA">
            <w:pPr>
              <w:pStyle w:val="84"/>
              <w:numPr>
                <w:ilvl w:val="0"/>
                <w:numId w:val="2"/>
              </w:numPr>
              <w:rPr>
                <w:color w:val="FF0000"/>
              </w:rPr>
            </w:pPr>
            <w:r>
              <w:rPr>
                <w:color w:val="FF0000"/>
              </w:rPr>
              <w:t>与《</w:t>
            </w:r>
            <w:r>
              <w:rPr>
                <w:rFonts w:hint="eastAsia"/>
                <w:color w:val="FF0000"/>
              </w:rPr>
              <w:t>黑龙江省水污染防治条例</w:t>
            </w:r>
            <w:r>
              <w:rPr>
                <w:color w:val="FF0000"/>
              </w:rPr>
              <w:t>》符合性分析</w:t>
            </w:r>
          </w:p>
          <w:p w14:paraId="1BB4C744">
            <w:pPr>
              <w:pStyle w:val="84"/>
              <w:numPr>
                <w:ilvl w:val="0"/>
                <w:numId w:val="0"/>
              </w:numPr>
              <w:jc w:val="center"/>
              <w:rPr>
                <w:color w:val="FF0000"/>
              </w:rPr>
            </w:pPr>
            <w:r>
              <w:rPr>
                <w:color w:val="auto"/>
              </w:rPr>
              <w:t>表1-12 与《</w:t>
            </w:r>
            <w:r>
              <w:rPr>
                <w:rFonts w:hint="eastAsia"/>
                <w:color w:val="auto"/>
              </w:rPr>
              <w:t>黑龙江省水污染防治条例</w:t>
            </w:r>
            <w:r>
              <w:rPr>
                <w:color w:val="auto"/>
              </w:rPr>
              <w:t>》符合性分析</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641"/>
              <w:gridCol w:w="2713"/>
              <w:gridCol w:w="748"/>
            </w:tblGrid>
            <w:tr w14:paraId="55EE50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2563" w:type="pct"/>
                  <w:vAlign w:val="center"/>
                </w:tcPr>
                <w:p w14:paraId="7C667B58">
                  <w:pPr>
                    <w:pStyle w:val="80"/>
                    <w:rPr>
                      <w:color w:val="auto"/>
                    </w:rPr>
                  </w:pPr>
                  <w:r>
                    <w:rPr>
                      <w:color w:val="auto"/>
                    </w:rPr>
                    <w:t>文件要求</w:t>
                  </w:r>
                </w:p>
              </w:tc>
              <w:tc>
                <w:tcPr>
                  <w:tcW w:w="1910" w:type="pct"/>
                  <w:vAlign w:val="center"/>
                </w:tcPr>
                <w:p w14:paraId="7D14F682">
                  <w:pPr>
                    <w:pStyle w:val="80"/>
                    <w:rPr>
                      <w:color w:val="auto"/>
                    </w:rPr>
                  </w:pPr>
                  <w:r>
                    <w:rPr>
                      <w:color w:val="auto"/>
                    </w:rPr>
                    <w:t>本项目</w:t>
                  </w:r>
                </w:p>
              </w:tc>
              <w:tc>
                <w:tcPr>
                  <w:tcW w:w="526" w:type="pct"/>
                  <w:vAlign w:val="center"/>
                </w:tcPr>
                <w:p w14:paraId="691220A6">
                  <w:pPr>
                    <w:pStyle w:val="80"/>
                    <w:rPr>
                      <w:color w:val="auto"/>
                    </w:rPr>
                  </w:pPr>
                  <w:r>
                    <w:rPr>
                      <w:color w:val="auto"/>
                    </w:rPr>
                    <w:t>符合性</w:t>
                  </w:r>
                </w:p>
              </w:tc>
            </w:tr>
            <w:tr w14:paraId="4107EA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2563" w:type="pct"/>
                  <w:vAlign w:val="center"/>
                </w:tcPr>
                <w:p w14:paraId="3B6CC565">
                  <w:pPr>
                    <w:pStyle w:val="82"/>
                    <w:rPr>
                      <w:color w:val="auto"/>
                    </w:rPr>
                  </w:pPr>
                  <w:r>
                    <w:rPr>
                      <w:rFonts w:hint="eastAsia"/>
                      <w:color w:val="auto"/>
                    </w:rPr>
                    <w:t>新建、改建、扩建直接或者间接向水体排放污染物的建设项目和其他水上设施，应当依法进行环境影响评价，并符合国家、省、市（地）有关生态保护红线、环境质量底线、源利用上线和生态环境</w:t>
                  </w:r>
                </w:p>
              </w:tc>
              <w:tc>
                <w:tcPr>
                  <w:tcW w:w="1910" w:type="pct"/>
                  <w:vMerge w:val="restart"/>
                  <w:vAlign w:val="center"/>
                </w:tcPr>
                <w:p w14:paraId="40E8AE6C">
                  <w:pPr>
                    <w:pStyle w:val="82"/>
                    <w:rPr>
                      <w:rFonts w:hint="eastAsia"/>
                      <w:color w:val="auto"/>
                    </w:rPr>
                  </w:pPr>
                  <w:r>
                    <w:rPr>
                      <w:rFonts w:hint="eastAsia"/>
                      <w:color w:val="auto"/>
                    </w:rPr>
                    <w:t>本项目依法开展环境影响评价工作。根据《产业结构调整指导目录（2024 年本）》，本项目属于鼓励类中的“四十二、环境保护与资源节约综合利用”中的“9.再制造：报废汽车、退役民用飞机、工程机械、矿山机械、农业机械、机床、文办设备及耗材、盾构机、航空发动机、工业机器人、火车内燃机车等废旧设备及零部件拆解、再利用、再制造”，本项目符合国家产业政策要求。</w:t>
                  </w:r>
                </w:p>
                <w:p w14:paraId="6897FCFF">
                  <w:pPr>
                    <w:pStyle w:val="82"/>
                    <w:rPr>
                      <w:color w:val="auto"/>
                    </w:rPr>
                  </w:pPr>
                  <w:r>
                    <w:rPr>
                      <w:rFonts w:hint="eastAsia"/>
                      <w:color w:val="auto"/>
                    </w:rPr>
                    <w:t>在本项目建成后，试运行前应该向生态环境主管部门申请排污许可证，将项目建设内容、产品方案、建设规模，采用的工艺流程、工艺技术方案，污染预防和清洁生产措施，环保设施和治理措施，各类污染物排放总量，在线监测和自主监测要求，环境安全防范措施，环境应急体系和应急设施等，全部按装置、设施载入排污许可证。企业在设计，建设和运营过程中，需按照许可证管理要求进行监测和申报，自证守法；许可证内容发生变更应进行申报，重大变更应重新环评和申请许可证变更。原始监测记录、环境管理台账保存期限不少于五年。</w:t>
                  </w:r>
                </w:p>
              </w:tc>
              <w:tc>
                <w:tcPr>
                  <w:tcW w:w="526" w:type="pct"/>
                  <w:vMerge w:val="restart"/>
                  <w:vAlign w:val="center"/>
                </w:tcPr>
                <w:p w14:paraId="4C9B83D9">
                  <w:pPr>
                    <w:pStyle w:val="80"/>
                    <w:rPr>
                      <w:color w:val="auto"/>
                    </w:rPr>
                  </w:pPr>
                  <w:r>
                    <w:rPr>
                      <w:color w:val="auto"/>
                    </w:rPr>
                    <w:t>符合</w:t>
                  </w:r>
                </w:p>
              </w:tc>
            </w:tr>
            <w:tr w14:paraId="011AC7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2563" w:type="pct"/>
                  <w:vAlign w:val="center"/>
                </w:tcPr>
                <w:p w14:paraId="30BFE6F6">
                  <w:pPr>
                    <w:pStyle w:val="82"/>
                    <w:rPr>
                      <w:color w:val="auto"/>
                    </w:rPr>
                  </w:pPr>
                  <w:r>
                    <w:rPr>
                      <w:rFonts w:hint="eastAsia"/>
                      <w:color w:val="auto"/>
                    </w:rPr>
                    <w:t>依照法律规定实行排污许可管理的企业事业单位和其他生产经营者，应当依照《排污许可管理条例》规定申请取得排污许可证，按照排污许可证要求排放污染物；未取得排污许可证的，不得排放污染物。</w:t>
                  </w:r>
                </w:p>
              </w:tc>
              <w:tc>
                <w:tcPr>
                  <w:tcW w:w="1910" w:type="pct"/>
                  <w:vMerge w:val="continue"/>
                  <w:vAlign w:val="center"/>
                </w:tcPr>
                <w:p w14:paraId="69DE8357">
                  <w:pPr>
                    <w:pStyle w:val="82"/>
                    <w:rPr>
                      <w:color w:val="auto"/>
                    </w:rPr>
                  </w:pPr>
                </w:p>
              </w:tc>
              <w:tc>
                <w:tcPr>
                  <w:tcW w:w="526" w:type="pct"/>
                  <w:vMerge w:val="continue"/>
                  <w:vAlign w:val="center"/>
                </w:tcPr>
                <w:p w14:paraId="7F7E8503">
                  <w:pPr>
                    <w:pStyle w:val="80"/>
                    <w:rPr>
                      <w:color w:val="auto"/>
                    </w:rPr>
                  </w:pPr>
                </w:p>
              </w:tc>
            </w:tr>
            <w:tr w14:paraId="0B5A14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1" w:hRule="atLeast"/>
                <w:jc w:val="center"/>
              </w:trPr>
              <w:tc>
                <w:tcPr>
                  <w:tcW w:w="2563" w:type="pct"/>
                  <w:vAlign w:val="center"/>
                </w:tcPr>
                <w:p w14:paraId="725FA4BD">
                  <w:pPr>
                    <w:pStyle w:val="82"/>
                    <w:rPr>
                      <w:color w:val="auto"/>
                    </w:rPr>
                  </w:pPr>
                  <w:r>
                    <w:rPr>
                      <w:rFonts w:hint="eastAsia"/>
                      <w:color w:val="auto"/>
                    </w:rPr>
                    <w:t>实行排污许可管理的企业事业单位和其他生产经营者应当按照排污许可证要求和有关标准规范，自行监测排放的水污染物，保存原始监测记录，建立环境管理台账。原始监测记录、环境管理台账保存期限不少于五年。排放工业废水的企业应当采取有效措施，收集和处理产生的全部废水，防止污染环境。含有毒有害水污染物的工业废水应当分类收集和处理，不得稀释排放。</w:t>
                  </w:r>
                </w:p>
              </w:tc>
              <w:tc>
                <w:tcPr>
                  <w:tcW w:w="1910" w:type="pct"/>
                  <w:vMerge w:val="continue"/>
                  <w:vAlign w:val="center"/>
                </w:tcPr>
                <w:p w14:paraId="7BB98BE2">
                  <w:pPr>
                    <w:pStyle w:val="82"/>
                    <w:rPr>
                      <w:color w:val="auto"/>
                    </w:rPr>
                  </w:pPr>
                </w:p>
              </w:tc>
              <w:tc>
                <w:tcPr>
                  <w:tcW w:w="526" w:type="pct"/>
                  <w:vMerge w:val="continue"/>
                  <w:vAlign w:val="center"/>
                </w:tcPr>
                <w:p w14:paraId="745C2459">
                  <w:pPr>
                    <w:pStyle w:val="80"/>
                    <w:rPr>
                      <w:color w:val="auto"/>
                    </w:rPr>
                  </w:pPr>
                </w:p>
              </w:tc>
            </w:tr>
          </w:tbl>
          <w:p w14:paraId="5990F46A">
            <w:pPr>
              <w:pStyle w:val="84"/>
              <w:numPr>
                <w:ilvl w:val="0"/>
                <w:numId w:val="0"/>
              </w:numPr>
              <w:ind w:firstLine="482" w:firstLineChars="200"/>
              <w:rPr>
                <w:rFonts w:hint="eastAsia"/>
                <w:color w:val="FF0000"/>
                <w:highlight w:val="none"/>
              </w:rPr>
            </w:pPr>
            <w:r>
              <w:rPr>
                <w:rFonts w:hint="eastAsia"/>
                <w:color w:val="FF0000"/>
                <w:lang w:val="en-US" w:eastAsia="zh-CN"/>
              </w:rPr>
              <w:t>十一、</w:t>
            </w:r>
            <w:r>
              <w:rPr>
                <w:rFonts w:hint="eastAsia"/>
                <w:color w:val="FF0000"/>
              </w:rPr>
              <w:t>与《黑龙江省“十四五”生态环境保护规划》符合性分析</w:t>
            </w:r>
          </w:p>
          <w:p w14:paraId="3F081E77">
            <w:pPr>
              <w:pStyle w:val="77"/>
              <w:rPr>
                <w:rFonts w:hint="eastAsia"/>
                <w:color w:val="auto"/>
                <w:highlight w:val="none"/>
              </w:rPr>
            </w:pPr>
            <w:r>
              <w:rPr>
                <w:rFonts w:hint="eastAsia"/>
                <w:color w:val="auto"/>
                <w:highlight w:val="none"/>
              </w:rPr>
              <w:t>《黑龙江省“十四五”生态环境保护规划》中要求：</w:t>
            </w:r>
            <w:r>
              <w:rPr>
                <w:rFonts w:hint="eastAsia"/>
                <w:color w:val="auto"/>
                <w:highlight w:val="none"/>
                <w:lang w:eastAsia="zh-CN"/>
              </w:rPr>
              <w:t>“</w:t>
            </w:r>
            <w:r>
              <w:rPr>
                <w:rFonts w:hint="eastAsia"/>
                <w:color w:val="auto"/>
                <w:highlight w:val="none"/>
              </w:rPr>
              <w:t>优化能源供给结构。建设清洁低碳、安全高效的能源体系。严格控制煤炭消费总量增速，实施煤炭消费减量替代，推动煤炭等化石能源清洁高效利用。实施能耗总量和强度双控，大幅降低能耗强度。实施可再生能源替代行动，促进非化石能源成为能源消费增量的主体。优化电力生产和输送通道布局，提高能源输配效率。优化风电、光伏发电布局。优先发展新能源产业，推进核能供暖示范，探索可再生能源制氢，开展绿色氢能利用。</w:t>
            </w:r>
          </w:p>
          <w:p w14:paraId="314E9C38">
            <w:pPr>
              <w:pStyle w:val="77"/>
              <w:rPr>
                <w:rFonts w:hint="eastAsia"/>
                <w:color w:val="auto"/>
              </w:rPr>
            </w:pPr>
            <w:r>
              <w:rPr>
                <w:rFonts w:hint="eastAsia"/>
                <w:color w:val="auto"/>
                <w:highlight w:val="none"/>
              </w:rPr>
              <w:t>实施终端用能清洁化替代。重点削减小型燃煤锅炉、民用散煤与农业用煤消费量，降</w:t>
            </w:r>
            <w:r>
              <w:rPr>
                <w:rFonts w:hint="eastAsia"/>
                <w:color w:val="auto"/>
              </w:rPr>
              <w:t>低煤炭在终端分散利用比例，对以煤、石焦油、渣油、重油等为燃料的锅炉和工业炉窑，加快使用清洁低碳能源以及工厂余热、电力热力等进行替代。深入实施“气化龙江”战略，率先在哈尔滨市、齐齐哈尔市、大庆市、黑河市等城市以及工业园区推广应用分布式天然气供暖，重点将哈尔滨新区打造成天然气应用示范区。加快推进齐齐哈尔市、大庆市可再生能源综合应用示范区建设和四煤城新能源项目建设。到2025年，全省清洁取暖率提高到75%以上。</w:t>
            </w:r>
          </w:p>
          <w:p w14:paraId="2CBFC129">
            <w:pPr>
              <w:pStyle w:val="77"/>
              <w:rPr>
                <w:rFonts w:hint="eastAsia"/>
                <w:color w:val="auto"/>
              </w:rPr>
            </w:pPr>
            <w:r>
              <w:rPr>
                <w:rFonts w:hint="eastAsia"/>
                <w:color w:val="auto"/>
              </w:rPr>
              <w:t>开展 VOCs（挥发性有机物）全过程综合整治。持续开展石化、化工、包装印刷、工业涂装等重点行业 VOCs 全过程综合整治。提高 VOCs 含量低（无）的绿色原辅材料替代比例，开展原油、成品油、有机化学品等涉 VOCs 物质储罐排查，按规定逐步取消炼油、石化、煤化工、制药、农药、化工、工业涂装、包装印刷等企业非必要 VOCs 废气排放系统旁路。鼓励涂装类工业园区和企业集群统筹规划建设集中涂装中心、活性碳集中处理中心、溶剂回收中心。加强汽修、餐饮等行业 VOCs 综合治理。</w:t>
            </w:r>
          </w:p>
          <w:p w14:paraId="4C37236C">
            <w:pPr>
              <w:pStyle w:val="77"/>
              <w:rPr>
                <w:rFonts w:hint="eastAsia"/>
                <w:color w:val="auto"/>
                <w:highlight w:val="none"/>
              </w:rPr>
            </w:pPr>
            <w:r>
              <w:rPr>
                <w:rFonts w:hint="eastAsia"/>
                <w:color w:val="auto"/>
                <w:highlight w:val="none"/>
                <w:lang w:eastAsia="zh-CN"/>
              </w:rPr>
              <w:t>强化危险废物环境监管。建立危险废物重点监管清单，强化危险废物全过程监管。健全危险废物收运体系，开展废铅蓄电池收集贮存转运试点，加强小微企业和工业园区等危险废物收集转运能力。开展危险废物规范化环境管理评估，提升危险废物环境监管能力和信息化监管水平，依法严厉打击危险废物环境违法犯罪行为。”</w:t>
            </w:r>
          </w:p>
          <w:p w14:paraId="3283736C">
            <w:pPr>
              <w:pStyle w:val="77"/>
              <w:rPr>
                <w:rFonts w:hint="eastAsia"/>
                <w:color w:val="auto"/>
              </w:rPr>
            </w:pPr>
            <w:r>
              <w:rPr>
                <w:rFonts w:hint="eastAsia"/>
                <w:color w:val="auto"/>
              </w:rPr>
              <w:t>本项目无生产用热，办公室冬季采用电取暖，不新建锅炉，不使用煤炭。</w:t>
            </w:r>
            <w:r>
              <w:rPr>
                <w:rFonts w:hint="eastAsia"/>
                <w:color w:val="auto"/>
                <w:lang w:val="en-US" w:eastAsia="zh-CN"/>
              </w:rPr>
              <w:t>油液抽取</w:t>
            </w:r>
            <w:r>
              <w:rPr>
                <w:rFonts w:hint="eastAsia"/>
                <w:color w:val="auto"/>
              </w:rPr>
              <w:t>工段设置1套集气罩+活性炭吸附装置，收集率80%，除尘效率60%，</w:t>
            </w:r>
            <w:r>
              <w:rPr>
                <w:rFonts w:hint="eastAsia"/>
                <w:color w:val="auto"/>
                <w:lang w:val="en-US" w:eastAsia="zh-CN"/>
              </w:rPr>
              <w:t>经过处理后的</w:t>
            </w:r>
            <w:r>
              <w:rPr>
                <w:color w:val="auto"/>
              </w:rPr>
              <w:t>非甲烷总烃以无组织形式排出室外。</w:t>
            </w:r>
            <w:r>
              <w:rPr>
                <w:rFonts w:hint="eastAsia"/>
                <w:color w:val="auto"/>
                <w:lang w:val="en-US" w:eastAsia="zh-CN"/>
              </w:rPr>
              <w:t>切割工段粉尘在</w:t>
            </w:r>
            <w:r>
              <w:rPr>
                <w:color w:val="auto"/>
              </w:rPr>
              <w:t>切割工位设置</w:t>
            </w:r>
            <w:r>
              <w:rPr>
                <w:rFonts w:hint="eastAsia"/>
                <w:color w:val="auto"/>
                <w:lang w:eastAsia="zh-CN"/>
              </w:rPr>
              <w:t>移动式布袋除尘器</w:t>
            </w:r>
            <w:r>
              <w:rPr>
                <w:color w:val="auto"/>
              </w:rPr>
              <w:t>，除尘效率按99%计</w:t>
            </w:r>
            <w:r>
              <w:rPr>
                <w:rFonts w:hint="eastAsia"/>
                <w:color w:val="auto"/>
                <w:lang w:val="en-US" w:eastAsia="zh-CN"/>
              </w:rPr>
              <w:t>，</w:t>
            </w:r>
            <w:r>
              <w:rPr>
                <w:rFonts w:hint="eastAsia"/>
                <w:color w:val="auto"/>
              </w:rPr>
              <w:t>危险废物采用密闭容器包装，</w:t>
            </w:r>
            <w:r>
              <w:rPr>
                <w:rFonts w:hint="eastAsia"/>
                <w:color w:val="auto"/>
                <w:lang w:val="en-US" w:eastAsia="zh-CN"/>
              </w:rPr>
              <w:t>设置通过活性炭吸附（吸附效率90%）处理后由1根15m高排气筒P1排放</w:t>
            </w:r>
            <w:r>
              <w:rPr>
                <w:rFonts w:hint="eastAsia"/>
                <w:color w:val="auto"/>
                <w:lang w:eastAsia="zh-CN"/>
              </w:rPr>
              <w:t>。</w:t>
            </w:r>
            <w:r>
              <w:rPr>
                <w:rFonts w:hint="eastAsia"/>
                <w:color w:val="auto"/>
                <w:lang w:val="en-US" w:eastAsia="zh-CN"/>
              </w:rPr>
              <w:t>本项目产生的危险废物按照相关标准规范贮存和委托处置。</w:t>
            </w:r>
            <w:r>
              <w:rPr>
                <w:rFonts w:hint="eastAsia"/>
                <w:color w:val="auto"/>
              </w:rPr>
              <w:t>因此，本项目符合《黑龙江省“十四五”生态环境保护规划》规划要求。</w:t>
            </w:r>
          </w:p>
          <w:p w14:paraId="17390DD5">
            <w:pPr>
              <w:pStyle w:val="77"/>
              <w:rPr>
                <w:rFonts w:hint="eastAsia" w:eastAsia="宋体"/>
                <w:color w:val="auto"/>
                <w:lang w:val="en-US" w:eastAsia="zh-CN"/>
              </w:rPr>
            </w:pPr>
          </w:p>
        </w:tc>
      </w:tr>
    </w:tbl>
    <w:p w14:paraId="0DDED53E">
      <w:pPr>
        <w:spacing w:line="360" w:lineRule="auto"/>
        <w:outlineLvl w:val="0"/>
        <w:rPr>
          <w:color w:val="auto"/>
          <w:sz w:val="30"/>
        </w:rPr>
        <w:sectPr>
          <w:footerReference r:id="rId6" w:type="default"/>
          <w:pgSz w:w="11906" w:h="16838"/>
          <w:pgMar w:top="1440" w:right="1800" w:bottom="1440" w:left="1800" w:header="851" w:footer="1077" w:gutter="0"/>
          <w:pgBorders>
            <w:top w:val="none" w:sz="0" w:space="0"/>
            <w:left w:val="none" w:sz="0" w:space="0"/>
            <w:bottom w:val="none" w:sz="0" w:space="0"/>
            <w:right w:val="none" w:sz="0" w:space="0"/>
          </w:pgBorders>
          <w:pgNumType w:start="1"/>
          <w:cols w:space="720" w:num="1"/>
          <w:docGrid w:linePitch="312" w:charSpace="0"/>
        </w:sectPr>
      </w:pPr>
    </w:p>
    <w:p w14:paraId="7EA7903A">
      <w:pPr>
        <w:pStyle w:val="17"/>
        <w:adjustRightInd w:val="0"/>
        <w:snapToGrid w:val="0"/>
        <w:spacing w:before="0" w:beforeAutospacing="0" w:after="0" w:afterAutospacing="0"/>
        <w:outlineLvl w:val="0"/>
        <w:rPr>
          <w:rFonts w:ascii="Times New Roman" w:hAnsi="Times New Roman"/>
          <w:b/>
          <w:bCs/>
          <w:snapToGrid w:val="0"/>
          <w:color w:val="auto"/>
          <w:sz w:val="30"/>
          <w:szCs w:val="30"/>
        </w:rPr>
      </w:pPr>
      <w:bookmarkStart w:id="4" w:name="_Toc23809"/>
      <w:r>
        <w:rPr>
          <w:rFonts w:ascii="Times New Roman" w:hAnsi="Times New Roman"/>
          <w:b/>
          <w:bCs/>
          <w:snapToGrid w:val="0"/>
          <w:color w:val="auto"/>
          <w:sz w:val="30"/>
          <w:szCs w:val="30"/>
        </w:rPr>
        <w:t>二、建设项目工程分析</w:t>
      </w:r>
      <w:bookmarkEnd w:id="4"/>
    </w:p>
    <w:tbl>
      <w:tblPr>
        <w:tblStyle w:val="19"/>
        <w:tblW w:w="886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79"/>
        <w:gridCol w:w="8389"/>
      </w:tblGrid>
      <w:tr w14:paraId="32FDB1E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448" w:type="dxa"/>
            <w:vAlign w:val="center"/>
          </w:tcPr>
          <w:p w14:paraId="4600C3BE">
            <w:pPr>
              <w:jc w:val="center"/>
              <w:rPr>
                <w:b/>
                <w:bCs/>
                <w:color w:val="auto"/>
                <w:sz w:val="24"/>
              </w:rPr>
            </w:pPr>
            <w:r>
              <w:rPr>
                <w:b/>
                <w:bCs/>
                <w:color w:val="auto"/>
                <w:sz w:val="24"/>
              </w:rPr>
              <w:t>建</w:t>
            </w:r>
          </w:p>
          <w:p w14:paraId="5C8319DF">
            <w:pPr>
              <w:jc w:val="center"/>
              <w:rPr>
                <w:b/>
                <w:bCs/>
                <w:color w:val="auto"/>
                <w:sz w:val="24"/>
              </w:rPr>
            </w:pPr>
            <w:r>
              <w:rPr>
                <w:b/>
                <w:bCs/>
                <w:color w:val="auto"/>
                <w:sz w:val="24"/>
              </w:rPr>
              <w:t>设</w:t>
            </w:r>
          </w:p>
          <w:p w14:paraId="3D8F97CC">
            <w:pPr>
              <w:jc w:val="center"/>
              <w:rPr>
                <w:b/>
                <w:bCs/>
                <w:color w:val="auto"/>
                <w:sz w:val="24"/>
              </w:rPr>
            </w:pPr>
            <w:r>
              <w:rPr>
                <w:b/>
                <w:bCs/>
                <w:color w:val="auto"/>
                <w:sz w:val="24"/>
              </w:rPr>
              <w:t>内</w:t>
            </w:r>
          </w:p>
          <w:p w14:paraId="78FA546E">
            <w:pPr>
              <w:jc w:val="center"/>
              <w:rPr>
                <w:color w:val="auto"/>
                <w:sz w:val="24"/>
              </w:rPr>
            </w:pPr>
            <w:r>
              <w:rPr>
                <w:b/>
                <w:bCs/>
                <w:color w:val="auto"/>
                <w:sz w:val="24"/>
              </w:rPr>
              <w:t>容</w:t>
            </w:r>
          </w:p>
        </w:tc>
        <w:tc>
          <w:tcPr>
            <w:tcW w:w="8004" w:type="dxa"/>
          </w:tcPr>
          <w:p w14:paraId="30E99890">
            <w:pPr>
              <w:pStyle w:val="84"/>
              <w:rPr>
                <w:color w:val="auto"/>
              </w:rPr>
            </w:pPr>
            <w:r>
              <w:rPr>
                <w:color w:val="auto"/>
              </w:rPr>
              <w:t>一、建设项目概况</w:t>
            </w:r>
          </w:p>
          <w:p w14:paraId="4CE3E289">
            <w:pPr>
              <w:pStyle w:val="84"/>
              <w:rPr>
                <w:color w:val="auto"/>
              </w:rPr>
            </w:pPr>
            <w:r>
              <w:rPr>
                <w:color w:val="auto"/>
              </w:rPr>
              <w:t>（一）建设规模</w:t>
            </w:r>
          </w:p>
          <w:p w14:paraId="52225FEA">
            <w:pPr>
              <w:pStyle w:val="77"/>
              <w:rPr>
                <w:color w:val="auto"/>
              </w:rPr>
            </w:pPr>
            <w:r>
              <w:rPr>
                <w:color w:val="auto"/>
              </w:rPr>
              <w:t>本项目利用租赁的场地及现有厂房进行建设，</w:t>
            </w:r>
            <w:r>
              <w:rPr>
                <w:rFonts w:hint="eastAsia"/>
                <w:color w:val="auto"/>
                <w:lang w:val="en-US" w:eastAsia="zh-CN"/>
              </w:rPr>
              <w:t>将厂区现有的敞开式建筑进行全封闭作为拆解车间。</w:t>
            </w:r>
            <w:r>
              <w:rPr>
                <w:color w:val="auto"/>
              </w:rPr>
              <w:t>新建一条年拆解</w:t>
            </w:r>
            <w:r>
              <w:rPr>
                <w:rFonts w:hint="eastAsia"/>
                <w:color w:val="auto"/>
                <w:lang w:val="en-US" w:eastAsia="zh-CN"/>
              </w:rPr>
              <w:t>10</w:t>
            </w:r>
            <w:r>
              <w:rPr>
                <w:color w:val="auto"/>
              </w:rPr>
              <w:t>00</w:t>
            </w:r>
            <w:r>
              <w:rPr>
                <w:rFonts w:hint="eastAsia"/>
                <w:color w:val="auto"/>
                <w:lang w:val="en-US" w:eastAsia="zh-CN"/>
              </w:rPr>
              <w:t>0</w:t>
            </w:r>
            <w:r>
              <w:rPr>
                <w:color w:val="auto"/>
              </w:rPr>
              <w:t>辆报废农业机械生产线。本项目总占地面积为</w:t>
            </w:r>
            <w:r>
              <w:rPr>
                <w:rFonts w:hint="eastAsia"/>
                <w:color w:val="auto"/>
                <w:lang w:val="en-US" w:eastAsia="zh-CN"/>
              </w:rPr>
              <w:t>4392.34</w:t>
            </w:r>
            <w:r>
              <w:rPr>
                <w:color w:val="auto"/>
              </w:rPr>
              <w:t>m</w:t>
            </w:r>
            <w:r>
              <w:rPr>
                <w:color w:val="auto"/>
                <w:vertAlign w:val="superscript"/>
              </w:rPr>
              <w:t>2</w:t>
            </w:r>
            <w:r>
              <w:rPr>
                <w:color w:val="auto"/>
              </w:rPr>
              <w:t>，总建筑面积为</w:t>
            </w:r>
            <w:r>
              <w:rPr>
                <w:rFonts w:hint="eastAsia"/>
                <w:color w:val="auto"/>
                <w:lang w:val="en-US" w:eastAsia="zh-CN"/>
              </w:rPr>
              <w:t>970</w:t>
            </w:r>
            <w:r>
              <w:rPr>
                <w:color w:val="auto"/>
              </w:rPr>
              <w:t>m</w:t>
            </w:r>
            <w:r>
              <w:rPr>
                <w:color w:val="auto"/>
                <w:vertAlign w:val="superscript"/>
              </w:rPr>
              <w:t>2</w:t>
            </w:r>
            <w:r>
              <w:rPr>
                <w:color w:val="auto"/>
              </w:rPr>
              <w:t>。厂区构筑物一览表见下表。</w:t>
            </w:r>
          </w:p>
          <w:p w14:paraId="13E058AB">
            <w:pPr>
              <w:pStyle w:val="78"/>
              <w:rPr>
                <w:color w:val="auto"/>
                <w:kern w:val="0"/>
                <w:szCs w:val="20"/>
              </w:rPr>
            </w:pPr>
            <w:r>
              <w:rPr>
                <w:color w:val="auto"/>
              </w:rPr>
              <w:t>表2-1 厂区构筑物一览表</w:t>
            </w:r>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721"/>
              <w:gridCol w:w="3049"/>
              <w:gridCol w:w="2403"/>
            </w:tblGrid>
            <w:tr w14:paraId="5CE936B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4" w:type="pct"/>
                  <w:vAlign w:val="center"/>
                </w:tcPr>
                <w:p w14:paraId="4A07F1E2">
                  <w:pPr>
                    <w:adjustRightInd w:val="0"/>
                    <w:snapToGrid w:val="0"/>
                    <w:jc w:val="center"/>
                    <w:rPr>
                      <w:snapToGrid w:val="0"/>
                      <w:color w:val="auto"/>
                    </w:rPr>
                  </w:pPr>
                  <w:bookmarkStart w:id="5" w:name="_Hlk522001270"/>
                  <w:r>
                    <w:rPr>
                      <w:snapToGrid w:val="0"/>
                      <w:color w:val="auto"/>
                    </w:rPr>
                    <w:t>建构筑物名称</w:t>
                  </w:r>
                </w:p>
              </w:tc>
              <w:tc>
                <w:tcPr>
                  <w:tcW w:w="1865" w:type="pct"/>
                  <w:vAlign w:val="center"/>
                </w:tcPr>
                <w:p w14:paraId="1A551780">
                  <w:pPr>
                    <w:adjustRightInd w:val="0"/>
                    <w:snapToGrid w:val="0"/>
                    <w:jc w:val="center"/>
                    <w:rPr>
                      <w:snapToGrid w:val="0"/>
                      <w:color w:val="auto"/>
                    </w:rPr>
                  </w:pPr>
                  <w:r>
                    <w:rPr>
                      <w:snapToGrid w:val="0"/>
                      <w:color w:val="auto"/>
                    </w:rPr>
                    <w:t>建筑面积（m</w:t>
                  </w:r>
                  <w:r>
                    <w:rPr>
                      <w:snapToGrid w:val="0"/>
                      <w:color w:val="auto"/>
                      <w:vertAlign w:val="superscript"/>
                    </w:rPr>
                    <w:t>2</w:t>
                  </w:r>
                  <w:r>
                    <w:rPr>
                      <w:snapToGrid w:val="0"/>
                      <w:color w:val="auto"/>
                    </w:rPr>
                    <w:t>）</w:t>
                  </w:r>
                </w:p>
              </w:tc>
              <w:tc>
                <w:tcPr>
                  <w:tcW w:w="1470" w:type="pct"/>
                  <w:vAlign w:val="center"/>
                </w:tcPr>
                <w:p w14:paraId="490F5CD5">
                  <w:pPr>
                    <w:adjustRightInd w:val="0"/>
                    <w:snapToGrid w:val="0"/>
                    <w:jc w:val="center"/>
                    <w:rPr>
                      <w:snapToGrid w:val="0"/>
                      <w:color w:val="auto"/>
                    </w:rPr>
                  </w:pPr>
                  <w:r>
                    <w:rPr>
                      <w:snapToGrid w:val="0"/>
                      <w:color w:val="auto"/>
                    </w:rPr>
                    <w:t>备注</w:t>
                  </w:r>
                </w:p>
              </w:tc>
            </w:tr>
            <w:tr w14:paraId="31FBDB5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 w:hRule="atLeast"/>
              </w:trPr>
              <w:tc>
                <w:tcPr>
                  <w:tcW w:w="1664" w:type="pct"/>
                  <w:vAlign w:val="center"/>
                </w:tcPr>
                <w:p w14:paraId="13899E3D">
                  <w:pPr>
                    <w:adjustRightInd w:val="0"/>
                    <w:snapToGrid w:val="0"/>
                    <w:jc w:val="center"/>
                    <w:rPr>
                      <w:snapToGrid w:val="0"/>
                      <w:color w:val="auto"/>
                    </w:rPr>
                  </w:pPr>
                  <w:r>
                    <w:rPr>
                      <w:snapToGrid w:val="0"/>
                      <w:color w:val="auto"/>
                    </w:rPr>
                    <w:t>拆解车间</w:t>
                  </w:r>
                </w:p>
              </w:tc>
              <w:tc>
                <w:tcPr>
                  <w:tcW w:w="1865" w:type="pct"/>
                  <w:vAlign w:val="center"/>
                </w:tcPr>
                <w:p w14:paraId="546A5F5C">
                  <w:pPr>
                    <w:adjustRightInd w:val="0"/>
                    <w:snapToGrid w:val="0"/>
                    <w:jc w:val="center"/>
                    <w:rPr>
                      <w:rFonts w:hint="default" w:eastAsia="宋体"/>
                      <w:snapToGrid w:val="0"/>
                      <w:color w:val="auto"/>
                      <w:lang w:val="en-US" w:eastAsia="zh-CN"/>
                    </w:rPr>
                  </w:pPr>
                  <w:r>
                    <w:rPr>
                      <w:rFonts w:hint="eastAsia"/>
                      <w:snapToGrid w:val="0"/>
                      <w:color w:val="auto"/>
                      <w:lang w:val="en-US" w:eastAsia="zh-CN"/>
                    </w:rPr>
                    <w:t>790</w:t>
                  </w:r>
                </w:p>
              </w:tc>
              <w:tc>
                <w:tcPr>
                  <w:tcW w:w="1470" w:type="pct"/>
                  <w:vAlign w:val="center"/>
                </w:tcPr>
                <w:p w14:paraId="12D2C944">
                  <w:pPr>
                    <w:adjustRightInd w:val="0"/>
                    <w:snapToGrid w:val="0"/>
                    <w:jc w:val="center"/>
                    <w:rPr>
                      <w:b/>
                      <w:bCs/>
                      <w:snapToGrid w:val="0"/>
                      <w:color w:val="auto"/>
                    </w:rPr>
                  </w:pPr>
                  <w:r>
                    <w:rPr>
                      <w:snapToGrid w:val="0"/>
                      <w:color w:val="auto"/>
                    </w:rPr>
                    <w:t>1F，依托现有厂房</w:t>
                  </w:r>
                </w:p>
              </w:tc>
            </w:tr>
            <w:tr w14:paraId="0F2377D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4" w:type="pct"/>
                  <w:vAlign w:val="center"/>
                </w:tcPr>
                <w:p w14:paraId="1D86D6B1">
                  <w:pPr>
                    <w:adjustRightInd w:val="0"/>
                    <w:snapToGrid w:val="0"/>
                    <w:jc w:val="center"/>
                    <w:rPr>
                      <w:snapToGrid w:val="0"/>
                      <w:color w:val="auto"/>
                    </w:rPr>
                  </w:pPr>
                  <w:r>
                    <w:rPr>
                      <w:snapToGrid w:val="0"/>
                      <w:color w:val="auto"/>
                    </w:rPr>
                    <w:t>待拆车辆贮存场地</w:t>
                  </w:r>
                </w:p>
              </w:tc>
              <w:tc>
                <w:tcPr>
                  <w:tcW w:w="1865" w:type="pct"/>
                  <w:vAlign w:val="center"/>
                </w:tcPr>
                <w:p w14:paraId="7FCF34BC">
                  <w:pPr>
                    <w:adjustRightInd w:val="0"/>
                    <w:snapToGrid w:val="0"/>
                    <w:jc w:val="center"/>
                    <w:rPr>
                      <w:rFonts w:hint="default" w:eastAsia="宋体"/>
                      <w:snapToGrid w:val="0"/>
                      <w:color w:val="auto"/>
                      <w:lang w:val="en-US" w:eastAsia="zh-CN"/>
                    </w:rPr>
                  </w:pPr>
                  <w:r>
                    <w:rPr>
                      <w:rFonts w:hint="eastAsia"/>
                      <w:snapToGrid w:val="0"/>
                      <w:color w:val="auto"/>
                      <w:lang w:val="en-US" w:eastAsia="zh-CN"/>
                    </w:rPr>
                    <w:t>3422.34（占地面积）</w:t>
                  </w:r>
                </w:p>
              </w:tc>
              <w:tc>
                <w:tcPr>
                  <w:tcW w:w="1470" w:type="pct"/>
                </w:tcPr>
                <w:p w14:paraId="454EC741">
                  <w:pPr>
                    <w:jc w:val="center"/>
                    <w:rPr>
                      <w:snapToGrid w:val="0"/>
                      <w:color w:val="auto"/>
                    </w:rPr>
                  </w:pPr>
                  <w:r>
                    <w:rPr>
                      <w:rFonts w:hint="eastAsia"/>
                      <w:snapToGrid w:val="0"/>
                      <w:color w:val="auto"/>
                    </w:rPr>
                    <w:t>露天存放，地面防渗</w:t>
                  </w:r>
                </w:p>
              </w:tc>
            </w:tr>
            <w:tr w14:paraId="4BCA89F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4" w:type="pct"/>
                  <w:vAlign w:val="center"/>
                </w:tcPr>
                <w:p w14:paraId="06231A1B">
                  <w:pPr>
                    <w:adjustRightInd w:val="0"/>
                    <w:snapToGrid w:val="0"/>
                    <w:jc w:val="center"/>
                    <w:rPr>
                      <w:snapToGrid w:val="0"/>
                      <w:color w:val="auto"/>
                    </w:rPr>
                  </w:pPr>
                  <w:r>
                    <w:rPr>
                      <w:rFonts w:hint="eastAsia"/>
                      <w:snapToGrid w:val="0"/>
                      <w:color w:val="auto"/>
                    </w:rPr>
                    <w:t>农机拆除成品半成品及零件贮存库</w:t>
                  </w:r>
                </w:p>
              </w:tc>
              <w:tc>
                <w:tcPr>
                  <w:tcW w:w="1865" w:type="pct"/>
                  <w:vAlign w:val="center"/>
                </w:tcPr>
                <w:p w14:paraId="2CE9F4E7">
                  <w:pPr>
                    <w:adjustRightInd w:val="0"/>
                    <w:snapToGrid w:val="0"/>
                    <w:jc w:val="center"/>
                    <w:rPr>
                      <w:rFonts w:hint="default"/>
                      <w:snapToGrid w:val="0"/>
                      <w:color w:val="auto"/>
                      <w:lang w:val="en-US"/>
                    </w:rPr>
                  </w:pPr>
                  <w:r>
                    <w:rPr>
                      <w:rFonts w:hint="eastAsia"/>
                      <w:snapToGrid w:val="0"/>
                      <w:color w:val="auto"/>
                      <w:lang w:val="en-US" w:eastAsia="zh-CN"/>
                    </w:rPr>
                    <w:t>130</w:t>
                  </w:r>
                </w:p>
              </w:tc>
              <w:tc>
                <w:tcPr>
                  <w:tcW w:w="1470" w:type="pct"/>
                  <w:vAlign w:val="center"/>
                </w:tcPr>
                <w:p w14:paraId="2234AE0C">
                  <w:pPr>
                    <w:jc w:val="center"/>
                    <w:rPr>
                      <w:snapToGrid w:val="0"/>
                      <w:color w:val="auto"/>
                    </w:rPr>
                  </w:pPr>
                  <w:r>
                    <w:rPr>
                      <w:snapToGrid w:val="0"/>
                      <w:color w:val="auto"/>
                    </w:rPr>
                    <w:t>1F，依托现有厂房</w:t>
                  </w:r>
                </w:p>
              </w:tc>
            </w:tr>
            <w:tr w14:paraId="2C9E944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4" w:type="pct"/>
                  <w:vAlign w:val="center"/>
                </w:tcPr>
                <w:p w14:paraId="0BE22781">
                  <w:pPr>
                    <w:adjustRightInd w:val="0"/>
                    <w:snapToGrid w:val="0"/>
                    <w:jc w:val="center"/>
                    <w:rPr>
                      <w:rFonts w:hint="eastAsia" w:ascii="Times New Roman" w:hAnsi="Times New Roman" w:eastAsia="宋体" w:cs="Times New Roman"/>
                      <w:snapToGrid w:val="0"/>
                      <w:color w:val="auto"/>
                      <w:kern w:val="2"/>
                      <w:sz w:val="21"/>
                      <w:szCs w:val="24"/>
                      <w:lang w:val="en-US" w:eastAsia="zh-CN" w:bidi="ar-SA"/>
                    </w:rPr>
                  </w:pPr>
                  <w:r>
                    <w:rPr>
                      <w:rFonts w:hint="eastAsia"/>
                      <w:snapToGrid w:val="0"/>
                      <w:color w:val="auto"/>
                      <w:lang w:eastAsia="zh-CN"/>
                    </w:rPr>
                    <w:t>危险废物贮存库</w:t>
                  </w:r>
                </w:p>
              </w:tc>
              <w:tc>
                <w:tcPr>
                  <w:tcW w:w="1865" w:type="pct"/>
                  <w:vAlign w:val="center"/>
                </w:tcPr>
                <w:p w14:paraId="672BDB2D">
                  <w:pPr>
                    <w:adjustRightInd w:val="0"/>
                    <w:snapToGrid w:val="0"/>
                    <w:jc w:val="center"/>
                    <w:rPr>
                      <w:rFonts w:hint="eastAsia" w:ascii="Times New Roman" w:hAnsi="Times New Roman" w:eastAsia="宋体" w:cs="Times New Roman"/>
                      <w:snapToGrid w:val="0"/>
                      <w:color w:val="auto"/>
                      <w:kern w:val="2"/>
                      <w:sz w:val="21"/>
                      <w:szCs w:val="24"/>
                      <w:lang w:val="en-US" w:eastAsia="zh-CN" w:bidi="ar-SA"/>
                    </w:rPr>
                  </w:pPr>
                  <w:r>
                    <w:rPr>
                      <w:rFonts w:hint="eastAsia" w:cs="Times New Roman"/>
                      <w:snapToGrid w:val="0"/>
                      <w:color w:val="auto"/>
                      <w:kern w:val="2"/>
                      <w:sz w:val="21"/>
                      <w:szCs w:val="24"/>
                      <w:lang w:val="en-US" w:eastAsia="zh-CN" w:bidi="ar-SA"/>
                    </w:rPr>
                    <w:t>5</w:t>
                  </w:r>
                  <w:r>
                    <w:rPr>
                      <w:rFonts w:hint="eastAsia" w:ascii="Times New Roman" w:hAnsi="Times New Roman" w:eastAsia="宋体" w:cs="Times New Roman"/>
                      <w:snapToGrid w:val="0"/>
                      <w:color w:val="auto"/>
                      <w:kern w:val="2"/>
                      <w:sz w:val="21"/>
                      <w:szCs w:val="24"/>
                      <w:lang w:val="en-US" w:eastAsia="zh-CN" w:bidi="ar-SA"/>
                    </w:rPr>
                    <w:t>0</w:t>
                  </w:r>
                </w:p>
              </w:tc>
              <w:tc>
                <w:tcPr>
                  <w:tcW w:w="1470" w:type="pct"/>
                  <w:vAlign w:val="top"/>
                </w:tcPr>
                <w:p w14:paraId="74E279AD">
                  <w:pPr>
                    <w:jc w:val="center"/>
                    <w:rPr>
                      <w:rFonts w:ascii="Times New Roman" w:hAnsi="Times New Roman" w:eastAsia="宋体" w:cs="Times New Roman"/>
                      <w:snapToGrid w:val="0"/>
                      <w:color w:val="auto"/>
                      <w:kern w:val="2"/>
                      <w:sz w:val="21"/>
                      <w:szCs w:val="24"/>
                      <w:lang w:val="en-US" w:eastAsia="zh-CN" w:bidi="ar-SA"/>
                    </w:rPr>
                  </w:pPr>
                  <w:r>
                    <w:rPr>
                      <w:snapToGrid w:val="0"/>
                      <w:color w:val="auto"/>
                    </w:rPr>
                    <w:t>1F，依托现有厂房</w:t>
                  </w:r>
                </w:p>
              </w:tc>
            </w:tr>
            <w:tr w14:paraId="0D81B1B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664" w:type="pct"/>
                  <w:vAlign w:val="center"/>
                </w:tcPr>
                <w:p w14:paraId="0554B80F">
                  <w:pPr>
                    <w:adjustRightInd w:val="0"/>
                    <w:snapToGrid w:val="0"/>
                    <w:jc w:val="center"/>
                    <w:rPr>
                      <w:snapToGrid w:val="0"/>
                      <w:color w:val="auto"/>
                    </w:rPr>
                  </w:pPr>
                  <w:r>
                    <w:rPr>
                      <w:snapToGrid w:val="0"/>
                      <w:color w:val="auto"/>
                    </w:rPr>
                    <w:t>合计</w:t>
                  </w:r>
                </w:p>
              </w:tc>
              <w:tc>
                <w:tcPr>
                  <w:tcW w:w="1865" w:type="pct"/>
                  <w:vAlign w:val="center"/>
                </w:tcPr>
                <w:p w14:paraId="0B133488">
                  <w:pPr>
                    <w:adjustRightInd w:val="0"/>
                    <w:snapToGrid w:val="0"/>
                    <w:jc w:val="center"/>
                    <w:rPr>
                      <w:rFonts w:hint="default" w:eastAsia="宋体"/>
                      <w:snapToGrid w:val="0"/>
                      <w:color w:val="auto"/>
                      <w:sz w:val="19"/>
                      <w:szCs w:val="22"/>
                      <w:lang w:val="en-US" w:eastAsia="zh-CN"/>
                    </w:rPr>
                  </w:pPr>
                  <w:r>
                    <w:rPr>
                      <w:rFonts w:hint="eastAsia"/>
                      <w:snapToGrid w:val="0"/>
                      <w:color w:val="auto"/>
                      <w:lang w:val="en-US" w:eastAsia="zh-CN"/>
                    </w:rPr>
                    <w:t>4392.34</w:t>
                  </w:r>
                </w:p>
              </w:tc>
              <w:tc>
                <w:tcPr>
                  <w:tcW w:w="1470" w:type="pct"/>
                  <w:vAlign w:val="center"/>
                </w:tcPr>
                <w:p w14:paraId="57619E88">
                  <w:pPr>
                    <w:adjustRightInd w:val="0"/>
                    <w:snapToGrid w:val="0"/>
                    <w:jc w:val="center"/>
                    <w:rPr>
                      <w:snapToGrid w:val="0"/>
                      <w:color w:val="auto"/>
                    </w:rPr>
                  </w:pPr>
                  <w:r>
                    <w:rPr>
                      <w:snapToGrid w:val="0"/>
                      <w:color w:val="auto"/>
                    </w:rPr>
                    <w:t>/</w:t>
                  </w:r>
                </w:p>
              </w:tc>
            </w:tr>
            <w:bookmarkEnd w:id="5"/>
          </w:tbl>
          <w:p w14:paraId="1848AADB">
            <w:pPr>
              <w:pStyle w:val="84"/>
              <w:rPr>
                <w:color w:val="auto"/>
              </w:rPr>
            </w:pPr>
            <w:r>
              <w:rPr>
                <w:color w:val="auto"/>
              </w:rPr>
              <w:t>（二）建设内容</w:t>
            </w:r>
          </w:p>
          <w:p w14:paraId="3945FF4B">
            <w:pPr>
              <w:pStyle w:val="77"/>
              <w:rPr>
                <w:color w:val="auto"/>
              </w:rPr>
            </w:pPr>
            <w:r>
              <w:rPr>
                <w:color w:val="auto"/>
              </w:rPr>
              <w:t>本项目主要包括主体工程、辅助工程、储运工程、公用工程、环保工程和依托工程。本项目建设内容只设拆解过程，不设置破碎过程，也无零件清洗及精细、翻新等步骤。</w:t>
            </w:r>
            <w:r>
              <w:rPr>
                <w:color w:val="FF0000"/>
              </w:rPr>
              <w:t>本项目</w:t>
            </w:r>
            <w:r>
              <w:rPr>
                <w:rFonts w:hint="eastAsia"/>
                <w:color w:val="FF0000"/>
                <w:lang w:val="en-US" w:eastAsia="zh-CN"/>
              </w:rPr>
              <w:t>不拆解电动农机</w:t>
            </w:r>
            <w:r>
              <w:rPr>
                <w:rFonts w:hint="eastAsia"/>
                <w:color w:val="auto"/>
                <w:lang w:val="en-US" w:eastAsia="zh-CN"/>
              </w:rPr>
              <w:t>。</w:t>
            </w:r>
            <w:r>
              <w:rPr>
                <w:bCs/>
                <w:color w:val="auto"/>
              </w:rPr>
              <w:t>建设项目组成一览表见下表。</w:t>
            </w:r>
          </w:p>
          <w:p w14:paraId="60554A07">
            <w:pPr>
              <w:pStyle w:val="78"/>
              <w:rPr>
                <w:color w:val="auto"/>
              </w:rPr>
            </w:pPr>
            <w:r>
              <w:rPr>
                <w:color w:val="auto"/>
              </w:rPr>
              <w:t>表2-2 项目组成一览表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7"/>
              <w:gridCol w:w="958"/>
              <w:gridCol w:w="5583"/>
              <w:gridCol w:w="965"/>
            </w:tblGrid>
            <w:tr w14:paraId="6EBCD0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994" w:type="pct"/>
                  <w:gridSpan w:val="2"/>
                  <w:vAlign w:val="center"/>
                </w:tcPr>
                <w:p w14:paraId="420C706E">
                  <w:pPr>
                    <w:pStyle w:val="51"/>
                    <w:rPr>
                      <w:color w:val="auto"/>
                      <w:szCs w:val="21"/>
                    </w:rPr>
                  </w:pPr>
                  <w:r>
                    <w:rPr>
                      <w:color w:val="auto"/>
                      <w:szCs w:val="21"/>
                    </w:rPr>
                    <w:t>项目类别</w:t>
                  </w:r>
                </w:p>
              </w:tc>
              <w:tc>
                <w:tcPr>
                  <w:tcW w:w="3414" w:type="pct"/>
                  <w:vAlign w:val="center"/>
                </w:tcPr>
                <w:p w14:paraId="7418F16E">
                  <w:pPr>
                    <w:pStyle w:val="51"/>
                    <w:rPr>
                      <w:color w:val="auto"/>
                      <w:szCs w:val="21"/>
                    </w:rPr>
                  </w:pPr>
                  <w:r>
                    <w:rPr>
                      <w:color w:val="auto"/>
                      <w:szCs w:val="21"/>
                    </w:rPr>
                    <w:t>建设内容</w:t>
                  </w:r>
                </w:p>
              </w:tc>
              <w:tc>
                <w:tcPr>
                  <w:tcW w:w="590" w:type="pct"/>
                  <w:vAlign w:val="center"/>
                </w:tcPr>
                <w:p w14:paraId="6489109D">
                  <w:pPr>
                    <w:pStyle w:val="51"/>
                    <w:rPr>
                      <w:color w:val="auto"/>
                      <w:szCs w:val="21"/>
                    </w:rPr>
                  </w:pPr>
                  <w:r>
                    <w:rPr>
                      <w:color w:val="auto"/>
                      <w:szCs w:val="21"/>
                    </w:rPr>
                    <w:t>备注</w:t>
                  </w:r>
                </w:p>
              </w:tc>
            </w:tr>
            <w:tr w14:paraId="17CA6E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408" w:type="pct"/>
                  <w:vAlign w:val="center"/>
                </w:tcPr>
                <w:p w14:paraId="23600A44">
                  <w:pPr>
                    <w:pStyle w:val="51"/>
                    <w:rPr>
                      <w:color w:val="auto"/>
                      <w:szCs w:val="21"/>
                    </w:rPr>
                  </w:pPr>
                  <w:r>
                    <w:rPr>
                      <w:color w:val="auto"/>
                      <w:szCs w:val="21"/>
                    </w:rPr>
                    <w:t>主体工程</w:t>
                  </w:r>
                </w:p>
              </w:tc>
              <w:tc>
                <w:tcPr>
                  <w:tcW w:w="586" w:type="pct"/>
                  <w:vAlign w:val="center"/>
                </w:tcPr>
                <w:p w14:paraId="3079FE9E">
                  <w:pPr>
                    <w:pStyle w:val="51"/>
                    <w:rPr>
                      <w:color w:val="auto"/>
                      <w:szCs w:val="21"/>
                    </w:rPr>
                  </w:pPr>
                  <w:r>
                    <w:rPr>
                      <w:color w:val="auto"/>
                      <w:szCs w:val="21"/>
                    </w:rPr>
                    <w:t>车间</w:t>
                  </w:r>
                </w:p>
              </w:tc>
              <w:tc>
                <w:tcPr>
                  <w:tcW w:w="3414" w:type="pct"/>
                  <w:vAlign w:val="center"/>
                </w:tcPr>
                <w:p w14:paraId="31DE1D01">
                  <w:pPr>
                    <w:pStyle w:val="51"/>
                    <w:jc w:val="both"/>
                    <w:rPr>
                      <w:color w:val="auto"/>
                      <w:szCs w:val="21"/>
                    </w:rPr>
                  </w:pPr>
                  <w:r>
                    <w:rPr>
                      <w:color w:val="auto"/>
                      <w:szCs w:val="21"/>
                    </w:rPr>
                    <w:t>建筑面积为</w:t>
                  </w:r>
                  <w:r>
                    <w:rPr>
                      <w:rFonts w:hint="eastAsia"/>
                      <w:color w:val="auto"/>
                      <w:szCs w:val="21"/>
                      <w:lang w:val="en-US" w:eastAsia="zh-CN"/>
                    </w:rPr>
                    <w:t>840</w:t>
                  </w:r>
                  <w:r>
                    <w:rPr>
                      <w:color w:val="auto"/>
                      <w:szCs w:val="21"/>
                    </w:rPr>
                    <w:t>m</w:t>
                  </w:r>
                  <w:r>
                    <w:rPr>
                      <w:color w:val="auto"/>
                      <w:szCs w:val="21"/>
                      <w:vertAlign w:val="superscript"/>
                    </w:rPr>
                    <w:t>2</w:t>
                  </w:r>
                  <w:r>
                    <w:rPr>
                      <w:color w:val="auto"/>
                      <w:szCs w:val="21"/>
                    </w:rPr>
                    <w:t>，</w:t>
                  </w:r>
                  <w:r>
                    <w:rPr>
                      <w:rFonts w:hint="eastAsia"/>
                      <w:color w:val="FF0000"/>
                      <w:szCs w:val="21"/>
                      <w:lang w:val="en-US" w:eastAsia="zh-CN"/>
                    </w:rPr>
                    <w:t>高度5m</w:t>
                  </w:r>
                  <w:r>
                    <w:rPr>
                      <w:rFonts w:hint="eastAsia"/>
                      <w:color w:val="auto"/>
                      <w:szCs w:val="21"/>
                      <w:lang w:val="en-US" w:eastAsia="zh-CN"/>
                    </w:rPr>
                    <w:t>，</w:t>
                  </w:r>
                  <w:r>
                    <w:rPr>
                      <w:color w:val="auto"/>
                      <w:szCs w:val="21"/>
                    </w:rPr>
                    <w:t>全封闭。</w:t>
                  </w:r>
                  <w:r>
                    <w:rPr>
                      <w:rFonts w:hint="eastAsia"/>
                      <w:color w:val="auto"/>
                      <w:szCs w:val="21"/>
                      <w:lang w:val="en-US" w:eastAsia="zh-CN"/>
                    </w:rPr>
                    <w:t>内设一间790</w:t>
                  </w:r>
                  <w:r>
                    <w:rPr>
                      <w:color w:val="auto"/>
                      <w:szCs w:val="21"/>
                    </w:rPr>
                    <w:t>m</w:t>
                  </w:r>
                  <w:r>
                    <w:rPr>
                      <w:color w:val="auto"/>
                      <w:szCs w:val="21"/>
                      <w:vertAlign w:val="superscript"/>
                    </w:rPr>
                    <w:t>2</w:t>
                  </w:r>
                  <w:r>
                    <w:rPr>
                      <w:rFonts w:hint="eastAsia"/>
                      <w:color w:val="auto"/>
                      <w:szCs w:val="21"/>
                      <w:lang w:val="en-US" w:eastAsia="zh-CN"/>
                    </w:rPr>
                    <w:t>拆解车间和50</w:t>
                  </w:r>
                  <w:r>
                    <w:rPr>
                      <w:color w:val="auto"/>
                      <w:szCs w:val="21"/>
                    </w:rPr>
                    <w:t>m</w:t>
                  </w:r>
                  <w:r>
                    <w:rPr>
                      <w:color w:val="auto"/>
                      <w:szCs w:val="21"/>
                      <w:vertAlign w:val="superscript"/>
                    </w:rPr>
                    <w:t>2</w:t>
                  </w:r>
                  <w:r>
                    <w:rPr>
                      <w:rFonts w:hint="eastAsia"/>
                      <w:color w:val="auto"/>
                      <w:szCs w:val="21"/>
                      <w:lang w:val="en-US" w:eastAsia="zh-CN"/>
                    </w:rPr>
                    <w:t>危废贮存库。拆解车间</w:t>
                  </w:r>
                  <w:r>
                    <w:rPr>
                      <w:color w:val="auto"/>
                      <w:szCs w:val="21"/>
                    </w:rPr>
                    <w:t>新建一条年拆解</w:t>
                  </w:r>
                  <w:r>
                    <w:rPr>
                      <w:rFonts w:hint="eastAsia"/>
                      <w:color w:val="auto"/>
                      <w:szCs w:val="21"/>
                      <w:lang w:val="en-US" w:eastAsia="zh-CN"/>
                    </w:rPr>
                    <w:t>10000辆</w:t>
                  </w:r>
                  <w:r>
                    <w:rPr>
                      <w:color w:val="auto"/>
                      <w:szCs w:val="21"/>
                    </w:rPr>
                    <w:t>报废农业机械生产线。内设置油液油排设备、等离子切割机等设备。</w:t>
                  </w:r>
                </w:p>
              </w:tc>
              <w:tc>
                <w:tcPr>
                  <w:tcW w:w="590" w:type="pct"/>
                  <w:vAlign w:val="center"/>
                </w:tcPr>
                <w:p w14:paraId="45F224B0">
                  <w:pPr>
                    <w:pStyle w:val="51"/>
                    <w:rPr>
                      <w:color w:val="auto"/>
                      <w:szCs w:val="21"/>
                    </w:rPr>
                  </w:pPr>
                  <w:r>
                    <w:rPr>
                      <w:snapToGrid w:val="0"/>
                      <w:color w:val="auto"/>
                    </w:rPr>
                    <w:t>依托现有厂房</w:t>
                  </w:r>
                </w:p>
              </w:tc>
            </w:tr>
            <w:tr w14:paraId="38C220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408" w:type="pct"/>
                  <w:vMerge w:val="restart"/>
                  <w:vAlign w:val="center"/>
                </w:tcPr>
                <w:p w14:paraId="56928577">
                  <w:pPr>
                    <w:pStyle w:val="51"/>
                    <w:rPr>
                      <w:color w:val="auto"/>
                      <w:szCs w:val="21"/>
                    </w:rPr>
                  </w:pPr>
                  <w:r>
                    <w:rPr>
                      <w:color w:val="auto"/>
                      <w:szCs w:val="21"/>
                    </w:rPr>
                    <w:t>储运工程</w:t>
                  </w:r>
                </w:p>
              </w:tc>
              <w:tc>
                <w:tcPr>
                  <w:tcW w:w="586" w:type="pct"/>
                  <w:vAlign w:val="center"/>
                </w:tcPr>
                <w:p w14:paraId="62C603FA">
                  <w:pPr>
                    <w:pStyle w:val="51"/>
                    <w:rPr>
                      <w:color w:val="auto"/>
                      <w:szCs w:val="21"/>
                    </w:rPr>
                  </w:pPr>
                  <w:r>
                    <w:rPr>
                      <w:snapToGrid w:val="0"/>
                      <w:color w:val="auto"/>
                    </w:rPr>
                    <w:t>待拆车辆贮存场地</w:t>
                  </w:r>
                </w:p>
              </w:tc>
              <w:tc>
                <w:tcPr>
                  <w:tcW w:w="3414" w:type="pct"/>
                  <w:vAlign w:val="center"/>
                </w:tcPr>
                <w:p w14:paraId="67D0E53E">
                  <w:pPr>
                    <w:pStyle w:val="51"/>
                    <w:jc w:val="both"/>
                    <w:rPr>
                      <w:color w:val="auto"/>
                      <w:szCs w:val="21"/>
                    </w:rPr>
                  </w:pPr>
                  <w:r>
                    <w:rPr>
                      <w:color w:val="auto"/>
                      <w:szCs w:val="21"/>
                    </w:rPr>
                    <w:t>占地面积为</w:t>
                  </w:r>
                  <w:r>
                    <w:rPr>
                      <w:rFonts w:hint="eastAsia"/>
                      <w:color w:val="auto"/>
                      <w:szCs w:val="21"/>
                      <w:lang w:val="en-US" w:eastAsia="zh-CN"/>
                    </w:rPr>
                    <w:t>3422.34</w:t>
                  </w:r>
                  <w:r>
                    <w:rPr>
                      <w:color w:val="auto"/>
                      <w:szCs w:val="21"/>
                    </w:rPr>
                    <w:t>m</w:t>
                  </w:r>
                  <w:r>
                    <w:rPr>
                      <w:color w:val="auto"/>
                      <w:szCs w:val="21"/>
                      <w:vertAlign w:val="superscript"/>
                    </w:rPr>
                    <w:t>2</w:t>
                  </w:r>
                  <w:r>
                    <w:rPr>
                      <w:color w:val="auto"/>
                      <w:szCs w:val="21"/>
                    </w:rPr>
                    <w:t>，用于存放待拆解报废车辆，堆放方式为露天形式，地面进行硬化防渗。</w:t>
                  </w:r>
                </w:p>
              </w:tc>
              <w:tc>
                <w:tcPr>
                  <w:tcW w:w="590" w:type="pct"/>
                  <w:vAlign w:val="center"/>
                </w:tcPr>
                <w:p w14:paraId="5331709D">
                  <w:pPr>
                    <w:pStyle w:val="51"/>
                    <w:rPr>
                      <w:rFonts w:hint="eastAsia" w:eastAsia="宋体"/>
                      <w:color w:val="auto"/>
                      <w:szCs w:val="21"/>
                      <w:lang w:val="en-US" w:eastAsia="zh-CN"/>
                    </w:rPr>
                  </w:pPr>
                  <w:r>
                    <w:rPr>
                      <w:rFonts w:hint="eastAsia"/>
                      <w:color w:val="auto"/>
                      <w:lang w:val="en-US" w:eastAsia="zh-CN"/>
                    </w:rPr>
                    <w:t>依托</w:t>
                  </w:r>
                  <w:r>
                    <w:rPr>
                      <w:color w:val="auto"/>
                    </w:rPr>
                    <w:t>现有</w:t>
                  </w:r>
                  <w:r>
                    <w:rPr>
                      <w:rFonts w:hint="eastAsia"/>
                      <w:color w:val="auto"/>
                      <w:lang w:val="en-US" w:eastAsia="zh-CN"/>
                    </w:rPr>
                    <w:t>场地</w:t>
                  </w:r>
                </w:p>
              </w:tc>
            </w:tr>
            <w:tr w14:paraId="387D9D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Merge w:val="continue"/>
                  <w:vAlign w:val="center"/>
                </w:tcPr>
                <w:p w14:paraId="1C414E26">
                  <w:pPr>
                    <w:pStyle w:val="51"/>
                    <w:rPr>
                      <w:color w:val="auto"/>
                      <w:szCs w:val="21"/>
                    </w:rPr>
                  </w:pPr>
                </w:p>
              </w:tc>
              <w:tc>
                <w:tcPr>
                  <w:tcW w:w="586" w:type="pct"/>
                  <w:vAlign w:val="center"/>
                </w:tcPr>
                <w:p w14:paraId="6286E6A9">
                  <w:pPr>
                    <w:pStyle w:val="51"/>
                    <w:rPr>
                      <w:color w:val="auto"/>
                      <w:szCs w:val="21"/>
                    </w:rPr>
                  </w:pPr>
                  <w:r>
                    <w:rPr>
                      <w:rFonts w:hint="eastAsia"/>
                      <w:color w:val="auto"/>
                      <w:szCs w:val="21"/>
                    </w:rPr>
                    <w:t>农机拆除成品半成品及零件贮存库</w:t>
                  </w:r>
                </w:p>
              </w:tc>
              <w:tc>
                <w:tcPr>
                  <w:tcW w:w="3414" w:type="pct"/>
                  <w:vAlign w:val="center"/>
                </w:tcPr>
                <w:p w14:paraId="6C51D295">
                  <w:pPr>
                    <w:pStyle w:val="51"/>
                    <w:jc w:val="both"/>
                    <w:rPr>
                      <w:snapToGrid w:val="0"/>
                      <w:color w:val="auto"/>
                    </w:rPr>
                  </w:pPr>
                  <w:r>
                    <w:rPr>
                      <w:color w:val="auto"/>
                      <w:szCs w:val="21"/>
                    </w:rPr>
                    <w:t>建筑面积</w:t>
                  </w:r>
                  <w:r>
                    <w:rPr>
                      <w:rFonts w:hint="eastAsia"/>
                      <w:color w:val="auto"/>
                      <w:szCs w:val="21"/>
                      <w:lang w:val="en-US" w:eastAsia="zh-CN"/>
                    </w:rPr>
                    <w:t>5</w:t>
                  </w:r>
                  <w:r>
                    <w:rPr>
                      <w:color w:val="auto"/>
                      <w:szCs w:val="21"/>
                    </w:rPr>
                    <w:t>0m</w:t>
                  </w:r>
                  <w:r>
                    <w:rPr>
                      <w:color w:val="auto"/>
                      <w:szCs w:val="21"/>
                      <w:vertAlign w:val="superscript"/>
                    </w:rPr>
                    <w:t>2</w:t>
                  </w:r>
                  <w:r>
                    <w:rPr>
                      <w:color w:val="auto"/>
                      <w:szCs w:val="21"/>
                    </w:rPr>
                    <w:t>，</w:t>
                  </w:r>
                  <w:r>
                    <w:rPr>
                      <w:rFonts w:hint="eastAsia"/>
                      <w:color w:val="FF0000"/>
                      <w:szCs w:val="21"/>
                      <w:lang w:val="en-US" w:eastAsia="zh-CN"/>
                    </w:rPr>
                    <w:t>高度5m，</w:t>
                  </w:r>
                  <w:r>
                    <w:rPr>
                      <w:color w:val="auto"/>
                      <w:szCs w:val="21"/>
                    </w:rPr>
                    <w:t>全封闭</w:t>
                  </w:r>
                  <w:r>
                    <w:rPr>
                      <w:snapToGrid w:val="0"/>
                      <w:color w:val="auto"/>
                    </w:rPr>
                    <w:t>。</w:t>
                  </w:r>
                  <w:r>
                    <w:rPr>
                      <w:color w:val="auto"/>
                      <w:szCs w:val="21"/>
                    </w:rPr>
                    <w:t>用于储存拆解产品与一般固体废物</w:t>
                  </w:r>
                  <w:r>
                    <w:rPr>
                      <w:rFonts w:hint="eastAsia"/>
                      <w:color w:val="auto"/>
                      <w:szCs w:val="21"/>
                      <w:lang w:eastAsia="zh-CN"/>
                    </w:rPr>
                    <w:t>，</w:t>
                  </w:r>
                  <w:r>
                    <w:rPr>
                      <w:rFonts w:hint="eastAsia"/>
                      <w:color w:val="FF0000"/>
                      <w:szCs w:val="21"/>
                      <w:lang w:val="en-US" w:eastAsia="zh-CN"/>
                    </w:rPr>
                    <w:t>分类分区储存</w:t>
                  </w:r>
                  <w:r>
                    <w:rPr>
                      <w:color w:val="auto"/>
                      <w:szCs w:val="21"/>
                    </w:rPr>
                    <w:t>。本项目</w:t>
                  </w:r>
                  <w:r>
                    <w:rPr>
                      <w:rFonts w:hint="eastAsia"/>
                      <w:color w:val="auto"/>
                      <w:szCs w:val="21"/>
                      <w:lang w:val="en-US" w:eastAsia="zh-CN"/>
                    </w:rPr>
                    <w:t>拆解产品</w:t>
                  </w:r>
                  <w:r>
                    <w:rPr>
                      <w:color w:val="auto"/>
                      <w:szCs w:val="21"/>
                    </w:rPr>
                    <w:t>定期拉运出场外售，</w:t>
                  </w:r>
                  <w:r>
                    <w:rPr>
                      <w:rFonts w:hint="eastAsia"/>
                      <w:color w:val="auto"/>
                      <w:szCs w:val="21"/>
                      <w:lang w:val="en-US" w:eastAsia="zh-CN"/>
                    </w:rPr>
                    <w:t>一般固体废物定期外售综合利用或交由市政部门统一清运，均</w:t>
                  </w:r>
                  <w:r>
                    <w:rPr>
                      <w:color w:val="auto"/>
                      <w:szCs w:val="21"/>
                    </w:rPr>
                    <w:t>不做长期储存。</w:t>
                  </w:r>
                </w:p>
              </w:tc>
              <w:tc>
                <w:tcPr>
                  <w:tcW w:w="590" w:type="pct"/>
                  <w:vAlign w:val="center"/>
                </w:tcPr>
                <w:p w14:paraId="5EFDFBDB">
                  <w:pPr>
                    <w:pStyle w:val="51"/>
                    <w:rPr>
                      <w:color w:val="auto"/>
                      <w:szCs w:val="21"/>
                    </w:rPr>
                  </w:pPr>
                  <w:r>
                    <w:rPr>
                      <w:snapToGrid w:val="0"/>
                      <w:color w:val="auto"/>
                    </w:rPr>
                    <w:t>依托现有厂房</w:t>
                  </w:r>
                </w:p>
              </w:tc>
            </w:tr>
            <w:tr w14:paraId="2E2A39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7" w:hRule="atLeast"/>
                <w:jc w:val="center"/>
              </w:trPr>
              <w:tc>
                <w:tcPr>
                  <w:tcW w:w="408" w:type="pct"/>
                  <w:vMerge w:val="continue"/>
                  <w:vAlign w:val="center"/>
                </w:tcPr>
                <w:p w14:paraId="6FDC5296">
                  <w:pPr>
                    <w:pStyle w:val="51"/>
                    <w:rPr>
                      <w:color w:val="auto"/>
                      <w:szCs w:val="21"/>
                    </w:rPr>
                  </w:pPr>
                </w:p>
              </w:tc>
              <w:tc>
                <w:tcPr>
                  <w:tcW w:w="586" w:type="pct"/>
                  <w:vAlign w:val="center"/>
                </w:tcPr>
                <w:p w14:paraId="628E0987">
                  <w:pPr>
                    <w:pStyle w:val="51"/>
                    <w:rPr>
                      <w:rFonts w:hint="eastAsia" w:eastAsia="宋体"/>
                      <w:color w:val="auto"/>
                      <w:szCs w:val="21"/>
                      <w:lang w:eastAsia="zh-CN"/>
                    </w:rPr>
                  </w:pPr>
                  <w:r>
                    <w:rPr>
                      <w:rFonts w:hint="eastAsia"/>
                      <w:color w:val="auto"/>
                      <w:szCs w:val="21"/>
                      <w:lang w:eastAsia="zh-CN"/>
                    </w:rPr>
                    <w:t>危险废物贮存库</w:t>
                  </w:r>
                </w:p>
              </w:tc>
              <w:tc>
                <w:tcPr>
                  <w:tcW w:w="3414" w:type="pct"/>
                  <w:vAlign w:val="center"/>
                </w:tcPr>
                <w:p w14:paraId="46CC5E92">
                  <w:pPr>
                    <w:pStyle w:val="51"/>
                    <w:jc w:val="both"/>
                    <w:rPr>
                      <w:bCs/>
                      <w:color w:val="auto"/>
                      <w:szCs w:val="21"/>
                    </w:rPr>
                  </w:pPr>
                  <w:r>
                    <w:rPr>
                      <w:bCs/>
                      <w:color w:val="auto"/>
                      <w:szCs w:val="21"/>
                    </w:rPr>
                    <w:t>位于</w:t>
                  </w:r>
                  <w:r>
                    <w:rPr>
                      <w:rFonts w:hint="eastAsia"/>
                      <w:bCs/>
                      <w:color w:val="auto"/>
                      <w:szCs w:val="21"/>
                      <w:lang w:val="en-US" w:eastAsia="zh-CN"/>
                    </w:rPr>
                    <w:t>车间内</w:t>
                  </w:r>
                  <w:r>
                    <w:rPr>
                      <w:bCs/>
                      <w:color w:val="auto"/>
                      <w:szCs w:val="21"/>
                    </w:rPr>
                    <w:t>，面积为</w:t>
                  </w:r>
                  <w:r>
                    <w:rPr>
                      <w:rFonts w:hint="eastAsia"/>
                      <w:bCs/>
                      <w:color w:val="auto"/>
                      <w:szCs w:val="21"/>
                      <w:lang w:val="en-US" w:eastAsia="zh-CN"/>
                    </w:rPr>
                    <w:t>50</w:t>
                  </w:r>
                  <w:r>
                    <w:rPr>
                      <w:bCs/>
                      <w:color w:val="auto"/>
                      <w:szCs w:val="21"/>
                    </w:rPr>
                    <w:t>m</w:t>
                  </w:r>
                  <w:r>
                    <w:rPr>
                      <w:bCs/>
                      <w:color w:val="auto"/>
                      <w:szCs w:val="21"/>
                      <w:vertAlign w:val="superscript"/>
                    </w:rPr>
                    <w:t>2</w:t>
                  </w:r>
                  <w:r>
                    <w:rPr>
                      <w:bCs/>
                      <w:color w:val="auto"/>
                      <w:szCs w:val="21"/>
                    </w:rPr>
                    <w:t>，全封闭，用于暂存生产过程中产生的危险废物。建设严格按照</w:t>
                  </w:r>
                  <w:r>
                    <w:rPr>
                      <w:rFonts w:hint="eastAsia"/>
                      <w:bCs/>
                      <w:color w:val="auto"/>
                      <w:szCs w:val="21"/>
                      <w:lang w:eastAsia="zh-CN"/>
                    </w:rPr>
                    <w:t>《危险废物贮存污染控制标准》（GB18597-2023）</w:t>
                  </w:r>
                  <w:r>
                    <w:rPr>
                      <w:bCs/>
                      <w:color w:val="auto"/>
                      <w:szCs w:val="21"/>
                    </w:rPr>
                    <w:t>中相关规定进行设置，地面防渗、</w:t>
                  </w:r>
                  <w:r>
                    <w:rPr>
                      <w:rFonts w:hint="eastAsia"/>
                      <w:bCs/>
                      <w:color w:val="auto"/>
                      <w:szCs w:val="21"/>
                      <w:lang w:eastAsia="zh-CN"/>
                    </w:rPr>
                    <w:t>裙脚</w:t>
                  </w:r>
                  <w:r>
                    <w:rPr>
                      <w:bCs/>
                      <w:color w:val="auto"/>
                      <w:szCs w:val="21"/>
                    </w:rPr>
                    <w:t>防渗，防渗层为至少1米厚粘土层（渗透系数≤10</w:t>
                  </w:r>
                  <w:r>
                    <w:rPr>
                      <w:bCs/>
                      <w:color w:val="auto"/>
                      <w:szCs w:val="21"/>
                      <w:vertAlign w:val="superscript"/>
                    </w:rPr>
                    <w:t>-7</w:t>
                  </w:r>
                  <w:r>
                    <w:rPr>
                      <w:bCs/>
                      <w:color w:val="auto"/>
                      <w:szCs w:val="21"/>
                    </w:rPr>
                    <w:t>cm/s），或2mm厚高密度聚乙烯</w:t>
                  </w:r>
                  <w:r>
                    <w:rPr>
                      <w:rFonts w:hint="eastAsia"/>
                      <w:bCs/>
                      <w:color w:val="auto"/>
                      <w:szCs w:val="21"/>
                    </w:rPr>
                    <w:t>膜等人工防渗材料</w:t>
                  </w:r>
                  <w:r>
                    <w:rPr>
                      <w:rFonts w:hint="eastAsia"/>
                      <w:bCs/>
                      <w:color w:val="auto"/>
                      <w:szCs w:val="21"/>
                      <w:lang w:eastAsia="zh-CN"/>
                    </w:rPr>
                    <w:t>（</w:t>
                  </w:r>
                  <w:r>
                    <w:rPr>
                      <w:bCs/>
                      <w:color w:val="auto"/>
                      <w:szCs w:val="21"/>
                    </w:rPr>
                    <w:t>渗透系数≤10</w:t>
                  </w:r>
                  <w:r>
                    <w:rPr>
                      <w:bCs/>
                      <w:color w:val="auto"/>
                      <w:szCs w:val="21"/>
                      <w:vertAlign w:val="superscript"/>
                    </w:rPr>
                    <w:t>-10</w:t>
                  </w:r>
                  <w:r>
                    <w:rPr>
                      <w:bCs/>
                      <w:color w:val="auto"/>
                      <w:szCs w:val="21"/>
                    </w:rPr>
                    <w:t>cm/s</w:t>
                  </w:r>
                  <w:r>
                    <w:rPr>
                      <w:rFonts w:hint="eastAsia"/>
                      <w:bCs/>
                      <w:color w:val="auto"/>
                      <w:szCs w:val="21"/>
                      <w:lang w:eastAsia="zh-CN"/>
                    </w:rPr>
                    <w:t>）</w:t>
                  </w:r>
                  <w:r>
                    <w:rPr>
                      <w:bCs/>
                      <w:color w:val="auto"/>
                      <w:szCs w:val="21"/>
                    </w:rPr>
                    <w:t>。</w:t>
                  </w:r>
                  <w:r>
                    <w:rPr>
                      <w:rFonts w:hint="eastAsia"/>
                      <w:bCs/>
                      <w:color w:val="auto"/>
                      <w:szCs w:val="21"/>
                      <w:lang w:eastAsia="zh-CN"/>
                    </w:rPr>
                    <w:t>危险废物贮存库</w:t>
                  </w:r>
                  <w:r>
                    <w:rPr>
                      <w:rFonts w:hint="eastAsia"/>
                      <w:bCs/>
                      <w:color w:val="auto"/>
                      <w:szCs w:val="21"/>
                    </w:rPr>
                    <w:t>内设置泄漏液体收集装置等。危险废物采用密闭容器包装，控制挥发性有机气体的产生。</w:t>
                  </w:r>
                </w:p>
              </w:tc>
              <w:tc>
                <w:tcPr>
                  <w:tcW w:w="590" w:type="pct"/>
                  <w:vAlign w:val="center"/>
                </w:tcPr>
                <w:p w14:paraId="74F3F06E">
                  <w:pPr>
                    <w:pStyle w:val="51"/>
                    <w:rPr>
                      <w:color w:val="auto"/>
                      <w:szCs w:val="21"/>
                    </w:rPr>
                  </w:pPr>
                  <w:r>
                    <w:rPr>
                      <w:snapToGrid w:val="0"/>
                      <w:color w:val="auto"/>
                    </w:rPr>
                    <w:t>依托现有厂房</w:t>
                  </w:r>
                </w:p>
              </w:tc>
            </w:tr>
            <w:tr w14:paraId="3B25D7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Merge w:val="restart"/>
                  <w:vAlign w:val="center"/>
                </w:tcPr>
                <w:p w14:paraId="2E1CDC7E">
                  <w:pPr>
                    <w:pStyle w:val="51"/>
                    <w:rPr>
                      <w:color w:val="auto"/>
                      <w:szCs w:val="21"/>
                    </w:rPr>
                  </w:pPr>
                  <w:r>
                    <w:rPr>
                      <w:color w:val="auto"/>
                      <w:szCs w:val="21"/>
                    </w:rPr>
                    <w:t>公用工程</w:t>
                  </w:r>
                </w:p>
              </w:tc>
              <w:tc>
                <w:tcPr>
                  <w:tcW w:w="586" w:type="pct"/>
                  <w:vAlign w:val="center"/>
                </w:tcPr>
                <w:p w14:paraId="704087B9">
                  <w:pPr>
                    <w:pStyle w:val="51"/>
                    <w:rPr>
                      <w:color w:val="auto"/>
                      <w:szCs w:val="21"/>
                    </w:rPr>
                  </w:pPr>
                  <w:r>
                    <w:rPr>
                      <w:color w:val="auto"/>
                      <w:szCs w:val="21"/>
                    </w:rPr>
                    <w:t>给水</w:t>
                  </w:r>
                </w:p>
              </w:tc>
              <w:tc>
                <w:tcPr>
                  <w:tcW w:w="3414" w:type="pct"/>
                  <w:vAlign w:val="center"/>
                </w:tcPr>
                <w:p w14:paraId="460FE259">
                  <w:pPr>
                    <w:pStyle w:val="51"/>
                    <w:jc w:val="both"/>
                    <w:rPr>
                      <w:color w:val="auto"/>
                      <w:szCs w:val="21"/>
                    </w:rPr>
                  </w:pPr>
                  <w:r>
                    <w:rPr>
                      <w:color w:val="auto"/>
                      <w:szCs w:val="21"/>
                    </w:rPr>
                    <w:t>由</w:t>
                  </w:r>
                  <w:r>
                    <w:rPr>
                      <w:rFonts w:hint="eastAsia"/>
                      <w:color w:val="auto"/>
                      <w:szCs w:val="21"/>
                      <w:lang w:val="en-US" w:eastAsia="zh-CN"/>
                    </w:rPr>
                    <w:t>市政</w:t>
                  </w:r>
                  <w:r>
                    <w:rPr>
                      <w:color w:val="auto"/>
                      <w:szCs w:val="21"/>
                    </w:rPr>
                    <w:t>供</w:t>
                  </w:r>
                  <w:r>
                    <w:rPr>
                      <w:rFonts w:hint="eastAsia"/>
                      <w:color w:val="auto"/>
                      <w:szCs w:val="21"/>
                      <w:lang w:val="en-US" w:eastAsia="zh-CN"/>
                    </w:rPr>
                    <w:t>水</w:t>
                  </w:r>
                  <w:r>
                    <w:rPr>
                      <w:color w:val="auto"/>
                      <w:szCs w:val="21"/>
                    </w:rPr>
                    <w:t>。</w:t>
                  </w:r>
                </w:p>
              </w:tc>
              <w:tc>
                <w:tcPr>
                  <w:tcW w:w="590" w:type="pct"/>
                  <w:vAlign w:val="center"/>
                </w:tcPr>
                <w:p w14:paraId="21E12902">
                  <w:pPr>
                    <w:pStyle w:val="51"/>
                    <w:rPr>
                      <w:color w:val="auto"/>
                      <w:szCs w:val="21"/>
                    </w:rPr>
                  </w:pPr>
                  <w:r>
                    <w:rPr>
                      <w:color w:val="auto"/>
                      <w:szCs w:val="21"/>
                    </w:rPr>
                    <w:t>依托</w:t>
                  </w:r>
                </w:p>
              </w:tc>
            </w:tr>
            <w:tr w14:paraId="592AC5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Merge w:val="continue"/>
                  <w:vAlign w:val="center"/>
                </w:tcPr>
                <w:p w14:paraId="6A1D1BD8">
                  <w:pPr>
                    <w:pStyle w:val="51"/>
                    <w:rPr>
                      <w:color w:val="auto"/>
                      <w:szCs w:val="21"/>
                    </w:rPr>
                  </w:pPr>
                </w:p>
              </w:tc>
              <w:tc>
                <w:tcPr>
                  <w:tcW w:w="586" w:type="pct"/>
                  <w:vAlign w:val="center"/>
                </w:tcPr>
                <w:p w14:paraId="34DDB771">
                  <w:pPr>
                    <w:pStyle w:val="51"/>
                    <w:rPr>
                      <w:color w:val="auto"/>
                      <w:szCs w:val="21"/>
                    </w:rPr>
                  </w:pPr>
                  <w:r>
                    <w:rPr>
                      <w:color w:val="auto"/>
                      <w:szCs w:val="21"/>
                    </w:rPr>
                    <w:t>排水</w:t>
                  </w:r>
                </w:p>
              </w:tc>
              <w:tc>
                <w:tcPr>
                  <w:tcW w:w="3414" w:type="pct"/>
                  <w:vAlign w:val="center"/>
                </w:tcPr>
                <w:p w14:paraId="1522687A">
                  <w:pPr>
                    <w:pStyle w:val="51"/>
                    <w:jc w:val="both"/>
                    <w:rPr>
                      <w:color w:val="auto"/>
                      <w:szCs w:val="21"/>
                    </w:rPr>
                  </w:pPr>
                  <w:r>
                    <w:rPr>
                      <w:color w:val="auto"/>
                    </w:rPr>
                    <w:t>本项目</w:t>
                  </w:r>
                  <w:r>
                    <w:rPr>
                      <w:rFonts w:hint="eastAsia"/>
                      <w:color w:val="auto"/>
                    </w:rPr>
                    <w:t>不进行拆解车间地面清洗，因此本项目</w:t>
                  </w:r>
                  <w:r>
                    <w:rPr>
                      <w:color w:val="auto"/>
                    </w:rPr>
                    <w:t>无拆解车间地面冲洗废水产生</w:t>
                  </w:r>
                  <w:r>
                    <w:rPr>
                      <w:color w:val="auto"/>
                      <w:szCs w:val="21"/>
                    </w:rPr>
                    <w:t>，主要为生活污水和待拆车辆存放区初期雨水。</w:t>
                  </w:r>
                </w:p>
                <w:p w14:paraId="5D890D35">
                  <w:pPr>
                    <w:pStyle w:val="51"/>
                    <w:jc w:val="both"/>
                    <w:rPr>
                      <w:color w:val="auto"/>
                      <w:szCs w:val="21"/>
                    </w:rPr>
                  </w:pPr>
                  <w:r>
                    <w:rPr>
                      <w:rFonts w:hint="eastAsia" w:ascii="宋体" w:hAnsi="宋体" w:cs="宋体"/>
                      <w:color w:val="auto"/>
                      <w:szCs w:val="21"/>
                    </w:rPr>
                    <w:t>①</w:t>
                  </w:r>
                  <w:r>
                    <w:rPr>
                      <w:color w:val="auto"/>
                      <w:szCs w:val="21"/>
                    </w:rPr>
                    <w:t>本项目生活污水排入</w:t>
                  </w:r>
                  <w:r>
                    <w:rPr>
                      <w:rFonts w:hint="eastAsia"/>
                      <w:color w:val="auto"/>
                      <w:szCs w:val="21"/>
                      <w:lang w:val="en-US" w:eastAsia="zh-CN"/>
                    </w:rPr>
                    <w:t>防渗旱厕，定期清掏</w:t>
                  </w:r>
                  <w:r>
                    <w:rPr>
                      <w:color w:val="auto"/>
                      <w:szCs w:val="21"/>
                    </w:rPr>
                    <w:t>。</w:t>
                  </w:r>
                </w:p>
                <w:p w14:paraId="029D7205">
                  <w:pPr>
                    <w:pStyle w:val="51"/>
                    <w:jc w:val="both"/>
                    <w:rPr>
                      <w:rFonts w:hint="default" w:eastAsia="宋体"/>
                      <w:b/>
                      <w:bCs/>
                      <w:color w:val="auto"/>
                      <w:szCs w:val="21"/>
                      <w:lang w:val="en-US" w:eastAsia="zh-CN"/>
                    </w:rPr>
                  </w:pPr>
                  <w:r>
                    <w:rPr>
                      <w:rFonts w:hint="eastAsia" w:ascii="宋体" w:hAnsi="宋体" w:cs="宋体"/>
                      <w:color w:val="auto"/>
                      <w:szCs w:val="21"/>
                      <w:lang w:eastAsia="ja-JP"/>
                    </w:rPr>
                    <w:t>②</w:t>
                  </w:r>
                  <w:r>
                    <w:rPr>
                      <w:rFonts w:hint="eastAsia" w:ascii="宋体" w:hAnsi="宋体" w:cs="宋体"/>
                      <w:color w:val="auto"/>
                      <w:szCs w:val="21"/>
                    </w:rPr>
                    <w:t>初期雨水</w:t>
                  </w:r>
                  <w:r>
                    <w:rPr>
                      <w:color w:val="auto"/>
                    </w:rPr>
                    <w:t>经待拆车辆存放区四周排水沟汇入厂区一座</w:t>
                  </w:r>
                  <w:r>
                    <w:rPr>
                      <w:rFonts w:hint="eastAsia"/>
                      <w:color w:val="auto"/>
                      <w:lang w:val="en-US" w:eastAsia="zh-CN"/>
                    </w:rPr>
                    <w:t>8</w:t>
                  </w:r>
                  <w:r>
                    <w:rPr>
                      <w:color w:val="auto"/>
                    </w:rPr>
                    <w:t>0m</w:t>
                  </w:r>
                  <w:r>
                    <w:rPr>
                      <w:color w:val="auto"/>
                      <w:vertAlign w:val="superscript"/>
                    </w:rPr>
                    <w:t>3</w:t>
                  </w:r>
                  <w:r>
                    <w:rPr>
                      <w:color w:val="auto"/>
                    </w:rPr>
                    <w:t>初期雨水收集池内，经油水分离器隔油处理</w:t>
                  </w:r>
                  <w:r>
                    <w:rPr>
                      <w:rFonts w:hint="eastAsia"/>
                      <w:color w:val="auto"/>
                      <w:lang w:val="en-US" w:eastAsia="zh-CN"/>
                    </w:rPr>
                    <w:t>用于厂区洒扫降尘</w:t>
                  </w:r>
                  <w:r>
                    <w:rPr>
                      <w:color w:val="auto"/>
                    </w:rPr>
                    <w:t>。</w:t>
                  </w:r>
                </w:p>
              </w:tc>
              <w:tc>
                <w:tcPr>
                  <w:tcW w:w="590" w:type="pct"/>
                  <w:vAlign w:val="center"/>
                </w:tcPr>
                <w:p w14:paraId="4E169734">
                  <w:pPr>
                    <w:pStyle w:val="51"/>
                    <w:rPr>
                      <w:color w:val="auto"/>
                      <w:szCs w:val="21"/>
                    </w:rPr>
                  </w:pPr>
                  <w:r>
                    <w:rPr>
                      <w:color w:val="auto"/>
                      <w:szCs w:val="21"/>
                    </w:rPr>
                    <w:t>依托</w:t>
                  </w:r>
                </w:p>
              </w:tc>
            </w:tr>
            <w:tr w14:paraId="64D0E6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Merge w:val="continue"/>
                  <w:vAlign w:val="center"/>
                </w:tcPr>
                <w:p w14:paraId="27E2385E">
                  <w:pPr>
                    <w:pStyle w:val="51"/>
                    <w:rPr>
                      <w:color w:val="auto"/>
                      <w:szCs w:val="21"/>
                    </w:rPr>
                  </w:pPr>
                </w:p>
              </w:tc>
              <w:tc>
                <w:tcPr>
                  <w:tcW w:w="586" w:type="pct"/>
                  <w:vAlign w:val="center"/>
                </w:tcPr>
                <w:p w14:paraId="59D6740B">
                  <w:pPr>
                    <w:pStyle w:val="51"/>
                    <w:rPr>
                      <w:color w:val="auto"/>
                      <w:szCs w:val="21"/>
                    </w:rPr>
                  </w:pPr>
                  <w:r>
                    <w:rPr>
                      <w:color w:val="auto"/>
                      <w:szCs w:val="21"/>
                    </w:rPr>
                    <w:t>供电</w:t>
                  </w:r>
                </w:p>
              </w:tc>
              <w:tc>
                <w:tcPr>
                  <w:tcW w:w="3414" w:type="pct"/>
                  <w:vAlign w:val="center"/>
                </w:tcPr>
                <w:p w14:paraId="16CA6EA4">
                  <w:pPr>
                    <w:pStyle w:val="51"/>
                    <w:jc w:val="left"/>
                    <w:rPr>
                      <w:color w:val="auto"/>
                      <w:szCs w:val="21"/>
                    </w:rPr>
                  </w:pPr>
                  <w:r>
                    <w:rPr>
                      <w:color w:val="auto"/>
                      <w:szCs w:val="21"/>
                    </w:rPr>
                    <w:t>本项目由市政电网提供。</w:t>
                  </w:r>
                </w:p>
              </w:tc>
              <w:tc>
                <w:tcPr>
                  <w:tcW w:w="590" w:type="pct"/>
                  <w:vAlign w:val="center"/>
                </w:tcPr>
                <w:p w14:paraId="5725E6A8">
                  <w:pPr>
                    <w:pStyle w:val="51"/>
                    <w:rPr>
                      <w:color w:val="auto"/>
                      <w:szCs w:val="21"/>
                    </w:rPr>
                  </w:pPr>
                  <w:r>
                    <w:rPr>
                      <w:color w:val="auto"/>
                      <w:szCs w:val="21"/>
                    </w:rPr>
                    <w:t>依托</w:t>
                  </w:r>
                </w:p>
              </w:tc>
            </w:tr>
            <w:tr w14:paraId="0837C8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Merge w:val="continue"/>
                  <w:vAlign w:val="center"/>
                </w:tcPr>
                <w:p w14:paraId="70C98B8B">
                  <w:pPr>
                    <w:pStyle w:val="51"/>
                    <w:rPr>
                      <w:color w:val="auto"/>
                      <w:szCs w:val="21"/>
                    </w:rPr>
                  </w:pPr>
                </w:p>
              </w:tc>
              <w:tc>
                <w:tcPr>
                  <w:tcW w:w="586" w:type="pct"/>
                  <w:vAlign w:val="center"/>
                </w:tcPr>
                <w:p w14:paraId="59F74C32">
                  <w:pPr>
                    <w:pStyle w:val="51"/>
                    <w:rPr>
                      <w:color w:val="auto"/>
                      <w:szCs w:val="21"/>
                    </w:rPr>
                  </w:pPr>
                  <w:r>
                    <w:rPr>
                      <w:color w:val="auto"/>
                      <w:szCs w:val="21"/>
                    </w:rPr>
                    <w:t>供热</w:t>
                  </w:r>
                </w:p>
              </w:tc>
              <w:tc>
                <w:tcPr>
                  <w:tcW w:w="3414" w:type="pct"/>
                  <w:vAlign w:val="center"/>
                </w:tcPr>
                <w:p w14:paraId="74EFDA0A">
                  <w:pPr>
                    <w:pStyle w:val="51"/>
                    <w:jc w:val="both"/>
                    <w:rPr>
                      <w:color w:val="auto"/>
                      <w:szCs w:val="21"/>
                    </w:rPr>
                  </w:pPr>
                  <w:r>
                    <w:rPr>
                      <w:rFonts w:hint="eastAsia"/>
                      <w:color w:val="auto"/>
                      <w:szCs w:val="21"/>
                    </w:rPr>
                    <w:t>本项目冬季采取电取暖。</w:t>
                  </w:r>
                </w:p>
              </w:tc>
              <w:tc>
                <w:tcPr>
                  <w:tcW w:w="590" w:type="pct"/>
                  <w:vAlign w:val="center"/>
                </w:tcPr>
                <w:p w14:paraId="34CB671B">
                  <w:pPr>
                    <w:pStyle w:val="51"/>
                    <w:rPr>
                      <w:rFonts w:hint="eastAsia" w:eastAsia="宋体"/>
                      <w:color w:val="auto"/>
                      <w:szCs w:val="21"/>
                      <w:lang w:eastAsia="zh-CN"/>
                    </w:rPr>
                  </w:pPr>
                  <w:r>
                    <w:rPr>
                      <w:rFonts w:hint="eastAsia"/>
                      <w:color w:val="auto"/>
                      <w:szCs w:val="21"/>
                      <w:lang w:val="en-US" w:eastAsia="zh-CN"/>
                    </w:rPr>
                    <w:t>新建</w:t>
                  </w:r>
                </w:p>
              </w:tc>
            </w:tr>
            <w:tr w14:paraId="50932B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Merge w:val="restart"/>
                  <w:vAlign w:val="center"/>
                </w:tcPr>
                <w:p w14:paraId="0F74EDA0">
                  <w:pPr>
                    <w:pStyle w:val="51"/>
                    <w:rPr>
                      <w:color w:val="auto"/>
                      <w:szCs w:val="21"/>
                    </w:rPr>
                  </w:pPr>
                  <w:r>
                    <w:rPr>
                      <w:color w:val="auto"/>
                      <w:szCs w:val="21"/>
                    </w:rPr>
                    <w:t>环保工程</w:t>
                  </w:r>
                </w:p>
              </w:tc>
              <w:tc>
                <w:tcPr>
                  <w:tcW w:w="586" w:type="pct"/>
                  <w:vAlign w:val="center"/>
                </w:tcPr>
                <w:p w14:paraId="1628F27A">
                  <w:pPr>
                    <w:pStyle w:val="51"/>
                    <w:rPr>
                      <w:color w:val="auto"/>
                      <w:szCs w:val="21"/>
                    </w:rPr>
                  </w:pPr>
                  <w:r>
                    <w:rPr>
                      <w:color w:val="auto"/>
                      <w:szCs w:val="21"/>
                    </w:rPr>
                    <w:t>废气</w:t>
                  </w:r>
                </w:p>
              </w:tc>
              <w:tc>
                <w:tcPr>
                  <w:tcW w:w="3414" w:type="pct"/>
                  <w:vAlign w:val="center"/>
                </w:tcPr>
                <w:p w14:paraId="6A241088">
                  <w:pPr>
                    <w:pStyle w:val="51"/>
                    <w:jc w:val="both"/>
                    <w:rPr>
                      <w:color w:val="auto"/>
                      <w:szCs w:val="21"/>
                    </w:rPr>
                  </w:pPr>
                  <w:r>
                    <w:rPr>
                      <w:color w:val="auto"/>
                      <w:szCs w:val="21"/>
                    </w:rPr>
                    <w:t>本项目废气主要为拆解车间废气。</w:t>
                  </w:r>
                </w:p>
                <w:p w14:paraId="0184E861">
                  <w:pPr>
                    <w:pStyle w:val="51"/>
                    <w:jc w:val="both"/>
                    <w:rPr>
                      <w:color w:val="auto"/>
                      <w:szCs w:val="21"/>
                    </w:rPr>
                  </w:pPr>
                  <w:r>
                    <w:rPr>
                      <w:rFonts w:hint="eastAsia" w:ascii="宋体" w:hAnsi="宋体" w:cs="宋体"/>
                      <w:color w:val="auto"/>
                      <w:szCs w:val="21"/>
                    </w:rPr>
                    <w:t>①</w:t>
                  </w:r>
                  <w:r>
                    <w:rPr>
                      <w:color w:val="auto"/>
                      <w:szCs w:val="21"/>
                    </w:rPr>
                    <w:t>粉尘：</w:t>
                  </w:r>
                </w:p>
                <w:p w14:paraId="19BFADB1">
                  <w:pPr>
                    <w:pStyle w:val="51"/>
                    <w:jc w:val="both"/>
                    <w:rPr>
                      <w:color w:val="auto"/>
                      <w:szCs w:val="21"/>
                    </w:rPr>
                  </w:pPr>
                  <w:r>
                    <w:rPr>
                      <w:color w:val="auto"/>
                      <w:kern w:val="0"/>
                    </w:rPr>
                    <w:t>本项目在全封闭拆解车间内切割工位设置移动式</w:t>
                  </w:r>
                  <w:r>
                    <w:rPr>
                      <w:rFonts w:hint="eastAsia"/>
                      <w:color w:val="auto"/>
                      <w:kern w:val="0"/>
                      <w:lang w:val="en-US" w:eastAsia="zh-CN"/>
                    </w:rPr>
                    <w:t>布袋除尘</w:t>
                  </w:r>
                  <w:r>
                    <w:rPr>
                      <w:color w:val="auto"/>
                      <w:kern w:val="0"/>
                    </w:rPr>
                    <w:t>器，除尘效率按99%计，净化处理后排出的气体经车间侧壁通风设施以无组织形式排放。</w:t>
                  </w:r>
                  <w:r>
                    <w:rPr>
                      <w:color w:val="auto"/>
                      <w:szCs w:val="21"/>
                    </w:rPr>
                    <w:t>拆解工段无组织颗粒物排放浓度执行《大气污染物综合排放标准》（GB16297-1996）表2中无组织排放监控浓度限值要求。</w:t>
                  </w:r>
                </w:p>
                <w:p w14:paraId="12E27389">
                  <w:pPr>
                    <w:pStyle w:val="51"/>
                    <w:jc w:val="both"/>
                    <w:rPr>
                      <w:color w:val="auto"/>
                      <w:szCs w:val="21"/>
                    </w:rPr>
                  </w:pPr>
                  <w:r>
                    <w:rPr>
                      <w:rFonts w:hint="eastAsia" w:ascii="宋体" w:hAnsi="宋体" w:cs="宋体"/>
                      <w:color w:val="auto"/>
                      <w:szCs w:val="21"/>
                    </w:rPr>
                    <w:t>②</w:t>
                  </w:r>
                  <w:r>
                    <w:rPr>
                      <w:color w:val="auto"/>
                      <w:szCs w:val="21"/>
                    </w:rPr>
                    <w:t>非甲烷总烃：</w:t>
                  </w:r>
                </w:p>
                <w:p w14:paraId="2608F8B6">
                  <w:pPr>
                    <w:pStyle w:val="51"/>
                    <w:jc w:val="both"/>
                    <w:rPr>
                      <w:color w:val="auto"/>
                      <w:szCs w:val="21"/>
                    </w:rPr>
                  </w:pPr>
                  <w:r>
                    <w:rPr>
                      <w:rFonts w:hint="eastAsia"/>
                      <w:color w:val="auto"/>
                      <w:szCs w:val="21"/>
                    </w:rPr>
                    <w:t>在工序上方设置集气罩（收集效率80%）+活性炭吸附（吸附效率60%）装置进行处理</w:t>
                  </w:r>
                  <w:r>
                    <w:rPr>
                      <w:color w:val="auto"/>
                      <w:szCs w:val="21"/>
                    </w:rPr>
                    <w:t>，车间应设置抽排风系统进行车间换气，有机废气通过无组织方式排至室外</w:t>
                  </w:r>
                  <w:r>
                    <w:rPr>
                      <w:rFonts w:hint="eastAsia"/>
                      <w:color w:val="auto"/>
                      <w:szCs w:val="21"/>
                      <w:lang w:eastAsia="zh-CN"/>
                    </w:rPr>
                    <w:t>。危险废物采用密闭容器包装，控制挥发性有机气体的产生。</w:t>
                  </w:r>
                  <w:r>
                    <w:rPr>
                      <w:color w:val="auto"/>
                      <w:szCs w:val="21"/>
                    </w:rPr>
                    <w:t>非甲烷总烃排放浓度执行《大气污染物综合排放标准》（GB16297-1996）非甲烷总烃无组织排放监控浓度限值，非甲烷总烃厂房外监控点处1h平均浓度值和厂房外监控点处任意一次浓度值执行《挥发性有机物无组织排放控制标准》（GB37822-2019）表A.1厂区内VOCs无组织排放限值要求。</w:t>
                  </w:r>
                </w:p>
                <w:p w14:paraId="086C37E3">
                  <w:pPr>
                    <w:pStyle w:val="51"/>
                    <w:jc w:val="both"/>
                    <w:rPr>
                      <w:rFonts w:hint="eastAsia"/>
                      <w:color w:val="auto"/>
                      <w:szCs w:val="21"/>
                      <w:lang w:val="en-US" w:eastAsia="zh-CN"/>
                    </w:rPr>
                  </w:pPr>
                  <w:r>
                    <w:rPr>
                      <w:color w:val="auto"/>
                      <w:szCs w:val="21"/>
                    </w:rPr>
                    <w:fldChar w:fldCharType="begin"/>
                  </w:r>
                  <w:r>
                    <w:rPr>
                      <w:color w:val="auto"/>
                      <w:szCs w:val="21"/>
                    </w:rPr>
                    <w:instrText xml:space="preserve"> = 3 \* GB3 \* MERGEFORMAT </w:instrText>
                  </w:r>
                  <w:r>
                    <w:rPr>
                      <w:color w:val="auto"/>
                      <w:szCs w:val="21"/>
                    </w:rPr>
                    <w:fldChar w:fldCharType="separate"/>
                  </w:r>
                  <w:r>
                    <w:rPr>
                      <w:color w:val="auto"/>
                    </w:rPr>
                    <w:t>③</w:t>
                  </w:r>
                  <w:r>
                    <w:rPr>
                      <w:color w:val="auto"/>
                      <w:szCs w:val="21"/>
                    </w:rPr>
                    <w:fldChar w:fldCharType="end"/>
                  </w:r>
                  <w:r>
                    <w:rPr>
                      <w:rFonts w:hint="eastAsia"/>
                      <w:color w:val="auto"/>
                      <w:szCs w:val="21"/>
                      <w:lang w:val="en-US" w:eastAsia="zh-CN"/>
                    </w:rPr>
                    <w:t>危废贮存库：</w:t>
                  </w:r>
                </w:p>
                <w:p w14:paraId="6C87B38B">
                  <w:pPr>
                    <w:pStyle w:val="51"/>
                    <w:jc w:val="both"/>
                    <w:rPr>
                      <w:color w:val="auto"/>
                      <w:szCs w:val="21"/>
                    </w:rPr>
                  </w:pPr>
                  <w:r>
                    <w:rPr>
                      <w:rFonts w:hint="eastAsia"/>
                      <w:color w:val="auto"/>
                      <w:szCs w:val="21"/>
                      <w:lang w:val="en-US" w:eastAsia="zh-CN"/>
                    </w:rPr>
                    <w:t>本项目危废贮存库内的危险废物产生的非甲烷总烃，采用活性炭吸附（吸附效率90%）处理后由1根15m高排气筒P1排放。非甲烷总烃排放浓度满足《大气污染物综合排放标准》（GB16297-1996）表2排放浓度限值。</w:t>
                  </w:r>
                </w:p>
              </w:tc>
              <w:tc>
                <w:tcPr>
                  <w:tcW w:w="590" w:type="pct"/>
                  <w:vAlign w:val="center"/>
                </w:tcPr>
                <w:p w14:paraId="7E21F839">
                  <w:pPr>
                    <w:pStyle w:val="51"/>
                    <w:rPr>
                      <w:color w:val="auto"/>
                      <w:szCs w:val="21"/>
                    </w:rPr>
                  </w:pPr>
                  <w:r>
                    <w:rPr>
                      <w:color w:val="auto"/>
                      <w:szCs w:val="21"/>
                    </w:rPr>
                    <w:t>新建</w:t>
                  </w:r>
                </w:p>
              </w:tc>
            </w:tr>
            <w:tr w14:paraId="003B21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Merge w:val="continue"/>
                  <w:vAlign w:val="center"/>
                </w:tcPr>
                <w:p w14:paraId="49459D75">
                  <w:pPr>
                    <w:pStyle w:val="51"/>
                    <w:rPr>
                      <w:color w:val="auto"/>
                      <w:szCs w:val="21"/>
                    </w:rPr>
                  </w:pPr>
                </w:p>
              </w:tc>
              <w:tc>
                <w:tcPr>
                  <w:tcW w:w="586" w:type="pct"/>
                  <w:vAlign w:val="center"/>
                </w:tcPr>
                <w:p w14:paraId="62070657">
                  <w:pPr>
                    <w:pStyle w:val="51"/>
                    <w:rPr>
                      <w:color w:val="auto"/>
                      <w:szCs w:val="21"/>
                    </w:rPr>
                  </w:pPr>
                  <w:r>
                    <w:rPr>
                      <w:color w:val="auto"/>
                      <w:szCs w:val="21"/>
                    </w:rPr>
                    <w:t>废水</w:t>
                  </w:r>
                </w:p>
              </w:tc>
              <w:tc>
                <w:tcPr>
                  <w:tcW w:w="3414" w:type="pct"/>
                  <w:vAlign w:val="center"/>
                </w:tcPr>
                <w:p w14:paraId="3AE2E37E">
                  <w:pPr>
                    <w:pStyle w:val="51"/>
                    <w:jc w:val="both"/>
                    <w:rPr>
                      <w:rFonts w:hint="default" w:eastAsia="宋体"/>
                      <w:color w:val="auto"/>
                      <w:lang w:val="en-US" w:eastAsia="zh-CN"/>
                    </w:rPr>
                  </w:pPr>
                  <w:r>
                    <w:rPr>
                      <w:rFonts w:hint="eastAsia"/>
                      <w:color w:val="auto"/>
                      <w:lang w:val="en-US" w:eastAsia="zh-CN"/>
                    </w:rPr>
                    <w:t>生活污水排入</w:t>
                  </w:r>
                  <w:r>
                    <w:rPr>
                      <w:rFonts w:hint="eastAsia"/>
                      <w:color w:val="auto"/>
                      <w:szCs w:val="21"/>
                      <w:lang w:val="en-US" w:eastAsia="zh-CN"/>
                    </w:rPr>
                    <w:t>防渗旱厕，定期清掏</w:t>
                  </w:r>
                  <w:r>
                    <w:rPr>
                      <w:rFonts w:hint="eastAsia"/>
                      <w:color w:val="auto"/>
                      <w:lang w:val="en-US" w:eastAsia="zh-CN"/>
                    </w:rPr>
                    <w:t>。</w:t>
                  </w:r>
                  <w:r>
                    <w:rPr>
                      <w:rFonts w:hint="eastAsia" w:ascii="宋体" w:hAnsi="宋体" w:cs="宋体"/>
                      <w:color w:val="auto"/>
                      <w:szCs w:val="21"/>
                    </w:rPr>
                    <w:t>初期雨水</w:t>
                  </w:r>
                  <w:r>
                    <w:rPr>
                      <w:color w:val="auto"/>
                    </w:rPr>
                    <w:t>经待拆车辆存放区四周排水沟汇入厂区一座</w:t>
                  </w:r>
                  <w:r>
                    <w:rPr>
                      <w:rFonts w:hint="eastAsia"/>
                      <w:color w:val="auto"/>
                      <w:lang w:val="en-US" w:eastAsia="zh-CN"/>
                    </w:rPr>
                    <w:t>8</w:t>
                  </w:r>
                  <w:r>
                    <w:rPr>
                      <w:color w:val="auto"/>
                    </w:rPr>
                    <w:t>0m</w:t>
                  </w:r>
                  <w:r>
                    <w:rPr>
                      <w:color w:val="auto"/>
                      <w:vertAlign w:val="superscript"/>
                    </w:rPr>
                    <w:t>3</w:t>
                  </w:r>
                  <w:r>
                    <w:rPr>
                      <w:color w:val="auto"/>
                    </w:rPr>
                    <w:t>初期雨水收集池内，经油水分离器隔油处理</w:t>
                  </w:r>
                  <w:r>
                    <w:rPr>
                      <w:rFonts w:hint="eastAsia"/>
                      <w:color w:val="auto"/>
                      <w:lang w:val="en-US" w:eastAsia="zh-CN"/>
                    </w:rPr>
                    <w:t>用于厂区洒扫降尘</w:t>
                  </w:r>
                  <w:r>
                    <w:rPr>
                      <w:color w:val="auto"/>
                    </w:rPr>
                    <w:t>。</w:t>
                  </w:r>
                </w:p>
              </w:tc>
              <w:tc>
                <w:tcPr>
                  <w:tcW w:w="590" w:type="pct"/>
                  <w:vAlign w:val="center"/>
                </w:tcPr>
                <w:p w14:paraId="0B35256F">
                  <w:pPr>
                    <w:pStyle w:val="51"/>
                    <w:rPr>
                      <w:color w:val="auto"/>
                      <w:szCs w:val="21"/>
                    </w:rPr>
                  </w:pPr>
                  <w:r>
                    <w:rPr>
                      <w:color w:val="auto"/>
                      <w:szCs w:val="21"/>
                    </w:rPr>
                    <w:t>新建</w:t>
                  </w:r>
                </w:p>
              </w:tc>
            </w:tr>
            <w:tr w14:paraId="1B9E4C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Merge w:val="continue"/>
                  <w:vAlign w:val="center"/>
                </w:tcPr>
                <w:p w14:paraId="4356C00D">
                  <w:pPr>
                    <w:pStyle w:val="51"/>
                    <w:rPr>
                      <w:color w:val="auto"/>
                      <w:szCs w:val="21"/>
                    </w:rPr>
                  </w:pPr>
                </w:p>
              </w:tc>
              <w:tc>
                <w:tcPr>
                  <w:tcW w:w="586" w:type="pct"/>
                  <w:vAlign w:val="center"/>
                </w:tcPr>
                <w:p w14:paraId="21D436CB">
                  <w:pPr>
                    <w:pStyle w:val="51"/>
                    <w:rPr>
                      <w:color w:val="auto"/>
                      <w:szCs w:val="21"/>
                    </w:rPr>
                  </w:pPr>
                  <w:r>
                    <w:rPr>
                      <w:color w:val="auto"/>
                      <w:szCs w:val="21"/>
                    </w:rPr>
                    <w:t>噪声</w:t>
                  </w:r>
                </w:p>
              </w:tc>
              <w:tc>
                <w:tcPr>
                  <w:tcW w:w="3414" w:type="pct"/>
                  <w:vAlign w:val="center"/>
                </w:tcPr>
                <w:p w14:paraId="1B31F138">
                  <w:pPr>
                    <w:pStyle w:val="51"/>
                    <w:jc w:val="both"/>
                    <w:rPr>
                      <w:color w:val="auto"/>
                      <w:szCs w:val="21"/>
                    </w:rPr>
                  </w:pPr>
                  <w:r>
                    <w:rPr>
                      <w:color w:val="auto"/>
                      <w:szCs w:val="21"/>
                    </w:rPr>
                    <w:t>采取选用低噪声设备，通过厂房隔声、基础减振等措施，限制噪声向外传播。生产中产生的噪声通过厂房、厂区距离衰减后对外环境影响较小，厂界噪声可满足《工业企业厂界环境噪声排放标准》（GB12348-2008）表1中2类标准要求。</w:t>
                  </w:r>
                </w:p>
              </w:tc>
              <w:tc>
                <w:tcPr>
                  <w:tcW w:w="590" w:type="pct"/>
                  <w:vAlign w:val="center"/>
                </w:tcPr>
                <w:p w14:paraId="6D1CBAB7">
                  <w:pPr>
                    <w:pStyle w:val="51"/>
                    <w:rPr>
                      <w:color w:val="auto"/>
                      <w:szCs w:val="21"/>
                    </w:rPr>
                  </w:pPr>
                  <w:r>
                    <w:rPr>
                      <w:color w:val="auto"/>
                      <w:szCs w:val="21"/>
                    </w:rPr>
                    <w:t>新建</w:t>
                  </w:r>
                </w:p>
              </w:tc>
            </w:tr>
            <w:tr w14:paraId="38BD83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Merge w:val="continue"/>
                  <w:vAlign w:val="center"/>
                </w:tcPr>
                <w:p w14:paraId="0EED7763">
                  <w:pPr>
                    <w:pStyle w:val="51"/>
                    <w:rPr>
                      <w:color w:val="auto"/>
                      <w:szCs w:val="21"/>
                    </w:rPr>
                  </w:pPr>
                </w:p>
              </w:tc>
              <w:tc>
                <w:tcPr>
                  <w:tcW w:w="586" w:type="pct"/>
                  <w:vAlign w:val="center"/>
                </w:tcPr>
                <w:p w14:paraId="4A48900C">
                  <w:pPr>
                    <w:pStyle w:val="51"/>
                    <w:rPr>
                      <w:color w:val="auto"/>
                      <w:szCs w:val="21"/>
                    </w:rPr>
                  </w:pPr>
                  <w:r>
                    <w:rPr>
                      <w:color w:val="auto"/>
                      <w:szCs w:val="21"/>
                    </w:rPr>
                    <w:t>固体</w:t>
                  </w:r>
                </w:p>
                <w:p w14:paraId="75E20091">
                  <w:pPr>
                    <w:pStyle w:val="51"/>
                    <w:rPr>
                      <w:color w:val="auto"/>
                      <w:szCs w:val="21"/>
                    </w:rPr>
                  </w:pPr>
                  <w:r>
                    <w:rPr>
                      <w:color w:val="auto"/>
                      <w:szCs w:val="21"/>
                    </w:rPr>
                    <w:t>废物</w:t>
                  </w:r>
                </w:p>
              </w:tc>
              <w:tc>
                <w:tcPr>
                  <w:tcW w:w="3414" w:type="pct"/>
                  <w:vAlign w:val="center"/>
                </w:tcPr>
                <w:p w14:paraId="4B2BFC2E">
                  <w:pPr>
                    <w:pStyle w:val="51"/>
                    <w:jc w:val="both"/>
                    <w:rPr>
                      <w:color w:val="auto"/>
                      <w:szCs w:val="21"/>
                    </w:rPr>
                  </w:pPr>
                  <w:r>
                    <w:rPr>
                      <w:color w:val="auto"/>
                      <w:szCs w:val="21"/>
                    </w:rPr>
                    <w:t>（1）生活垃圾：集中收集，</w:t>
                  </w:r>
                  <w:r>
                    <w:rPr>
                      <w:rFonts w:hint="eastAsia"/>
                      <w:color w:val="auto"/>
                      <w:szCs w:val="21"/>
                      <w:lang w:val="en-US" w:eastAsia="zh-CN"/>
                    </w:rPr>
                    <w:t>定期</w:t>
                  </w:r>
                  <w:r>
                    <w:rPr>
                      <w:color w:val="auto"/>
                      <w:szCs w:val="21"/>
                    </w:rPr>
                    <w:t>清运；</w:t>
                  </w:r>
                </w:p>
                <w:p w14:paraId="7427C6A7">
                  <w:pPr>
                    <w:pStyle w:val="51"/>
                    <w:jc w:val="both"/>
                    <w:rPr>
                      <w:color w:val="auto"/>
                      <w:szCs w:val="21"/>
                    </w:rPr>
                  </w:pPr>
                  <w:r>
                    <w:rPr>
                      <w:color w:val="auto"/>
                      <w:szCs w:val="21"/>
                    </w:rPr>
                    <w:t>（2）一般固体废物：</w:t>
                  </w:r>
                </w:p>
                <w:p w14:paraId="60055760">
                  <w:pPr>
                    <w:pStyle w:val="51"/>
                    <w:jc w:val="both"/>
                    <w:rPr>
                      <w:color w:val="auto"/>
                      <w:szCs w:val="21"/>
                    </w:rPr>
                  </w:pPr>
                  <w:r>
                    <w:rPr>
                      <w:rFonts w:hint="eastAsia" w:ascii="宋体" w:hAnsi="宋体" w:cs="宋体"/>
                      <w:color w:val="auto"/>
                      <w:szCs w:val="21"/>
                    </w:rPr>
                    <w:t>①</w:t>
                  </w:r>
                  <w:r>
                    <w:rPr>
                      <w:rFonts w:hint="eastAsia"/>
                      <w:color w:val="auto"/>
                      <w:szCs w:val="21"/>
                      <w:lang w:eastAsia="zh-CN"/>
                    </w:rPr>
                    <w:t>移动式布袋除尘器</w:t>
                  </w:r>
                  <w:r>
                    <w:rPr>
                      <w:color w:val="auto"/>
                      <w:szCs w:val="21"/>
                    </w:rPr>
                    <w:t>收尘：集中收集，外售综合利用。</w:t>
                  </w:r>
                </w:p>
                <w:p w14:paraId="31E3FCB0">
                  <w:pPr>
                    <w:pStyle w:val="51"/>
                    <w:jc w:val="both"/>
                    <w:rPr>
                      <w:rFonts w:hint="eastAsia" w:eastAsia="宋体"/>
                      <w:color w:val="auto"/>
                      <w:szCs w:val="21"/>
                      <w:lang w:val="en-US" w:eastAsia="zh-CN"/>
                    </w:rPr>
                  </w:pPr>
                  <w:r>
                    <w:rPr>
                      <w:rFonts w:hint="eastAsia" w:ascii="宋体" w:hAnsi="宋体" w:cs="宋体"/>
                      <w:color w:val="auto"/>
                      <w:szCs w:val="21"/>
                    </w:rPr>
                    <w:t>②</w:t>
                  </w:r>
                  <w:r>
                    <w:rPr>
                      <w:color w:val="auto"/>
                      <w:szCs w:val="21"/>
                    </w:rPr>
                    <w:t>拆解过程产生的一般固体废物：集中收集，外售综合利用。不能外售的与生活垃圾由市政部门统一处理。</w:t>
                  </w:r>
                  <w:r>
                    <w:rPr>
                      <w:rFonts w:hint="eastAsia"/>
                      <w:color w:val="auto"/>
                      <w:szCs w:val="21"/>
                      <w:lang w:val="en-US" w:eastAsia="zh-CN"/>
                    </w:rPr>
                    <w:t>泥土</w:t>
                  </w:r>
                  <w:r>
                    <w:rPr>
                      <w:color w:val="auto"/>
                      <w:szCs w:val="21"/>
                    </w:rPr>
                    <w:t>由市政部门统一处理。</w:t>
                  </w:r>
                </w:p>
                <w:p w14:paraId="74E6CF9A">
                  <w:pPr>
                    <w:pStyle w:val="51"/>
                    <w:jc w:val="both"/>
                    <w:rPr>
                      <w:color w:val="auto"/>
                      <w:szCs w:val="21"/>
                    </w:rPr>
                  </w:pPr>
                  <w:r>
                    <w:rPr>
                      <w:color w:val="auto"/>
                      <w:szCs w:val="21"/>
                    </w:rPr>
                    <w:t>（3）危险废物：分类暂存于</w:t>
                  </w:r>
                  <w:r>
                    <w:rPr>
                      <w:rFonts w:hint="eastAsia"/>
                      <w:color w:val="auto"/>
                      <w:szCs w:val="21"/>
                      <w:lang w:eastAsia="zh-CN"/>
                    </w:rPr>
                    <w:t>危险废物贮存库</w:t>
                  </w:r>
                  <w:r>
                    <w:rPr>
                      <w:color w:val="auto"/>
                      <w:szCs w:val="21"/>
                    </w:rPr>
                    <w:t>专用容器中，定期交由有资质单位回收处置。</w:t>
                  </w:r>
                </w:p>
              </w:tc>
              <w:tc>
                <w:tcPr>
                  <w:tcW w:w="590" w:type="pct"/>
                  <w:vAlign w:val="center"/>
                </w:tcPr>
                <w:p w14:paraId="0D360304">
                  <w:pPr>
                    <w:pStyle w:val="51"/>
                    <w:rPr>
                      <w:color w:val="auto"/>
                      <w:szCs w:val="21"/>
                    </w:rPr>
                  </w:pPr>
                  <w:r>
                    <w:rPr>
                      <w:color w:val="auto"/>
                      <w:szCs w:val="21"/>
                    </w:rPr>
                    <w:t>新建</w:t>
                  </w:r>
                </w:p>
              </w:tc>
            </w:tr>
            <w:tr w14:paraId="5D38217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Merge w:val="continue"/>
                  <w:vAlign w:val="center"/>
                </w:tcPr>
                <w:p w14:paraId="26AF6CE7">
                  <w:pPr>
                    <w:pStyle w:val="51"/>
                    <w:rPr>
                      <w:color w:val="auto"/>
                      <w:szCs w:val="21"/>
                    </w:rPr>
                  </w:pPr>
                </w:p>
              </w:tc>
              <w:tc>
                <w:tcPr>
                  <w:tcW w:w="586" w:type="pct"/>
                  <w:vAlign w:val="center"/>
                </w:tcPr>
                <w:p w14:paraId="1EBD9CCD">
                  <w:pPr>
                    <w:pStyle w:val="51"/>
                    <w:rPr>
                      <w:color w:val="auto"/>
                      <w:szCs w:val="21"/>
                    </w:rPr>
                  </w:pPr>
                  <w:r>
                    <w:rPr>
                      <w:color w:val="auto"/>
                      <w:szCs w:val="21"/>
                    </w:rPr>
                    <w:t>地下水污染防治</w:t>
                  </w:r>
                </w:p>
              </w:tc>
              <w:tc>
                <w:tcPr>
                  <w:tcW w:w="3414" w:type="pct"/>
                  <w:vAlign w:val="center"/>
                </w:tcPr>
                <w:p w14:paraId="6624DF3F">
                  <w:pPr>
                    <w:pStyle w:val="51"/>
                    <w:jc w:val="both"/>
                    <w:rPr>
                      <w:color w:val="auto"/>
                    </w:rPr>
                  </w:pPr>
                  <w:r>
                    <w:rPr>
                      <w:rFonts w:hint="eastAsia" w:ascii="宋体" w:hAnsi="宋体" w:cs="宋体"/>
                      <w:color w:val="auto"/>
                    </w:rPr>
                    <w:t>①</w:t>
                  </w:r>
                  <w:r>
                    <w:rPr>
                      <w:color w:val="auto"/>
                    </w:rPr>
                    <w:t>重点防渗区：</w:t>
                  </w:r>
                </w:p>
                <w:p w14:paraId="014FD58A">
                  <w:pPr>
                    <w:pStyle w:val="51"/>
                    <w:jc w:val="both"/>
                    <w:rPr>
                      <w:bCs/>
                      <w:color w:val="auto"/>
                    </w:rPr>
                  </w:pPr>
                  <w:r>
                    <w:rPr>
                      <w:color w:val="auto"/>
                    </w:rPr>
                    <w:t>包括</w:t>
                  </w:r>
                  <w:r>
                    <w:rPr>
                      <w:rFonts w:hint="eastAsia"/>
                      <w:color w:val="auto"/>
                      <w:lang w:eastAsia="zh-CN"/>
                    </w:rPr>
                    <w:t>危险废物贮存库</w:t>
                  </w:r>
                  <w:r>
                    <w:rPr>
                      <w:color w:val="auto"/>
                    </w:rPr>
                    <w:t>。采取抗渗钢纤维混凝土或高密度聚乙烯膜(HDPE)进行防渗，防渗技术要求达到等效黏土防渗层Mb≥6.0m，K≤1×10</w:t>
                  </w:r>
                  <w:r>
                    <w:rPr>
                      <w:color w:val="auto"/>
                      <w:vertAlign w:val="superscript"/>
                    </w:rPr>
                    <w:t>-7</w:t>
                  </w:r>
                  <w:r>
                    <w:rPr>
                      <w:color w:val="auto"/>
                    </w:rPr>
                    <w:t>cm/s的要求；</w:t>
                  </w:r>
                  <w:r>
                    <w:rPr>
                      <w:rFonts w:hint="eastAsia"/>
                      <w:color w:val="auto"/>
                      <w:lang w:eastAsia="zh-CN"/>
                    </w:rPr>
                    <w:t>危险废物贮存库</w:t>
                  </w:r>
                  <w:r>
                    <w:rPr>
                      <w:bCs/>
                      <w:color w:val="auto"/>
                    </w:rPr>
                    <w:t>建设严格按照</w:t>
                  </w:r>
                  <w:r>
                    <w:rPr>
                      <w:rFonts w:hint="eastAsia"/>
                      <w:bCs/>
                      <w:color w:val="auto"/>
                      <w:lang w:eastAsia="zh-CN"/>
                    </w:rPr>
                    <w:t>《危险废物贮存污染控制标准》（GB18597-2023）</w:t>
                  </w:r>
                  <w:r>
                    <w:rPr>
                      <w:bCs/>
                      <w:color w:val="auto"/>
                    </w:rPr>
                    <w:t>中相关规定进行设置，地面防渗、</w:t>
                  </w:r>
                  <w:r>
                    <w:rPr>
                      <w:rFonts w:hint="eastAsia"/>
                      <w:bCs/>
                      <w:color w:val="auto"/>
                      <w:lang w:eastAsia="zh-CN"/>
                    </w:rPr>
                    <w:t>裙脚</w:t>
                  </w:r>
                  <w:r>
                    <w:rPr>
                      <w:bCs/>
                      <w:color w:val="auto"/>
                    </w:rPr>
                    <w:t>防渗，防渗层为至少1米厚粘土层（渗透系数≤10</w:t>
                  </w:r>
                  <w:r>
                    <w:rPr>
                      <w:bCs/>
                      <w:color w:val="auto"/>
                      <w:vertAlign w:val="superscript"/>
                    </w:rPr>
                    <w:t>-7</w:t>
                  </w:r>
                  <w:r>
                    <w:rPr>
                      <w:bCs/>
                      <w:color w:val="auto"/>
                    </w:rPr>
                    <w:t>cm/s），或2mm厚高密度聚乙烯</w:t>
                  </w:r>
                  <w:r>
                    <w:rPr>
                      <w:rFonts w:hint="eastAsia"/>
                      <w:bCs/>
                      <w:color w:val="auto"/>
                    </w:rPr>
                    <w:t>膜等人工防渗材料</w:t>
                  </w:r>
                  <w:r>
                    <w:rPr>
                      <w:rFonts w:hint="eastAsia"/>
                      <w:bCs/>
                      <w:color w:val="auto"/>
                      <w:lang w:eastAsia="zh-CN"/>
                    </w:rPr>
                    <w:t>（</w:t>
                  </w:r>
                  <w:r>
                    <w:rPr>
                      <w:bCs/>
                      <w:color w:val="auto"/>
                    </w:rPr>
                    <w:t>渗透系数≤10</w:t>
                  </w:r>
                  <w:r>
                    <w:rPr>
                      <w:bCs/>
                      <w:color w:val="auto"/>
                      <w:vertAlign w:val="superscript"/>
                    </w:rPr>
                    <w:t>-10</w:t>
                  </w:r>
                  <w:r>
                    <w:rPr>
                      <w:bCs/>
                      <w:color w:val="auto"/>
                    </w:rPr>
                    <w:t>cm/s</w:t>
                  </w:r>
                  <w:r>
                    <w:rPr>
                      <w:rFonts w:hint="eastAsia"/>
                      <w:bCs/>
                      <w:color w:val="auto"/>
                      <w:lang w:eastAsia="zh-CN"/>
                    </w:rPr>
                    <w:t>）</w:t>
                  </w:r>
                  <w:r>
                    <w:rPr>
                      <w:bCs/>
                      <w:color w:val="auto"/>
                    </w:rPr>
                    <w:t>。</w:t>
                  </w:r>
                </w:p>
                <w:p w14:paraId="01687978">
                  <w:pPr>
                    <w:pStyle w:val="51"/>
                    <w:jc w:val="both"/>
                    <w:rPr>
                      <w:color w:val="auto"/>
                    </w:rPr>
                  </w:pPr>
                  <w:r>
                    <w:rPr>
                      <w:rFonts w:hint="eastAsia" w:ascii="宋体" w:hAnsi="宋体" w:cs="宋体"/>
                      <w:color w:val="auto"/>
                    </w:rPr>
                    <w:t>②</w:t>
                  </w:r>
                  <w:r>
                    <w:rPr>
                      <w:color w:val="auto"/>
                    </w:rPr>
                    <w:t>一般防渗区：</w:t>
                  </w:r>
                </w:p>
                <w:p w14:paraId="463054A4">
                  <w:pPr>
                    <w:pStyle w:val="51"/>
                    <w:jc w:val="both"/>
                    <w:rPr>
                      <w:color w:val="auto"/>
                    </w:rPr>
                  </w:pPr>
                  <w:r>
                    <w:rPr>
                      <w:color w:val="auto"/>
                    </w:rPr>
                    <w:t>包括拆解车间、待拆车辆贮存场地、</w:t>
                  </w:r>
                  <w:r>
                    <w:rPr>
                      <w:rFonts w:hint="eastAsia"/>
                      <w:color w:val="auto"/>
                    </w:rPr>
                    <w:t>农机拆除成品半成品及零件贮存库</w:t>
                  </w:r>
                  <w:r>
                    <w:rPr>
                      <w:color w:val="auto"/>
                    </w:rPr>
                    <w:t>和一般固废存放区。采用防渗混凝土或HDPE膜进行防渗，其防渗技术要求可满足等效黏土防渗层Mb≥1.5m，K≤1×10</w:t>
                  </w:r>
                  <w:r>
                    <w:rPr>
                      <w:color w:val="auto"/>
                      <w:vertAlign w:val="superscript"/>
                    </w:rPr>
                    <w:t>-7</w:t>
                  </w:r>
                  <w:r>
                    <w:rPr>
                      <w:color w:val="auto"/>
                    </w:rPr>
                    <w:t>cm/s的要求。</w:t>
                  </w:r>
                </w:p>
                <w:p w14:paraId="3E41FB76">
                  <w:pPr>
                    <w:pStyle w:val="51"/>
                    <w:jc w:val="both"/>
                    <w:rPr>
                      <w:color w:val="auto"/>
                    </w:rPr>
                  </w:pPr>
                  <w:r>
                    <w:rPr>
                      <w:rFonts w:hint="eastAsia" w:ascii="宋体" w:hAnsi="宋体" w:cs="宋体"/>
                      <w:color w:val="auto"/>
                    </w:rPr>
                    <w:t>③</w:t>
                  </w:r>
                  <w:r>
                    <w:rPr>
                      <w:color w:val="auto"/>
                    </w:rPr>
                    <w:t>简单防渗区：</w:t>
                  </w:r>
                </w:p>
                <w:p w14:paraId="537FF947">
                  <w:pPr>
                    <w:pStyle w:val="51"/>
                    <w:jc w:val="both"/>
                    <w:rPr>
                      <w:color w:val="auto"/>
                    </w:rPr>
                  </w:pPr>
                  <w:r>
                    <w:rPr>
                      <w:color w:val="auto"/>
                    </w:rPr>
                    <w:t>包括厂区道路</w:t>
                  </w:r>
                  <w:r>
                    <w:rPr>
                      <w:rFonts w:hint="eastAsia"/>
                      <w:color w:val="auto"/>
                      <w:lang w:eastAsia="zh-CN"/>
                    </w:rPr>
                    <w:t>、</w:t>
                  </w:r>
                  <w:r>
                    <w:rPr>
                      <w:rFonts w:hint="eastAsia"/>
                      <w:color w:val="auto"/>
                      <w:lang w:val="en-US" w:eastAsia="zh-CN"/>
                    </w:rPr>
                    <w:t>办公室</w:t>
                  </w:r>
                  <w:r>
                    <w:rPr>
                      <w:color w:val="auto"/>
                    </w:rPr>
                    <w:t>。进行一般地面水泥硬化。</w:t>
                  </w:r>
                </w:p>
              </w:tc>
              <w:tc>
                <w:tcPr>
                  <w:tcW w:w="590" w:type="pct"/>
                  <w:vAlign w:val="center"/>
                </w:tcPr>
                <w:p w14:paraId="248DA4C7">
                  <w:pPr>
                    <w:pStyle w:val="51"/>
                    <w:rPr>
                      <w:color w:val="auto"/>
                      <w:szCs w:val="21"/>
                    </w:rPr>
                  </w:pPr>
                  <w:r>
                    <w:rPr>
                      <w:color w:val="auto"/>
                      <w:szCs w:val="21"/>
                    </w:rPr>
                    <w:t>新建</w:t>
                  </w:r>
                </w:p>
              </w:tc>
            </w:tr>
            <w:tr w14:paraId="5EB5C7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408" w:type="pct"/>
                  <w:vMerge w:val="continue"/>
                  <w:vAlign w:val="center"/>
                </w:tcPr>
                <w:p w14:paraId="1AFE386F">
                  <w:pPr>
                    <w:pStyle w:val="51"/>
                    <w:rPr>
                      <w:color w:val="auto"/>
                      <w:szCs w:val="21"/>
                    </w:rPr>
                  </w:pPr>
                </w:p>
              </w:tc>
              <w:tc>
                <w:tcPr>
                  <w:tcW w:w="586" w:type="pct"/>
                  <w:vAlign w:val="center"/>
                </w:tcPr>
                <w:p w14:paraId="51CD19D1">
                  <w:pPr>
                    <w:pStyle w:val="51"/>
                    <w:rPr>
                      <w:color w:val="auto"/>
                      <w:szCs w:val="21"/>
                    </w:rPr>
                  </w:pPr>
                  <w:r>
                    <w:rPr>
                      <w:color w:val="auto"/>
                      <w:szCs w:val="21"/>
                    </w:rPr>
                    <w:t>环境</w:t>
                  </w:r>
                </w:p>
                <w:p w14:paraId="61D42937">
                  <w:pPr>
                    <w:pStyle w:val="51"/>
                    <w:rPr>
                      <w:color w:val="auto"/>
                      <w:szCs w:val="21"/>
                    </w:rPr>
                  </w:pPr>
                  <w:r>
                    <w:rPr>
                      <w:color w:val="auto"/>
                      <w:szCs w:val="21"/>
                    </w:rPr>
                    <w:t>风险</w:t>
                  </w:r>
                </w:p>
              </w:tc>
              <w:tc>
                <w:tcPr>
                  <w:tcW w:w="3414" w:type="pct"/>
                  <w:vAlign w:val="center"/>
                </w:tcPr>
                <w:p w14:paraId="0EC4C66E">
                  <w:pPr>
                    <w:pStyle w:val="51"/>
                    <w:jc w:val="both"/>
                    <w:rPr>
                      <w:color w:val="auto"/>
                    </w:rPr>
                  </w:pPr>
                  <w:r>
                    <w:rPr>
                      <w:color w:val="auto"/>
                      <w:szCs w:val="21"/>
                    </w:rPr>
                    <w:t>按照相关规范要求安装火灾自动报警系统、灭火系统。</w:t>
                  </w:r>
                </w:p>
              </w:tc>
              <w:tc>
                <w:tcPr>
                  <w:tcW w:w="590" w:type="pct"/>
                  <w:vAlign w:val="center"/>
                </w:tcPr>
                <w:p w14:paraId="1B79EA1E">
                  <w:pPr>
                    <w:pStyle w:val="51"/>
                    <w:rPr>
                      <w:color w:val="auto"/>
                      <w:szCs w:val="21"/>
                    </w:rPr>
                  </w:pPr>
                  <w:r>
                    <w:rPr>
                      <w:color w:val="auto"/>
                      <w:szCs w:val="21"/>
                    </w:rPr>
                    <w:t>新建</w:t>
                  </w:r>
                </w:p>
              </w:tc>
            </w:tr>
          </w:tbl>
          <w:p w14:paraId="1731BCA3">
            <w:pPr>
              <w:pStyle w:val="84"/>
              <w:rPr>
                <w:color w:val="auto"/>
              </w:rPr>
            </w:pPr>
            <w:r>
              <w:rPr>
                <w:color w:val="auto"/>
              </w:rPr>
              <w:t>二、原辅材料用量</w:t>
            </w:r>
          </w:p>
          <w:p w14:paraId="17BF8753">
            <w:pPr>
              <w:pStyle w:val="77"/>
              <w:rPr>
                <w:color w:val="auto"/>
              </w:rPr>
            </w:pPr>
            <w:r>
              <w:rPr>
                <w:color w:val="auto"/>
              </w:rPr>
              <w:t>本项目年拆解报废农业机械</w:t>
            </w:r>
            <w:r>
              <w:rPr>
                <w:rFonts w:hint="eastAsia"/>
                <w:color w:val="auto"/>
                <w:lang w:val="en-US" w:eastAsia="zh-CN"/>
              </w:rPr>
              <w:t>10000辆</w:t>
            </w:r>
            <w:r>
              <w:rPr>
                <w:color w:val="auto"/>
              </w:rPr>
              <w:t>，</w:t>
            </w:r>
            <w:r>
              <w:rPr>
                <w:rFonts w:hint="eastAsia"/>
                <w:color w:val="auto"/>
              </w:rPr>
              <w:t>报废农业机械主要为拖拉机和联合收割机等，</w:t>
            </w:r>
            <w:r>
              <w:rPr>
                <w:color w:val="auto"/>
              </w:rPr>
              <w:t>不涉及特种汽车（油罐车、消防车、危险品运输车等）车辆的拆解。</w:t>
            </w:r>
          </w:p>
          <w:p w14:paraId="2FA5B4B7">
            <w:pPr>
              <w:pStyle w:val="78"/>
              <w:rPr>
                <w:color w:val="auto"/>
              </w:rPr>
            </w:pPr>
            <w:r>
              <w:rPr>
                <w:color w:val="auto"/>
              </w:rPr>
              <w:t>表2-3 本项目原辅材料一览表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1577"/>
              <w:gridCol w:w="1693"/>
              <w:gridCol w:w="1850"/>
              <w:gridCol w:w="2230"/>
            </w:tblGrid>
            <w:tr w14:paraId="34C37AB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5" w:hRule="atLeast"/>
                <w:jc w:val="center"/>
              </w:trPr>
              <w:tc>
                <w:tcPr>
                  <w:tcW w:w="823" w:type="dxa"/>
                  <w:vAlign w:val="center"/>
                </w:tcPr>
                <w:p w14:paraId="2868B293">
                  <w:pPr>
                    <w:pStyle w:val="51"/>
                    <w:rPr>
                      <w:color w:val="auto"/>
                    </w:rPr>
                  </w:pPr>
                  <w:r>
                    <w:rPr>
                      <w:color w:val="auto"/>
                    </w:rPr>
                    <w:t>序号</w:t>
                  </w:r>
                </w:p>
              </w:tc>
              <w:tc>
                <w:tcPr>
                  <w:tcW w:w="1577" w:type="dxa"/>
                  <w:vAlign w:val="center"/>
                </w:tcPr>
                <w:p w14:paraId="0F9DDE41">
                  <w:pPr>
                    <w:pStyle w:val="51"/>
                    <w:rPr>
                      <w:color w:val="auto"/>
                    </w:rPr>
                  </w:pPr>
                  <w:r>
                    <w:rPr>
                      <w:color w:val="auto"/>
                    </w:rPr>
                    <w:t>原辅料名称</w:t>
                  </w:r>
                </w:p>
              </w:tc>
              <w:tc>
                <w:tcPr>
                  <w:tcW w:w="1693" w:type="dxa"/>
                  <w:vAlign w:val="center"/>
                </w:tcPr>
                <w:p w14:paraId="5CDFA33A">
                  <w:pPr>
                    <w:pStyle w:val="51"/>
                    <w:rPr>
                      <w:color w:val="auto"/>
                    </w:rPr>
                  </w:pPr>
                  <w:r>
                    <w:rPr>
                      <w:color w:val="auto"/>
                    </w:rPr>
                    <w:t>数量（辆/a）</w:t>
                  </w:r>
                </w:p>
              </w:tc>
              <w:tc>
                <w:tcPr>
                  <w:tcW w:w="1850" w:type="dxa"/>
                  <w:vAlign w:val="center"/>
                </w:tcPr>
                <w:p w14:paraId="3BDE0E36">
                  <w:pPr>
                    <w:pStyle w:val="51"/>
                    <w:rPr>
                      <w:color w:val="auto"/>
                    </w:rPr>
                  </w:pPr>
                  <w:r>
                    <w:rPr>
                      <w:color w:val="auto"/>
                    </w:rPr>
                    <w:t>拆解量（t/a）</w:t>
                  </w:r>
                </w:p>
              </w:tc>
              <w:tc>
                <w:tcPr>
                  <w:tcW w:w="2230" w:type="dxa"/>
                  <w:vAlign w:val="center"/>
                </w:tcPr>
                <w:p w14:paraId="527E112B">
                  <w:pPr>
                    <w:pStyle w:val="51"/>
                    <w:rPr>
                      <w:color w:val="auto"/>
                    </w:rPr>
                  </w:pPr>
                  <w:r>
                    <w:rPr>
                      <w:color w:val="auto"/>
                    </w:rPr>
                    <w:t>备注</w:t>
                  </w:r>
                </w:p>
              </w:tc>
            </w:tr>
            <w:tr w14:paraId="5F1C37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90" w:hRule="atLeast"/>
                <w:jc w:val="center"/>
              </w:trPr>
              <w:tc>
                <w:tcPr>
                  <w:tcW w:w="823" w:type="dxa"/>
                  <w:tcBorders>
                    <w:bottom w:val="single" w:color="auto" w:sz="4" w:space="0"/>
                  </w:tcBorders>
                  <w:vAlign w:val="center"/>
                </w:tcPr>
                <w:p w14:paraId="25F3F2C8">
                  <w:pPr>
                    <w:pStyle w:val="51"/>
                    <w:rPr>
                      <w:color w:val="auto"/>
                    </w:rPr>
                  </w:pPr>
                  <w:r>
                    <w:rPr>
                      <w:color w:val="auto"/>
                    </w:rPr>
                    <w:t>1</w:t>
                  </w:r>
                </w:p>
              </w:tc>
              <w:tc>
                <w:tcPr>
                  <w:tcW w:w="1577" w:type="dxa"/>
                  <w:tcBorders>
                    <w:bottom w:val="single" w:color="auto" w:sz="4" w:space="0"/>
                  </w:tcBorders>
                  <w:vAlign w:val="center"/>
                </w:tcPr>
                <w:p w14:paraId="1ADAA790">
                  <w:pPr>
                    <w:pStyle w:val="51"/>
                    <w:rPr>
                      <w:color w:val="auto"/>
                    </w:rPr>
                  </w:pPr>
                  <w:r>
                    <w:rPr>
                      <w:color w:val="auto"/>
                    </w:rPr>
                    <w:t>报废</w:t>
                  </w:r>
                  <w:r>
                    <w:rPr>
                      <w:rFonts w:hint="eastAsia"/>
                      <w:color w:val="auto"/>
                    </w:rPr>
                    <w:t>农业机械</w:t>
                  </w:r>
                </w:p>
              </w:tc>
              <w:tc>
                <w:tcPr>
                  <w:tcW w:w="1693" w:type="dxa"/>
                  <w:tcBorders>
                    <w:bottom w:val="single" w:color="auto" w:sz="4" w:space="0"/>
                  </w:tcBorders>
                  <w:vAlign w:val="center"/>
                </w:tcPr>
                <w:p w14:paraId="09697C47">
                  <w:pPr>
                    <w:pStyle w:val="51"/>
                    <w:rPr>
                      <w:rFonts w:hint="default"/>
                      <w:color w:val="auto"/>
                      <w:lang w:val="en-US"/>
                    </w:rPr>
                  </w:pPr>
                  <w:r>
                    <w:rPr>
                      <w:rFonts w:hint="eastAsia"/>
                      <w:color w:val="auto"/>
                      <w:lang w:val="en-US" w:eastAsia="zh-CN"/>
                    </w:rPr>
                    <w:t>10000</w:t>
                  </w:r>
                </w:p>
              </w:tc>
              <w:tc>
                <w:tcPr>
                  <w:tcW w:w="1850" w:type="dxa"/>
                  <w:tcBorders>
                    <w:bottom w:val="single" w:color="auto" w:sz="4" w:space="0"/>
                  </w:tcBorders>
                  <w:vAlign w:val="center"/>
                </w:tcPr>
                <w:p w14:paraId="0AC4C384">
                  <w:pPr>
                    <w:pStyle w:val="51"/>
                    <w:rPr>
                      <w:rFonts w:hint="eastAsia" w:eastAsia="宋体"/>
                      <w:color w:val="auto"/>
                      <w:lang w:val="en-US" w:eastAsia="zh-CN"/>
                    </w:rPr>
                  </w:pPr>
                  <w:r>
                    <w:rPr>
                      <w:rFonts w:hint="eastAsia"/>
                      <w:color w:val="auto"/>
                      <w:lang w:val="en-US" w:eastAsia="zh-CN"/>
                    </w:rPr>
                    <w:t>30</w:t>
                  </w:r>
                  <w:r>
                    <w:rPr>
                      <w:color w:val="auto"/>
                    </w:rPr>
                    <w:t>00</w:t>
                  </w:r>
                  <w:r>
                    <w:rPr>
                      <w:rFonts w:hint="eastAsia"/>
                      <w:color w:val="auto"/>
                      <w:lang w:val="en-US" w:eastAsia="zh-CN"/>
                    </w:rPr>
                    <w:t>0</w:t>
                  </w:r>
                </w:p>
              </w:tc>
              <w:tc>
                <w:tcPr>
                  <w:tcW w:w="2230" w:type="dxa"/>
                  <w:tcBorders>
                    <w:bottom w:val="single" w:color="auto" w:sz="4" w:space="0"/>
                  </w:tcBorders>
                  <w:vAlign w:val="center"/>
                </w:tcPr>
                <w:p w14:paraId="71D669F3">
                  <w:pPr>
                    <w:pStyle w:val="51"/>
                    <w:rPr>
                      <w:color w:val="auto"/>
                    </w:rPr>
                  </w:pPr>
                  <w:r>
                    <w:rPr>
                      <w:color w:val="auto"/>
                      <w:kern w:val="0"/>
                      <w:szCs w:val="21"/>
                    </w:rPr>
                    <w:t>3t/辆，</w:t>
                  </w:r>
                  <w:r>
                    <w:rPr>
                      <w:color w:val="auto"/>
                    </w:rPr>
                    <w:t>外购</w:t>
                  </w:r>
                </w:p>
              </w:tc>
            </w:tr>
          </w:tbl>
          <w:p w14:paraId="2643FD4C">
            <w:pPr>
              <w:pStyle w:val="84"/>
              <w:rPr>
                <w:color w:val="auto"/>
              </w:rPr>
            </w:pPr>
            <w:r>
              <w:rPr>
                <w:color w:val="auto"/>
              </w:rPr>
              <w:t>三、产品方案</w:t>
            </w:r>
          </w:p>
          <w:p w14:paraId="321FB5D8">
            <w:pPr>
              <w:pStyle w:val="77"/>
              <w:rPr>
                <w:snapToGrid w:val="0"/>
                <w:color w:val="auto"/>
              </w:rPr>
            </w:pPr>
            <w:r>
              <w:rPr>
                <w:snapToGrid w:val="0"/>
                <w:color w:val="auto"/>
              </w:rPr>
              <w:t>本项目产品为报废</w:t>
            </w:r>
            <w:r>
              <w:rPr>
                <w:snapToGrid w:val="0"/>
                <w:color w:val="auto"/>
                <w:szCs w:val="21"/>
              </w:rPr>
              <w:t>农用机械</w:t>
            </w:r>
            <w:r>
              <w:rPr>
                <w:snapToGrid w:val="0"/>
                <w:color w:val="auto"/>
              </w:rPr>
              <w:t>拆解下来的各种可回收利用物品和零部件，包括废钢铁、废有色金属、废塑料、废玻璃、废橡胶等，根据行业相关资料，报废</w:t>
            </w:r>
            <w:r>
              <w:rPr>
                <w:snapToGrid w:val="0"/>
                <w:color w:val="auto"/>
                <w:szCs w:val="21"/>
              </w:rPr>
              <w:t>农用机械</w:t>
            </w:r>
            <w:r>
              <w:rPr>
                <w:snapToGrid w:val="0"/>
                <w:color w:val="auto"/>
              </w:rPr>
              <w:t>拆解产物种类及产量见下表。</w:t>
            </w:r>
          </w:p>
          <w:p w14:paraId="0ABFF74E">
            <w:pPr>
              <w:pStyle w:val="58"/>
              <w:rPr>
                <w:color w:val="auto"/>
              </w:rPr>
            </w:pPr>
            <w:r>
              <w:rPr>
                <w:color w:val="auto"/>
              </w:rPr>
              <w:object>
                <v:shape id="_x0000_i1025" o:spt="75" type="#_x0000_t75" style="height:624.75pt;width:333.75pt;" o:ole="t" filled="f" o:preferrelative="t" stroked="f" coordsize="21600,21600">
                  <v:path/>
                  <v:fill on="f" focussize="0,0"/>
                  <v:stroke on="f"/>
                  <v:imagedata r:id="rId14" o:title=""/>
                  <o:lock v:ext="edit" aspectratio="f"/>
                  <w10:wrap type="none"/>
                  <w10:anchorlock/>
                </v:shape>
                <o:OLEObject Type="Embed" ProgID="Visio.Drawing.15" ShapeID="_x0000_i1025" DrawAspect="Content" ObjectID="_1468075725" r:id="rId13">
                  <o:LockedField>false</o:LockedField>
                </o:OLEObject>
              </w:object>
            </w:r>
          </w:p>
          <w:p w14:paraId="0214E19A">
            <w:pPr>
              <w:pStyle w:val="78"/>
              <w:rPr>
                <w:rFonts w:hint="eastAsia" w:eastAsia="宋体"/>
                <w:color w:val="auto"/>
                <w:lang w:eastAsia="zh-CN"/>
              </w:rPr>
            </w:pPr>
            <w:r>
              <w:rPr>
                <w:rFonts w:hint="eastAsia"/>
                <w:color w:val="auto"/>
              </w:rPr>
              <w:t>图2</w:t>
            </w:r>
            <w:r>
              <w:rPr>
                <w:color w:val="auto"/>
              </w:rPr>
              <w:t xml:space="preserve">-1 </w:t>
            </w:r>
            <w:r>
              <w:rPr>
                <w:rFonts w:hint="eastAsia"/>
                <w:color w:val="auto"/>
              </w:rPr>
              <w:t>物料平衡图</w:t>
            </w:r>
            <w:r>
              <w:rPr>
                <w:rFonts w:hint="eastAsia"/>
                <w:color w:val="auto"/>
                <w:lang w:eastAsia="zh-CN"/>
              </w:rPr>
              <w:t>（</w:t>
            </w:r>
            <w:r>
              <w:rPr>
                <w:rFonts w:hint="eastAsia"/>
                <w:color w:val="auto"/>
                <w:lang w:val="en-US" w:eastAsia="zh-CN"/>
              </w:rPr>
              <w:t>t/a</w:t>
            </w:r>
            <w:r>
              <w:rPr>
                <w:rFonts w:hint="eastAsia"/>
                <w:color w:val="auto"/>
                <w:lang w:eastAsia="zh-CN"/>
              </w:rPr>
              <w:t>）</w:t>
            </w:r>
          </w:p>
          <w:p w14:paraId="451C9892">
            <w:pPr>
              <w:pStyle w:val="78"/>
              <w:rPr>
                <w:color w:val="auto"/>
              </w:rPr>
            </w:pPr>
            <w:r>
              <w:rPr>
                <w:color w:val="auto"/>
              </w:rPr>
              <w:t>表2-4 拆解物品产生量一览表</w:t>
            </w:r>
          </w:p>
          <w:tbl>
            <w:tblPr>
              <w:tblStyle w:val="20"/>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41"/>
              <w:gridCol w:w="2114"/>
              <w:gridCol w:w="1089"/>
              <w:gridCol w:w="1324"/>
              <w:gridCol w:w="2905"/>
            </w:tblGrid>
            <w:tr w14:paraId="2B84299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14:paraId="2945BB29">
                  <w:pPr>
                    <w:adjustRightInd w:val="0"/>
                    <w:snapToGrid w:val="0"/>
                    <w:jc w:val="center"/>
                    <w:rPr>
                      <w:bCs/>
                      <w:color w:val="auto"/>
                      <w:szCs w:val="21"/>
                    </w:rPr>
                  </w:pPr>
                  <w:r>
                    <w:rPr>
                      <w:bCs/>
                      <w:color w:val="auto"/>
                      <w:szCs w:val="21"/>
                    </w:rPr>
                    <w:t>序号</w:t>
                  </w:r>
                </w:p>
              </w:tc>
              <w:tc>
                <w:tcPr>
                  <w:tcW w:w="1914" w:type="dxa"/>
                  <w:vAlign w:val="center"/>
                </w:tcPr>
                <w:p w14:paraId="48DC6040">
                  <w:pPr>
                    <w:adjustRightInd w:val="0"/>
                    <w:snapToGrid w:val="0"/>
                    <w:jc w:val="center"/>
                    <w:rPr>
                      <w:bCs/>
                      <w:color w:val="auto"/>
                      <w:szCs w:val="21"/>
                    </w:rPr>
                  </w:pPr>
                  <w:r>
                    <w:rPr>
                      <w:bCs/>
                      <w:color w:val="auto"/>
                      <w:szCs w:val="21"/>
                    </w:rPr>
                    <w:t>名称</w:t>
                  </w:r>
                </w:p>
              </w:tc>
              <w:tc>
                <w:tcPr>
                  <w:tcW w:w="986" w:type="dxa"/>
                  <w:vAlign w:val="center"/>
                </w:tcPr>
                <w:p w14:paraId="36884C3D">
                  <w:pPr>
                    <w:adjustRightInd w:val="0"/>
                    <w:snapToGrid w:val="0"/>
                    <w:jc w:val="center"/>
                    <w:rPr>
                      <w:bCs/>
                      <w:color w:val="auto"/>
                      <w:szCs w:val="21"/>
                    </w:rPr>
                  </w:pPr>
                  <w:r>
                    <w:rPr>
                      <w:bCs/>
                      <w:color w:val="auto"/>
                      <w:szCs w:val="21"/>
                    </w:rPr>
                    <w:t>比例（%）</w:t>
                  </w:r>
                </w:p>
              </w:tc>
              <w:tc>
                <w:tcPr>
                  <w:tcW w:w="1199" w:type="dxa"/>
                  <w:vAlign w:val="center"/>
                </w:tcPr>
                <w:p w14:paraId="5684D097">
                  <w:pPr>
                    <w:adjustRightInd w:val="0"/>
                    <w:snapToGrid w:val="0"/>
                    <w:jc w:val="center"/>
                    <w:rPr>
                      <w:bCs/>
                      <w:color w:val="auto"/>
                      <w:szCs w:val="21"/>
                    </w:rPr>
                  </w:pPr>
                  <w:r>
                    <w:rPr>
                      <w:bCs/>
                      <w:color w:val="auto"/>
                      <w:szCs w:val="21"/>
                    </w:rPr>
                    <w:t>数量（t/a）</w:t>
                  </w:r>
                </w:p>
              </w:tc>
              <w:tc>
                <w:tcPr>
                  <w:tcW w:w="2630" w:type="dxa"/>
                  <w:vAlign w:val="center"/>
                </w:tcPr>
                <w:p w14:paraId="56F9BC01">
                  <w:pPr>
                    <w:adjustRightInd w:val="0"/>
                    <w:snapToGrid w:val="0"/>
                    <w:jc w:val="center"/>
                    <w:rPr>
                      <w:bCs/>
                      <w:color w:val="auto"/>
                      <w:szCs w:val="21"/>
                    </w:rPr>
                  </w:pPr>
                  <w:r>
                    <w:rPr>
                      <w:bCs/>
                      <w:color w:val="auto"/>
                      <w:szCs w:val="21"/>
                    </w:rPr>
                    <w:t>备注</w:t>
                  </w:r>
                </w:p>
              </w:tc>
            </w:tr>
            <w:tr w14:paraId="6BA4413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7400" w:type="dxa"/>
                  <w:gridSpan w:val="5"/>
                  <w:vAlign w:val="center"/>
                </w:tcPr>
                <w:p w14:paraId="7DB0C6DF">
                  <w:pPr>
                    <w:adjustRightInd w:val="0"/>
                    <w:snapToGrid w:val="0"/>
                    <w:jc w:val="left"/>
                    <w:rPr>
                      <w:b/>
                      <w:color w:val="auto"/>
                      <w:szCs w:val="21"/>
                    </w:rPr>
                  </w:pPr>
                  <w:r>
                    <w:rPr>
                      <w:b/>
                      <w:color w:val="auto"/>
                      <w:szCs w:val="21"/>
                    </w:rPr>
                    <w:t>一、拆解产品（可回收利用）</w:t>
                  </w:r>
                </w:p>
              </w:tc>
            </w:tr>
            <w:tr w14:paraId="6AE931B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14:paraId="0A59DA5E">
                  <w:pPr>
                    <w:adjustRightInd w:val="0"/>
                    <w:snapToGrid w:val="0"/>
                    <w:jc w:val="center"/>
                    <w:rPr>
                      <w:bCs/>
                      <w:color w:val="auto"/>
                      <w:szCs w:val="21"/>
                    </w:rPr>
                  </w:pPr>
                  <w:r>
                    <w:rPr>
                      <w:bCs/>
                      <w:color w:val="auto"/>
                      <w:szCs w:val="21"/>
                    </w:rPr>
                    <w:t>1</w:t>
                  </w:r>
                </w:p>
              </w:tc>
              <w:tc>
                <w:tcPr>
                  <w:tcW w:w="1914" w:type="dxa"/>
                  <w:vAlign w:val="center"/>
                </w:tcPr>
                <w:p w14:paraId="09F25F42">
                  <w:pPr>
                    <w:adjustRightInd w:val="0"/>
                    <w:snapToGrid w:val="0"/>
                    <w:jc w:val="center"/>
                    <w:rPr>
                      <w:bCs/>
                      <w:color w:val="auto"/>
                      <w:szCs w:val="21"/>
                    </w:rPr>
                  </w:pPr>
                  <w:r>
                    <w:rPr>
                      <w:bCs/>
                      <w:color w:val="auto"/>
                      <w:szCs w:val="21"/>
                    </w:rPr>
                    <w:t>废钢铁</w:t>
                  </w:r>
                </w:p>
              </w:tc>
              <w:tc>
                <w:tcPr>
                  <w:tcW w:w="986" w:type="dxa"/>
                  <w:vAlign w:val="center"/>
                </w:tcPr>
                <w:p w14:paraId="5ADD0C33">
                  <w:pPr>
                    <w:adjustRightInd w:val="0"/>
                    <w:snapToGrid w:val="0"/>
                    <w:jc w:val="center"/>
                    <w:rPr>
                      <w:bCs/>
                      <w:color w:val="auto"/>
                      <w:szCs w:val="21"/>
                    </w:rPr>
                  </w:pPr>
                  <w:r>
                    <w:rPr>
                      <w:bCs/>
                      <w:color w:val="auto"/>
                      <w:szCs w:val="21"/>
                    </w:rPr>
                    <w:t>65.98</w:t>
                  </w:r>
                </w:p>
              </w:tc>
              <w:tc>
                <w:tcPr>
                  <w:tcW w:w="1199" w:type="dxa"/>
                  <w:vAlign w:val="center"/>
                </w:tcPr>
                <w:p w14:paraId="4914EC78">
                  <w:pPr>
                    <w:adjustRightInd w:val="0"/>
                    <w:snapToGrid w:val="0"/>
                    <w:jc w:val="center"/>
                    <w:rPr>
                      <w:rFonts w:hint="default"/>
                      <w:bCs/>
                      <w:color w:val="auto"/>
                      <w:szCs w:val="21"/>
                      <w:lang w:val="en-US" w:eastAsia="zh-CN"/>
                    </w:rPr>
                  </w:pPr>
                  <w:r>
                    <w:rPr>
                      <w:rFonts w:hint="eastAsia"/>
                      <w:bCs/>
                      <w:color w:val="auto"/>
                      <w:szCs w:val="21"/>
                      <w:lang w:val="en-US" w:eastAsia="zh-CN"/>
                    </w:rPr>
                    <w:t>19794</w:t>
                  </w:r>
                </w:p>
              </w:tc>
              <w:tc>
                <w:tcPr>
                  <w:tcW w:w="2630" w:type="dxa"/>
                  <w:vAlign w:val="center"/>
                </w:tcPr>
                <w:p w14:paraId="639A1C30">
                  <w:pPr>
                    <w:adjustRightInd w:val="0"/>
                    <w:snapToGrid w:val="0"/>
                    <w:jc w:val="center"/>
                    <w:rPr>
                      <w:b/>
                      <w:color w:val="auto"/>
                      <w:szCs w:val="21"/>
                    </w:rPr>
                  </w:pPr>
                  <w:r>
                    <w:rPr>
                      <w:b/>
                      <w:color w:val="auto"/>
                      <w:szCs w:val="21"/>
                    </w:rPr>
                    <w:t>/</w:t>
                  </w:r>
                </w:p>
              </w:tc>
            </w:tr>
            <w:tr w14:paraId="178D47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14:paraId="4BE3557C">
                  <w:pPr>
                    <w:adjustRightInd w:val="0"/>
                    <w:snapToGrid w:val="0"/>
                    <w:jc w:val="center"/>
                    <w:rPr>
                      <w:bCs/>
                      <w:color w:val="auto"/>
                      <w:szCs w:val="21"/>
                    </w:rPr>
                  </w:pPr>
                  <w:r>
                    <w:rPr>
                      <w:bCs/>
                      <w:color w:val="auto"/>
                      <w:szCs w:val="21"/>
                    </w:rPr>
                    <w:t>2</w:t>
                  </w:r>
                </w:p>
              </w:tc>
              <w:tc>
                <w:tcPr>
                  <w:tcW w:w="1914" w:type="dxa"/>
                  <w:vAlign w:val="center"/>
                </w:tcPr>
                <w:p w14:paraId="075B70C6">
                  <w:pPr>
                    <w:adjustRightInd w:val="0"/>
                    <w:snapToGrid w:val="0"/>
                    <w:jc w:val="center"/>
                    <w:rPr>
                      <w:bCs/>
                      <w:color w:val="auto"/>
                      <w:szCs w:val="21"/>
                    </w:rPr>
                  </w:pPr>
                  <w:r>
                    <w:rPr>
                      <w:bCs/>
                      <w:color w:val="auto"/>
                      <w:szCs w:val="21"/>
                    </w:rPr>
                    <w:t>废有色金属</w:t>
                  </w:r>
                </w:p>
              </w:tc>
              <w:tc>
                <w:tcPr>
                  <w:tcW w:w="986" w:type="dxa"/>
                  <w:vAlign w:val="center"/>
                </w:tcPr>
                <w:p w14:paraId="405FE276">
                  <w:pPr>
                    <w:adjustRightInd w:val="0"/>
                    <w:snapToGrid w:val="0"/>
                    <w:jc w:val="center"/>
                    <w:rPr>
                      <w:bCs/>
                      <w:color w:val="auto"/>
                      <w:szCs w:val="21"/>
                    </w:rPr>
                  </w:pPr>
                  <w:r>
                    <w:rPr>
                      <w:bCs/>
                      <w:color w:val="auto"/>
                      <w:szCs w:val="21"/>
                    </w:rPr>
                    <w:t>10</w:t>
                  </w:r>
                </w:p>
              </w:tc>
              <w:tc>
                <w:tcPr>
                  <w:tcW w:w="1199" w:type="dxa"/>
                  <w:vAlign w:val="center"/>
                </w:tcPr>
                <w:p w14:paraId="1D5B5B36">
                  <w:pPr>
                    <w:adjustRightInd w:val="0"/>
                    <w:snapToGrid w:val="0"/>
                    <w:jc w:val="center"/>
                    <w:rPr>
                      <w:rFonts w:hint="default"/>
                      <w:bCs/>
                      <w:color w:val="auto"/>
                      <w:szCs w:val="21"/>
                      <w:lang w:val="en-US" w:eastAsia="zh-CN"/>
                    </w:rPr>
                  </w:pPr>
                  <w:r>
                    <w:rPr>
                      <w:rFonts w:hint="eastAsia"/>
                      <w:bCs/>
                      <w:color w:val="auto"/>
                      <w:szCs w:val="21"/>
                      <w:lang w:val="en-US" w:eastAsia="zh-CN"/>
                    </w:rPr>
                    <w:t>3000</w:t>
                  </w:r>
                </w:p>
              </w:tc>
              <w:tc>
                <w:tcPr>
                  <w:tcW w:w="2630" w:type="dxa"/>
                  <w:vAlign w:val="center"/>
                </w:tcPr>
                <w:p w14:paraId="0CBC97D4">
                  <w:pPr>
                    <w:adjustRightInd w:val="0"/>
                    <w:snapToGrid w:val="0"/>
                    <w:rPr>
                      <w:bCs/>
                      <w:color w:val="auto"/>
                      <w:szCs w:val="21"/>
                    </w:rPr>
                  </w:pPr>
                  <w:r>
                    <w:rPr>
                      <w:bCs/>
                      <w:color w:val="auto"/>
                      <w:szCs w:val="21"/>
                    </w:rPr>
                    <w:t>铝71%、铜21%、镁0.3%、钛0.13%、其他7.57%</w:t>
                  </w:r>
                </w:p>
              </w:tc>
            </w:tr>
            <w:tr w14:paraId="6E725E3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14:paraId="3926A9A1">
                  <w:pPr>
                    <w:adjustRightInd w:val="0"/>
                    <w:snapToGrid w:val="0"/>
                    <w:jc w:val="center"/>
                    <w:rPr>
                      <w:bCs/>
                      <w:color w:val="auto"/>
                      <w:szCs w:val="21"/>
                    </w:rPr>
                  </w:pPr>
                  <w:r>
                    <w:rPr>
                      <w:bCs/>
                      <w:color w:val="auto"/>
                      <w:szCs w:val="21"/>
                    </w:rPr>
                    <w:t>3</w:t>
                  </w:r>
                </w:p>
              </w:tc>
              <w:tc>
                <w:tcPr>
                  <w:tcW w:w="1914" w:type="dxa"/>
                  <w:vAlign w:val="center"/>
                </w:tcPr>
                <w:p w14:paraId="63D618FF">
                  <w:pPr>
                    <w:adjustRightInd w:val="0"/>
                    <w:snapToGrid w:val="0"/>
                    <w:jc w:val="center"/>
                    <w:rPr>
                      <w:bCs/>
                      <w:color w:val="auto"/>
                      <w:szCs w:val="21"/>
                    </w:rPr>
                  </w:pPr>
                  <w:r>
                    <w:rPr>
                      <w:bCs/>
                      <w:color w:val="auto"/>
                      <w:szCs w:val="21"/>
                    </w:rPr>
                    <w:t>废塑料</w:t>
                  </w:r>
                </w:p>
              </w:tc>
              <w:tc>
                <w:tcPr>
                  <w:tcW w:w="986" w:type="dxa"/>
                  <w:vAlign w:val="center"/>
                </w:tcPr>
                <w:p w14:paraId="2CA9B5DE">
                  <w:pPr>
                    <w:adjustRightInd w:val="0"/>
                    <w:snapToGrid w:val="0"/>
                    <w:jc w:val="center"/>
                    <w:rPr>
                      <w:bCs/>
                      <w:color w:val="auto"/>
                      <w:szCs w:val="21"/>
                    </w:rPr>
                  </w:pPr>
                  <w:r>
                    <w:rPr>
                      <w:bCs/>
                      <w:color w:val="auto"/>
                      <w:szCs w:val="21"/>
                    </w:rPr>
                    <w:t>8</w:t>
                  </w:r>
                </w:p>
              </w:tc>
              <w:tc>
                <w:tcPr>
                  <w:tcW w:w="1199" w:type="dxa"/>
                  <w:vAlign w:val="center"/>
                </w:tcPr>
                <w:p w14:paraId="1DD2D5C9">
                  <w:pPr>
                    <w:adjustRightInd w:val="0"/>
                    <w:snapToGrid w:val="0"/>
                    <w:jc w:val="center"/>
                    <w:rPr>
                      <w:rFonts w:hint="default"/>
                      <w:bCs/>
                      <w:color w:val="auto"/>
                      <w:szCs w:val="21"/>
                      <w:lang w:val="en-US" w:eastAsia="zh-CN"/>
                    </w:rPr>
                  </w:pPr>
                  <w:r>
                    <w:rPr>
                      <w:rFonts w:hint="eastAsia"/>
                      <w:bCs/>
                      <w:color w:val="auto"/>
                      <w:szCs w:val="21"/>
                      <w:lang w:val="en-US" w:eastAsia="zh-CN"/>
                    </w:rPr>
                    <w:t>2400</w:t>
                  </w:r>
                </w:p>
              </w:tc>
              <w:tc>
                <w:tcPr>
                  <w:tcW w:w="2630" w:type="dxa"/>
                  <w:vAlign w:val="center"/>
                </w:tcPr>
                <w:p w14:paraId="2F670384">
                  <w:pPr>
                    <w:adjustRightInd w:val="0"/>
                    <w:snapToGrid w:val="0"/>
                    <w:jc w:val="center"/>
                    <w:rPr>
                      <w:b/>
                      <w:color w:val="auto"/>
                      <w:szCs w:val="21"/>
                    </w:rPr>
                  </w:pPr>
                  <w:r>
                    <w:rPr>
                      <w:b/>
                      <w:color w:val="auto"/>
                      <w:szCs w:val="21"/>
                    </w:rPr>
                    <w:t>/</w:t>
                  </w:r>
                </w:p>
              </w:tc>
            </w:tr>
            <w:tr w14:paraId="0C61AF7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14:paraId="7AC48BBF">
                  <w:pPr>
                    <w:adjustRightInd w:val="0"/>
                    <w:snapToGrid w:val="0"/>
                    <w:jc w:val="center"/>
                    <w:rPr>
                      <w:bCs/>
                      <w:color w:val="auto"/>
                      <w:szCs w:val="21"/>
                    </w:rPr>
                  </w:pPr>
                  <w:r>
                    <w:rPr>
                      <w:bCs/>
                      <w:color w:val="auto"/>
                      <w:szCs w:val="21"/>
                    </w:rPr>
                    <w:t>4</w:t>
                  </w:r>
                </w:p>
              </w:tc>
              <w:tc>
                <w:tcPr>
                  <w:tcW w:w="1914" w:type="dxa"/>
                  <w:vAlign w:val="center"/>
                </w:tcPr>
                <w:p w14:paraId="4D01EF85">
                  <w:pPr>
                    <w:adjustRightInd w:val="0"/>
                    <w:snapToGrid w:val="0"/>
                    <w:jc w:val="center"/>
                    <w:rPr>
                      <w:bCs/>
                      <w:color w:val="auto"/>
                      <w:szCs w:val="21"/>
                    </w:rPr>
                  </w:pPr>
                  <w:r>
                    <w:rPr>
                      <w:bCs/>
                      <w:color w:val="auto"/>
                      <w:szCs w:val="21"/>
                    </w:rPr>
                    <w:t>废座椅</w:t>
                  </w:r>
                </w:p>
              </w:tc>
              <w:tc>
                <w:tcPr>
                  <w:tcW w:w="986" w:type="dxa"/>
                  <w:vAlign w:val="center"/>
                </w:tcPr>
                <w:p w14:paraId="0CE9EAA8">
                  <w:pPr>
                    <w:adjustRightInd w:val="0"/>
                    <w:snapToGrid w:val="0"/>
                    <w:jc w:val="center"/>
                    <w:rPr>
                      <w:bCs/>
                      <w:color w:val="auto"/>
                      <w:szCs w:val="21"/>
                    </w:rPr>
                  </w:pPr>
                  <w:r>
                    <w:rPr>
                      <w:bCs/>
                      <w:color w:val="auto"/>
                      <w:szCs w:val="21"/>
                    </w:rPr>
                    <w:t>2.2</w:t>
                  </w:r>
                </w:p>
              </w:tc>
              <w:tc>
                <w:tcPr>
                  <w:tcW w:w="1199" w:type="dxa"/>
                  <w:vAlign w:val="center"/>
                </w:tcPr>
                <w:p w14:paraId="36B7C6BE">
                  <w:pPr>
                    <w:adjustRightInd w:val="0"/>
                    <w:snapToGrid w:val="0"/>
                    <w:jc w:val="center"/>
                    <w:rPr>
                      <w:rFonts w:hint="default"/>
                      <w:bCs/>
                      <w:color w:val="auto"/>
                      <w:szCs w:val="21"/>
                      <w:lang w:val="en-US" w:eastAsia="zh-CN"/>
                    </w:rPr>
                  </w:pPr>
                  <w:r>
                    <w:rPr>
                      <w:rFonts w:hint="eastAsia"/>
                      <w:bCs/>
                      <w:color w:val="auto"/>
                      <w:szCs w:val="21"/>
                      <w:lang w:val="en-US" w:eastAsia="zh-CN"/>
                    </w:rPr>
                    <w:t>660</w:t>
                  </w:r>
                </w:p>
              </w:tc>
              <w:tc>
                <w:tcPr>
                  <w:tcW w:w="2630" w:type="dxa"/>
                  <w:vAlign w:val="center"/>
                </w:tcPr>
                <w:p w14:paraId="4227A690">
                  <w:pPr>
                    <w:adjustRightInd w:val="0"/>
                    <w:snapToGrid w:val="0"/>
                    <w:jc w:val="center"/>
                    <w:rPr>
                      <w:b/>
                      <w:color w:val="auto"/>
                      <w:szCs w:val="21"/>
                    </w:rPr>
                  </w:pPr>
                  <w:r>
                    <w:rPr>
                      <w:b/>
                      <w:color w:val="auto"/>
                      <w:szCs w:val="21"/>
                    </w:rPr>
                    <w:t>/</w:t>
                  </w:r>
                </w:p>
              </w:tc>
            </w:tr>
            <w:tr w14:paraId="16507A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14:paraId="63A02EB8">
                  <w:pPr>
                    <w:adjustRightInd w:val="0"/>
                    <w:snapToGrid w:val="0"/>
                    <w:jc w:val="center"/>
                    <w:rPr>
                      <w:bCs/>
                      <w:color w:val="auto"/>
                      <w:szCs w:val="21"/>
                    </w:rPr>
                  </w:pPr>
                  <w:r>
                    <w:rPr>
                      <w:bCs/>
                      <w:color w:val="auto"/>
                      <w:szCs w:val="21"/>
                    </w:rPr>
                    <w:t>5</w:t>
                  </w:r>
                </w:p>
              </w:tc>
              <w:tc>
                <w:tcPr>
                  <w:tcW w:w="1914" w:type="dxa"/>
                  <w:vAlign w:val="center"/>
                </w:tcPr>
                <w:p w14:paraId="78612DF6">
                  <w:pPr>
                    <w:adjustRightInd w:val="0"/>
                    <w:snapToGrid w:val="0"/>
                    <w:jc w:val="center"/>
                    <w:rPr>
                      <w:bCs/>
                      <w:color w:val="auto"/>
                      <w:szCs w:val="21"/>
                    </w:rPr>
                  </w:pPr>
                  <w:r>
                    <w:rPr>
                      <w:bCs/>
                      <w:color w:val="auto"/>
                      <w:szCs w:val="21"/>
                    </w:rPr>
                    <w:t>废玻璃</w:t>
                  </w:r>
                </w:p>
              </w:tc>
              <w:tc>
                <w:tcPr>
                  <w:tcW w:w="986" w:type="dxa"/>
                  <w:vAlign w:val="center"/>
                </w:tcPr>
                <w:p w14:paraId="4B0DB997">
                  <w:pPr>
                    <w:adjustRightInd w:val="0"/>
                    <w:snapToGrid w:val="0"/>
                    <w:jc w:val="center"/>
                    <w:rPr>
                      <w:bCs/>
                      <w:color w:val="auto"/>
                      <w:szCs w:val="21"/>
                    </w:rPr>
                  </w:pPr>
                  <w:r>
                    <w:rPr>
                      <w:bCs/>
                      <w:color w:val="auto"/>
                      <w:szCs w:val="21"/>
                    </w:rPr>
                    <w:t>3.2</w:t>
                  </w:r>
                </w:p>
              </w:tc>
              <w:tc>
                <w:tcPr>
                  <w:tcW w:w="1199" w:type="dxa"/>
                  <w:vAlign w:val="center"/>
                </w:tcPr>
                <w:p w14:paraId="2D7729C4">
                  <w:pPr>
                    <w:adjustRightInd w:val="0"/>
                    <w:snapToGrid w:val="0"/>
                    <w:jc w:val="center"/>
                    <w:rPr>
                      <w:rFonts w:hint="default"/>
                      <w:bCs/>
                      <w:color w:val="auto"/>
                      <w:szCs w:val="21"/>
                      <w:lang w:val="en-US" w:eastAsia="zh-CN"/>
                    </w:rPr>
                  </w:pPr>
                  <w:r>
                    <w:rPr>
                      <w:rFonts w:hint="eastAsia"/>
                      <w:bCs/>
                      <w:color w:val="auto"/>
                      <w:szCs w:val="21"/>
                      <w:lang w:val="en-US" w:eastAsia="zh-CN"/>
                    </w:rPr>
                    <w:t>960</w:t>
                  </w:r>
                </w:p>
              </w:tc>
              <w:tc>
                <w:tcPr>
                  <w:tcW w:w="2630" w:type="dxa"/>
                  <w:vAlign w:val="center"/>
                </w:tcPr>
                <w:p w14:paraId="7131C131">
                  <w:pPr>
                    <w:adjustRightInd w:val="0"/>
                    <w:snapToGrid w:val="0"/>
                    <w:jc w:val="center"/>
                    <w:rPr>
                      <w:b/>
                      <w:color w:val="auto"/>
                      <w:szCs w:val="21"/>
                    </w:rPr>
                  </w:pPr>
                  <w:r>
                    <w:rPr>
                      <w:b/>
                      <w:color w:val="auto"/>
                      <w:szCs w:val="21"/>
                    </w:rPr>
                    <w:t>/</w:t>
                  </w:r>
                </w:p>
              </w:tc>
            </w:tr>
            <w:tr w14:paraId="77D8CA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14:paraId="2C34A38F">
                  <w:pPr>
                    <w:adjustRightInd w:val="0"/>
                    <w:snapToGrid w:val="0"/>
                    <w:jc w:val="center"/>
                    <w:rPr>
                      <w:bCs/>
                      <w:color w:val="auto"/>
                      <w:szCs w:val="21"/>
                    </w:rPr>
                  </w:pPr>
                  <w:r>
                    <w:rPr>
                      <w:bCs/>
                      <w:color w:val="auto"/>
                      <w:szCs w:val="21"/>
                    </w:rPr>
                    <w:t>6</w:t>
                  </w:r>
                </w:p>
              </w:tc>
              <w:tc>
                <w:tcPr>
                  <w:tcW w:w="1914" w:type="dxa"/>
                  <w:vAlign w:val="center"/>
                </w:tcPr>
                <w:p w14:paraId="1B0121F3">
                  <w:pPr>
                    <w:adjustRightInd w:val="0"/>
                    <w:snapToGrid w:val="0"/>
                    <w:jc w:val="center"/>
                    <w:rPr>
                      <w:bCs/>
                      <w:color w:val="auto"/>
                      <w:szCs w:val="21"/>
                    </w:rPr>
                  </w:pPr>
                  <w:r>
                    <w:rPr>
                      <w:bCs/>
                      <w:color w:val="auto"/>
                      <w:szCs w:val="21"/>
                    </w:rPr>
                    <w:t>废橡胶</w:t>
                  </w:r>
                </w:p>
              </w:tc>
              <w:tc>
                <w:tcPr>
                  <w:tcW w:w="986" w:type="dxa"/>
                  <w:vAlign w:val="center"/>
                </w:tcPr>
                <w:p w14:paraId="3E76F8EE">
                  <w:pPr>
                    <w:adjustRightInd w:val="0"/>
                    <w:snapToGrid w:val="0"/>
                    <w:jc w:val="center"/>
                    <w:rPr>
                      <w:bCs/>
                      <w:color w:val="auto"/>
                      <w:szCs w:val="21"/>
                    </w:rPr>
                  </w:pPr>
                  <w:r>
                    <w:rPr>
                      <w:bCs/>
                      <w:color w:val="auto"/>
                      <w:szCs w:val="21"/>
                    </w:rPr>
                    <w:t>5</w:t>
                  </w:r>
                </w:p>
              </w:tc>
              <w:tc>
                <w:tcPr>
                  <w:tcW w:w="1199" w:type="dxa"/>
                  <w:vAlign w:val="center"/>
                </w:tcPr>
                <w:p w14:paraId="4EF76D59">
                  <w:pPr>
                    <w:adjustRightInd w:val="0"/>
                    <w:snapToGrid w:val="0"/>
                    <w:jc w:val="center"/>
                    <w:rPr>
                      <w:rFonts w:hint="default"/>
                      <w:bCs/>
                      <w:color w:val="auto"/>
                      <w:szCs w:val="21"/>
                      <w:lang w:val="en-US" w:eastAsia="zh-CN"/>
                    </w:rPr>
                  </w:pPr>
                  <w:r>
                    <w:rPr>
                      <w:rFonts w:hint="eastAsia"/>
                      <w:bCs/>
                      <w:color w:val="auto"/>
                      <w:szCs w:val="21"/>
                      <w:lang w:val="en-US" w:eastAsia="zh-CN"/>
                    </w:rPr>
                    <w:t>1500</w:t>
                  </w:r>
                </w:p>
              </w:tc>
              <w:tc>
                <w:tcPr>
                  <w:tcW w:w="2630" w:type="dxa"/>
                  <w:vAlign w:val="center"/>
                </w:tcPr>
                <w:p w14:paraId="46364115">
                  <w:pPr>
                    <w:adjustRightInd w:val="0"/>
                    <w:snapToGrid w:val="0"/>
                    <w:jc w:val="center"/>
                    <w:rPr>
                      <w:b/>
                      <w:color w:val="auto"/>
                      <w:szCs w:val="21"/>
                    </w:rPr>
                  </w:pPr>
                  <w:r>
                    <w:rPr>
                      <w:bCs/>
                      <w:color w:val="auto"/>
                      <w:szCs w:val="21"/>
                    </w:rPr>
                    <w:t>含废轮胎</w:t>
                  </w:r>
                </w:p>
              </w:tc>
            </w:tr>
            <w:tr w14:paraId="4680E62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14:paraId="58B8C891">
                  <w:pPr>
                    <w:adjustRightInd w:val="0"/>
                    <w:snapToGrid w:val="0"/>
                    <w:jc w:val="center"/>
                    <w:rPr>
                      <w:bCs/>
                      <w:color w:val="auto"/>
                      <w:szCs w:val="21"/>
                    </w:rPr>
                  </w:pPr>
                  <w:r>
                    <w:rPr>
                      <w:bCs/>
                      <w:color w:val="auto"/>
                      <w:szCs w:val="21"/>
                    </w:rPr>
                    <w:t>7</w:t>
                  </w:r>
                </w:p>
              </w:tc>
              <w:tc>
                <w:tcPr>
                  <w:tcW w:w="1914" w:type="dxa"/>
                  <w:vAlign w:val="center"/>
                </w:tcPr>
                <w:p w14:paraId="25A3C34E">
                  <w:pPr>
                    <w:adjustRightInd w:val="0"/>
                    <w:snapToGrid w:val="0"/>
                    <w:jc w:val="center"/>
                    <w:rPr>
                      <w:bCs/>
                      <w:color w:val="auto"/>
                      <w:szCs w:val="21"/>
                    </w:rPr>
                  </w:pPr>
                  <w:r>
                    <w:rPr>
                      <w:bCs/>
                      <w:color w:val="auto"/>
                      <w:szCs w:val="21"/>
                    </w:rPr>
                    <w:t>废电子电器部件</w:t>
                  </w:r>
                </w:p>
              </w:tc>
              <w:tc>
                <w:tcPr>
                  <w:tcW w:w="986" w:type="dxa"/>
                  <w:vAlign w:val="center"/>
                </w:tcPr>
                <w:p w14:paraId="4994E94D">
                  <w:pPr>
                    <w:adjustRightInd w:val="0"/>
                    <w:snapToGrid w:val="0"/>
                    <w:jc w:val="center"/>
                    <w:rPr>
                      <w:bCs/>
                      <w:color w:val="auto"/>
                      <w:szCs w:val="21"/>
                    </w:rPr>
                  </w:pPr>
                  <w:r>
                    <w:rPr>
                      <w:bCs/>
                      <w:color w:val="auto"/>
                      <w:szCs w:val="21"/>
                    </w:rPr>
                    <w:t>0.5</w:t>
                  </w:r>
                </w:p>
              </w:tc>
              <w:tc>
                <w:tcPr>
                  <w:tcW w:w="1199" w:type="dxa"/>
                  <w:vAlign w:val="center"/>
                </w:tcPr>
                <w:p w14:paraId="25BBC22D">
                  <w:pPr>
                    <w:adjustRightInd w:val="0"/>
                    <w:snapToGrid w:val="0"/>
                    <w:jc w:val="center"/>
                    <w:rPr>
                      <w:rFonts w:hint="default"/>
                      <w:bCs/>
                      <w:color w:val="auto"/>
                      <w:szCs w:val="21"/>
                      <w:lang w:val="en-US" w:eastAsia="zh-CN"/>
                    </w:rPr>
                  </w:pPr>
                  <w:r>
                    <w:rPr>
                      <w:rFonts w:hint="eastAsia"/>
                      <w:bCs/>
                      <w:color w:val="auto"/>
                      <w:szCs w:val="21"/>
                      <w:lang w:val="en-US" w:eastAsia="zh-CN"/>
                    </w:rPr>
                    <w:t>150</w:t>
                  </w:r>
                </w:p>
              </w:tc>
              <w:tc>
                <w:tcPr>
                  <w:tcW w:w="2630" w:type="dxa"/>
                  <w:vAlign w:val="center"/>
                </w:tcPr>
                <w:p w14:paraId="56C06B83">
                  <w:pPr>
                    <w:adjustRightInd w:val="0"/>
                    <w:snapToGrid w:val="0"/>
                    <w:rPr>
                      <w:b/>
                      <w:color w:val="auto"/>
                      <w:szCs w:val="21"/>
                    </w:rPr>
                  </w:pPr>
                  <w:r>
                    <w:rPr>
                      <w:bCs/>
                      <w:color w:val="auto"/>
                      <w:szCs w:val="21"/>
                    </w:rPr>
                    <w:t>包括仪表盘、电动机和发电机、电线电缆以及其他电子电器</w:t>
                  </w:r>
                </w:p>
              </w:tc>
            </w:tr>
            <w:tr w14:paraId="04D6B84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7400" w:type="dxa"/>
                  <w:gridSpan w:val="5"/>
                  <w:vAlign w:val="center"/>
                </w:tcPr>
                <w:p w14:paraId="6E10AA3F">
                  <w:pPr>
                    <w:adjustRightInd w:val="0"/>
                    <w:snapToGrid w:val="0"/>
                    <w:rPr>
                      <w:b/>
                      <w:color w:val="auto"/>
                      <w:szCs w:val="21"/>
                    </w:rPr>
                  </w:pPr>
                  <w:r>
                    <w:rPr>
                      <w:b/>
                      <w:color w:val="auto"/>
                      <w:szCs w:val="21"/>
                    </w:rPr>
                    <w:t>二、拆解废物（不可利用）</w:t>
                  </w:r>
                </w:p>
              </w:tc>
            </w:tr>
            <w:tr w14:paraId="15C5CAD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14:paraId="702C3261">
                  <w:pPr>
                    <w:adjustRightInd w:val="0"/>
                    <w:snapToGrid w:val="0"/>
                    <w:jc w:val="center"/>
                    <w:rPr>
                      <w:bCs/>
                      <w:color w:val="auto"/>
                      <w:szCs w:val="21"/>
                    </w:rPr>
                  </w:pPr>
                  <w:r>
                    <w:rPr>
                      <w:bCs/>
                      <w:color w:val="auto"/>
                      <w:szCs w:val="21"/>
                    </w:rPr>
                    <w:t>8</w:t>
                  </w:r>
                </w:p>
              </w:tc>
              <w:tc>
                <w:tcPr>
                  <w:tcW w:w="1914" w:type="dxa"/>
                  <w:vAlign w:val="center"/>
                </w:tcPr>
                <w:p w14:paraId="210F3331">
                  <w:pPr>
                    <w:adjustRightInd w:val="0"/>
                    <w:snapToGrid w:val="0"/>
                    <w:jc w:val="center"/>
                    <w:rPr>
                      <w:bCs/>
                      <w:color w:val="auto"/>
                      <w:szCs w:val="21"/>
                    </w:rPr>
                  </w:pPr>
                  <w:r>
                    <w:rPr>
                      <w:bCs/>
                      <w:color w:val="auto"/>
                      <w:szCs w:val="21"/>
                    </w:rPr>
                    <w:t>水箱废水</w:t>
                  </w:r>
                </w:p>
                <w:p w14:paraId="528C2DEA">
                  <w:pPr>
                    <w:adjustRightInd w:val="0"/>
                    <w:snapToGrid w:val="0"/>
                    <w:jc w:val="center"/>
                    <w:rPr>
                      <w:bCs/>
                      <w:color w:val="auto"/>
                      <w:szCs w:val="21"/>
                    </w:rPr>
                  </w:pPr>
                  <w:r>
                    <w:rPr>
                      <w:bCs/>
                      <w:color w:val="auto"/>
                      <w:szCs w:val="21"/>
                    </w:rPr>
                    <w:t>（废防冻液）</w:t>
                  </w:r>
                </w:p>
              </w:tc>
              <w:tc>
                <w:tcPr>
                  <w:tcW w:w="986" w:type="dxa"/>
                  <w:vAlign w:val="center"/>
                </w:tcPr>
                <w:p w14:paraId="5EFF5C9A">
                  <w:pPr>
                    <w:adjustRightInd w:val="0"/>
                    <w:snapToGrid w:val="0"/>
                    <w:jc w:val="center"/>
                    <w:rPr>
                      <w:bCs/>
                      <w:color w:val="auto"/>
                      <w:szCs w:val="21"/>
                    </w:rPr>
                  </w:pPr>
                  <w:r>
                    <w:rPr>
                      <w:bCs/>
                      <w:color w:val="auto"/>
                      <w:szCs w:val="21"/>
                    </w:rPr>
                    <w:t>0.05</w:t>
                  </w:r>
                </w:p>
              </w:tc>
              <w:tc>
                <w:tcPr>
                  <w:tcW w:w="1199" w:type="dxa"/>
                  <w:vAlign w:val="center"/>
                </w:tcPr>
                <w:p w14:paraId="4E1C04A0">
                  <w:pPr>
                    <w:adjustRightInd w:val="0"/>
                    <w:snapToGrid w:val="0"/>
                    <w:jc w:val="center"/>
                    <w:rPr>
                      <w:rFonts w:hint="default"/>
                      <w:bCs/>
                      <w:color w:val="auto"/>
                      <w:szCs w:val="21"/>
                      <w:lang w:val="en-US"/>
                    </w:rPr>
                  </w:pPr>
                  <w:r>
                    <w:rPr>
                      <w:rFonts w:hint="eastAsia"/>
                      <w:bCs/>
                      <w:color w:val="auto"/>
                      <w:szCs w:val="21"/>
                      <w:lang w:val="en-US" w:eastAsia="zh-CN"/>
                    </w:rPr>
                    <w:t>15</w:t>
                  </w:r>
                </w:p>
              </w:tc>
              <w:tc>
                <w:tcPr>
                  <w:tcW w:w="2630" w:type="dxa"/>
                  <w:vAlign w:val="center"/>
                </w:tcPr>
                <w:p w14:paraId="65573C4D">
                  <w:pPr>
                    <w:adjustRightInd w:val="0"/>
                    <w:snapToGrid w:val="0"/>
                    <w:jc w:val="center"/>
                    <w:rPr>
                      <w:rFonts w:hint="default" w:eastAsia="宋体"/>
                      <w:bCs/>
                      <w:color w:val="auto"/>
                      <w:szCs w:val="21"/>
                      <w:lang w:val="en-US" w:eastAsia="zh-CN"/>
                    </w:rPr>
                  </w:pPr>
                  <w:r>
                    <w:rPr>
                      <w:rFonts w:hint="eastAsia"/>
                      <w:snapToGrid w:val="0"/>
                      <w:color w:val="auto"/>
                      <w:szCs w:val="21"/>
                    </w:rPr>
                    <w:t>危险废物</w:t>
                  </w:r>
                  <w:r>
                    <w:rPr>
                      <w:rFonts w:hint="eastAsia"/>
                      <w:snapToGrid w:val="0"/>
                      <w:color w:val="auto"/>
                      <w:szCs w:val="21"/>
                      <w:lang w:eastAsia="zh-CN"/>
                    </w:rPr>
                    <w:t>，</w:t>
                  </w:r>
                  <w:r>
                    <w:rPr>
                      <w:rFonts w:hint="eastAsia"/>
                      <w:snapToGrid w:val="0"/>
                      <w:color w:val="auto"/>
                      <w:szCs w:val="21"/>
                      <w:lang w:val="en-US" w:eastAsia="zh-CN"/>
                    </w:rPr>
                    <w:t>主要为防冻液</w:t>
                  </w:r>
                </w:p>
              </w:tc>
            </w:tr>
            <w:tr w14:paraId="6DFDBA8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14:paraId="74AB01E2">
                  <w:pPr>
                    <w:adjustRightInd w:val="0"/>
                    <w:snapToGrid w:val="0"/>
                    <w:jc w:val="center"/>
                    <w:rPr>
                      <w:bCs/>
                      <w:color w:val="auto"/>
                      <w:szCs w:val="21"/>
                    </w:rPr>
                  </w:pPr>
                  <w:r>
                    <w:rPr>
                      <w:bCs/>
                      <w:color w:val="auto"/>
                      <w:szCs w:val="21"/>
                    </w:rPr>
                    <w:t>9</w:t>
                  </w:r>
                </w:p>
              </w:tc>
              <w:tc>
                <w:tcPr>
                  <w:tcW w:w="1914" w:type="dxa"/>
                  <w:vAlign w:val="center"/>
                </w:tcPr>
                <w:p w14:paraId="305F4E50">
                  <w:pPr>
                    <w:adjustRightInd w:val="0"/>
                    <w:snapToGrid w:val="0"/>
                    <w:jc w:val="center"/>
                    <w:rPr>
                      <w:bCs/>
                      <w:color w:val="auto"/>
                      <w:szCs w:val="21"/>
                    </w:rPr>
                  </w:pPr>
                  <w:r>
                    <w:rPr>
                      <w:bCs/>
                      <w:color w:val="auto"/>
                      <w:szCs w:val="21"/>
                    </w:rPr>
                    <w:t>废蓄电池</w:t>
                  </w:r>
                </w:p>
              </w:tc>
              <w:tc>
                <w:tcPr>
                  <w:tcW w:w="986" w:type="dxa"/>
                  <w:vAlign w:val="center"/>
                </w:tcPr>
                <w:p w14:paraId="20274056">
                  <w:pPr>
                    <w:adjustRightInd w:val="0"/>
                    <w:snapToGrid w:val="0"/>
                    <w:jc w:val="center"/>
                    <w:rPr>
                      <w:bCs/>
                      <w:color w:val="auto"/>
                      <w:szCs w:val="21"/>
                    </w:rPr>
                  </w:pPr>
                  <w:r>
                    <w:rPr>
                      <w:bCs/>
                      <w:color w:val="auto"/>
                      <w:szCs w:val="21"/>
                    </w:rPr>
                    <w:t>0.75</w:t>
                  </w:r>
                </w:p>
              </w:tc>
              <w:tc>
                <w:tcPr>
                  <w:tcW w:w="1199" w:type="dxa"/>
                  <w:vAlign w:val="center"/>
                </w:tcPr>
                <w:p w14:paraId="503CC0D9">
                  <w:pPr>
                    <w:adjustRightInd w:val="0"/>
                    <w:snapToGrid w:val="0"/>
                    <w:jc w:val="center"/>
                    <w:rPr>
                      <w:rFonts w:hint="default"/>
                      <w:bCs/>
                      <w:color w:val="auto"/>
                      <w:szCs w:val="21"/>
                      <w:lang w:val="en-US"/>
                    </w:rPr>
                  </w:pPr>
                  <w:r>
                    <w:rPr>
                      <w:rFonts w:hint="eastAsia"/>
                      <w:bCs/>
                      <w:color w:val="auto"/>
                      <w:szCs w:val="21"/>
                      <w:lang w:val="en-US" w:eastAsia="zh-CN"/>
                    </w:rPr>
                    <w:t>225</w:t>
                  </w:r>
                </w:p>
              </w:tc>
              <w:tc>
                <w:tcPr>
                  <w:tcW w:w="2630" w:type="dxa"/>
                  <w:vAlign w:val="center"/>
                </w:tcPr>
                <w:p w14:paraId="4EA9E7A6">
                  <w:pPr>
                    <w:adjustRightInd w:val="0"/>
                    <w:snapToGrid w:val="0"/>
                    <w:jc w:val="center"/>
                    <w:rPr>
                      <w:b/>
                      <w:color w:val="auto"/>
                      <w:szCs w:val="21"/>
                    </w:rPr>
                  </w:pPr>
                  <w:r>
                    <w:rPr>
                      <w:bCs/>
                      <w:color w:val="auto"/>
                      <w:szCs w:val="21"/>
                    </w:rPr>
                    <w:t>危险废物，包括铅酸蓄电池和镉镍电池</w:t>
                  </w:r>
                </w:p>
              </w:tc>
            </w:tr>
            <w:tr w14:paraId="4A5192D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14:paraId="6970EA87">
                  <w:pPr>
                    <w:adjustRightInd w:val="0"/>
                    <w:snapToGrid w:val="0"/>
                    <w:jc w:val="center"/>
                    <w:rPr>
                      <w:bCs/>
                      <w:color w:val="auto"/>
                      <w:szCs w:val="21"/>
                    </w:rPr>
                  </w:pPr>
                  <w:r>
                    <w:rPr>
                      <w:bCs/>
                      <w:color w:val="auto"/>
                      <w:szCs w:val="21"/>
                    </w:rPr>
                    <w:t>10</w:t>
                  </w:r>
                </w:p>
              </w:tc>
              <w:tc>
                <w:tcPr>
                  <w:tcW w:w="1914" w:type="dxa"/>
                  <w:vAlign w:val="center"/>
                </w:tcPr>
                <w:p w14:paraId="068D3E98">
                  <w:pPr>
                    <w:adjustRightInd w:val="0"/>
                    <w:snapToGrid w:val="0"/>
                    <w:jc w:val="center"/>
                    <w:rPr>
                      <w:bCs/>
                      <w:color w:val="auto"/>
                      <w:szCs w:val="21"/>
                    </w:rPr>
                  </w:pPr>
                  <w:r>
                    <w:rPr>
                      <w:bCs/>
                      <w:color w:val="auto"/>
                      <w:szCs w:val="21"/>
                    </w:rPr>
                    <w:t>废油液</w:t>
                  </w:r>
                </w:p>
              </w:tc>
              <w:tc>
                <w:tcPr>
                  <w:tcW w:w="986" w:type="dxa"/>
                  <w:vAlign w:val="center"/>
                </w:tcPr>
                <w:p w14:paraId="6C640AC3">
                  <w:pPr>
                    <w:adjustRightInd w:val="0"/>
                    <w:snapToGrid w:val="0"/>
                    <w:jc w:val="center"/>
                    <w:rPr>
                      <w:bCs/>
                      <w:color w:val="auto"/>
                      <w:szCs w:val="21"/>
                    </w:rPr>
                  </w:pPr>
                  <w:r>
                    <w:rPr>
                      <w:bCs/>
                      <w:color w:val="auto"/>
                      <w:szCs w:val="21"/>
                    </w:rPr>
                    <w:t>1.1</w:t>
                  </w:r>
                </w:p>
              </w:tc>
              <w:tc>
                <w:tcPr>
                  <w:tcW w:w="1199" w:type="dxa"/>
                  <w:vAlign w:val="center"/>
                </w:tcPr>
                <w:p w14:paraId="2B934AAC">
                  <w:pPr>
                    <w:adjustRightInd w:val="0"/>
                    <w:snapToGrid w:val="0"/>
                    <w:jc w:val="center"/>
                    <w:rPr>
                      <w:rFonts w:hint="default"/>
                      <w:bCs/>
                      <w:color w:val="auto"/>
                      <w:szCs w:val="21"/>
                      <w:lang w:val="en-US"/>
                    </w:rPr>
                  </w:pPr>
                  <w:r>
                    <w:rPr>
                      <w:rFonts w:hint="eastAsia"/>
                      <w:bCs/>
                      <w:color w:val="auto"/>
                      <w:szCs w:val="21"/>
                      <w:lang w:val="en-US" w:eastAsia="zh-CN"/>
                    </w:rPr>
                    <w:t>970</w:t>
                  </w:r>
                </w:p>
              </w:tc>
              <w:tc>
                <w:tcPr>
                  <w:tcW w:w="2630" w:type="dxa"/>
                  <w:vAlign w:val="center"/>
                </w:tcPr>
                <w:p w14:paraId="43C5BF91">
                  <w:pPr>
                    <w:adjustRightInd w:val="0"/>
                    <w:snapToGrid w:val="0"/>
                    <w:rPr>
                      <w:bCs/>
                      <w:color w:val="auto"/>
                      <w:szCs w:val="21"/>
                    </w:rPr>
                  </w:pPr>
                  <w:r>
                    <w:rPr>
                      <w:bCs/>
                      <w:color w:val="auto"/>
                      <w:szCs w:val="21"/>
                    </w:rPr>
                    <w:t>危险废物，柴油、机油、润滑剂、液压油等</w:t>
                  </w:r>
                </w:p>
              </w:tc>
            </w:tr>
            <w:tr w14:paraId="5B5499C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14:paraId="76749646">
                  <w:pPr>
                    <w:adjustRightInd w:val="0"/>
                    <w:snapToGrid w:val="0"/>
                    <w:jc w:val="center"/>
                    <w:rPr>
                      <w:bCs/>
                      <w:color w:val="auto"/>
                      <w:szCs w:val="21"/>
                    </w:rPr>
                  </w:pPr>
                  <w:r>
                    <w:rPr>
                      <w:bCs/>
                      <w:color w:val="auto"/>
                      <w:szCs w:val="21"/>
                    </w:rPr>
                    <w:t>11</w:t>
                  </w:r>
                </w:p>
              </w:tc>
              <w:tc>
                <w:tcPr>
                  <w:tcW w:w="1914" w:type="dxa"/>
                  <w:vAlign w:val="center"/>
                </w:tcPr>
                <w:p w14:paraId="5FC71BD6">
                  <w:pPr>
                    <w:adjustRightInd w:val="0"/>
                    <w:snapToGrid w:val="0"/>
                    <w:jc w:val="center"/>
                    <w:rPr>
                      <w:bCs/>
                      <w:color w:val="auto"/>
                      <w:szCs w:val="21"/>
                    </w:rPr>
                  </w:pPr>
                  <w:r>
                    <w:rPr>
                      <w:bCs/>
                      <w:color w:val="auto"/>
                      <w:szCs w:val="21"/>
                    </w:rPr>
                    <w:t>废电容器</w:t>
                  </w:r>
                </w:p>
              </w:tc>
              <w:tc>
                <w:tcPr>
                  <w:tcW w:w="986" w:type="dxa"/>
                  <w:vAlign w:val="center"/>
                </w:tcPr>
                <w:p w14:paraId="2A4E88BB">
                  <w:pPr>
                    <w:adjustRightInd w:val="0"/>
                    <w:snapToGrid w:val="0"/>
                    <w:jc w:val="center"/>
                    <w:rPr>
                      <w:bCs/>
                      <w:color w:val="auto"/>
                      <w:szCs w:val="21"/>
                    </w:rPr>
                  </w:pPr>
                  <w:r>
                    <w:rPr>
                      <w:bCs/>
                      <w:color w:val="auto"/>
                      <w:szCs w:val="21"/>
                    </w:rPr>
                    <w:t>0.02</w:t>
                  </w:r>
                </w:p>
              </w:tc>
              <w:tc>
                <w:tcPr>
                  <w:tcW w:w="1199" w:type="dxa"/>
                  <w:vAlign w:val="center"/>
                </w:tcPr>
                <w:p w14:paraId="399E5A38">
                  <w:pPr>
                    <w:adjustRightInd w:val="0"/>
                    <w:snapToGrid w:val="0"/>
                    <w:jc w:val="center"/>
                    <w:rPr>
                      <w:rFonts w:hint="default"/>
                      <w:bCs/>
                      <w:color w:val="auto"/>
                      <w:szCs w:val="21"/>
                      <w:lang w:val="en-US"/>
                    </w:rPr>
                  </w:pPr>
                  <w:r>
                    <w:rPr>
                      <w:rFonts w:hint="eastAsia"/>
                      <w:bCs/>
                      <w:color w:val="auto"/>
                      <w:szCs w:val="21"/>
                      <w:lang w:val="en-US" w:eastAsia="zh-CN"/>
                    </w:rPr>
                    <w:t>6</w:t>
                  </w:r>
                </w:p>
              </w:tc>
              <w:tc>
                <w:tcPr>
                  <w:tcW w:w="2630" w:type="dxa"/>
                  <w:vAlign w:val="center"/>
                </w:tcPr>
                <w:p w14:paraId="0B30854C">
                  <w:pPr>
                    <w:adjustRightInd w:val="0"/>
                    <w:snapToGrid w:val="0"/>
                    <w:rPr>
                      <w:bCs/>
                      <w:color w:val="auto"/>
                      <w:szCs w:val="21"/>
                    </w:rPr>
                  </w:pPr>
                  <w:r>
                    <w:rPr>
                      <w:bCs/>
                      <w:color w:val="auto"/>
                      <w:szCs w:val="21"/>
                    </w:rPr>
                    <w:t>危险废物，内含多氯联苯</w:t>
                  </w:r>
                </w:p>
              </w:tc>
            </w:tr>
            <w:tr w14:paraId="284CE8B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671" w:type="dxa"/>
                  <w:vAlign w:val="center"/>
                </w:tcPr>
                <w:p w14:paraId="0F08F8CB">
                  <w:pPr>
                    <w:adjustRightInd w:val="0"/>
                    <w:snapToGrid w:val="0"/>
                    <w:jc w:val="center"/>
                    <w:rPr>
                      <w:bCs/>
                      <w:color w:val="auto"/>
                      <w:szCs w:val="21"/>
                    </w:rPr>
                  </w:pPr>
                  <w:r>
                    <w:rPr>
                      <w:bCs/>
                      <w:color w:val="auto"/>
                      <w:szCs w:val="21"/>
                    </w:rPr>
                    <w:t>12</w:t>
                  </w:r>
                </w:p>
              </w:tc>
              <w:tc>
                <w:tcPr>
                  <w:tcW w:w="1914" w:type="dxa"/>
                  <w:vAlign w:val="center"/>
                </w:tcPr>
                <w:p w14:paraId="28F9BD78">
                  <w:pPr>
                    <w:adjustRightInd w:val="0"/>
                    <w:snapToGrid w:val="0"/>
                    <w:jc w:val="center"/>
                    <w:rPr>
                      <w:bCs/>
                      <w:color w:val="auto"/>
                      <w:szCs w:val="21"/>
                    </w:rPr>
                  </w:pPr>
                  <w:r>
                    <w:rPr>
                      <w:bCs/>
                      <w:color w:val="auto"/>
                      <w:szCs w:val="21"/>
                    </w:rPr>
                    <w:t>不可利用废物</w:t>
                  </w:r>
                </w:p>
              </w:tc>
              <w:tc>
                <w:tcPr>
                  <w:tcW w:w="986" w:type="dxa"/>
                  <w:vAlign w:val="center"/>
                </w:tcPr>
                <w:p w14:paraId="2DA70779">
                  <w:pPr>
                    <w:adjustRightInd w:val="0"/>
                    <w:snapToGrid w:val="0"/>
                    <w:jc w:val="center"/>
                    <w:rPr>
                      <w:bCs/>
                      <w:color w:val="auto"/>
                      <w:szCs w:val="21"/>
                    </w:rPr>
                  </w:pPr>
                  <w:r>
                    <w:rPr>
                      <w:bCs/>
                      <w:color w:val="auto"/>
                      <w:szCs w:val="21"/>
                    </w:rPr>
                    <w:t>3.2</w:t>
                  </w:r>
                </w:p>
              </w:tc>
              <w:tc>
                <w:tcPr>
                  <w:tcW w:w="1199" w:type="dxa"/>
                  <w:vAlign w:val="center"/>
                </w:tcPr>
                <w:p w14:paraId="1DB0277B">
                  <w:pPr>
                    <w:adjustRightInd w:val="0"/>
                    <w:snapToGrid w:val="0"/>
                    <w:jc w:val="center"/>
                    <w:rPr>
                      <w:rFonts w:hint="default"/>
                      <w:bCs/>
                      <w:color w:val="auto"/>
                      <w:szCs w:val="21"/>
                      <w:lang w:val="en-US"/>
                    </w:rPr>
                  </w:pPr>
                  <w:r>
                    <w:rPr>
                      <w:rFonts w:hint="eastAsia"/>
                      <w:bCs/>
                      <w:color w:val="auto"/>
                      <w:szCs w:val="21"/>
                      <w:lang w:val="en-US" w:eastAsia="zh-CN"/>
                    </w:rPr>
                    <w:t>960</w:t>
                  </w:r>
                </w:p>
              </w:tc>
              <w:tc>
                <w:tcPr>
                  <w:tcW w:w="2630" w:type="dxa"/>
                  <w:vAlign w:val="center"/>
                </w:tcPr>
                <w:p w14:paraId="23F1F6AE">
                  <w:pPr>
                    <w:adjustRightInd w:val="0"/>
                    <w:snapToGrid w:val="0"/>
                    <w:rPr>
                      <w:bCs/>
                      <w:color w:val="auto"/>
                      <w:szCs w:val="21"/>
                    </w:rPr>
                  </w:pPr>
                  <w:r>
                    <w:rPr>
                      <w:rFonts w:hint="eastAsia"/>
                      <w:bCs/>
                      <w:color w:val="auto"/>
                      <w:szCs w:val="21"/>
                      <w:lang w:val="en-US" w:eastAsia="zh-CN"/>
                    </w:rPr>
                    <w:t>废石棉为危险废物，产生量约12.5t/a。其他为</w:t>
                  </w:r>
                  <w:r>
                    <w:rPr>
                      <w:bCs/>
                      <w:color w:val="auto"/>
                      <w:szCs w:val="21"/>
                    </w:rPr>
                    <w:t>一般固体废物，主要为废棉、麻织物、废海绵、废皮革等</w:t>
                  </w:r>
                  <w:r>
                    <w:rPr>
                      <w:rFonts w:hint="eastAsia"/>
                      <w:bCs/>
                      <w:color w:val="auto"/>
                      <w:szCs w:val="21"/>
                      <w:lang w:eastAsia="zh-CN"/>
                    </w:rPr>
                    <w:t>，</w:t>
                  </w:r>
                  <w:r>
                    <w:rPr>
                      <w:rFonts w:hint="eastAsia"/>
                      <w:bCs/>
                      <w:color w:val="auto"/>
                      <w:szCs w:val="21"/>
                      <w:lang w:val="en-US" w:eastAsia="zh-CN"/>
                    </w:rPr>
                    <w:t>产生量约1907.5t/a。</w:t>
                  </w:r>
                </w:p>
              </w:tc>
            </w:tr>
            <w:tr w14:paraId="5F4CDEF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2585" w:type="dxa"/>
                  <w:gridSpan w:val="2"/>
                  <w:vAlign w:val="center"/>
                </w:tcPr>
                <w:p w14:paraId="520D848A">
                  <w:pPr>
                    <w:adjustRightInd w:val="0"/>
                    <w:snapToGrid w:val="0"/>
                    <w:jc w:val="center"/>
                    <w:rPr>
                      <w:b/>
                      <w:color w:val="auto"/>
                      <w:szCs w:val="21"/>
                    </w:rPr>
                  </w:pPr>
                  <w:r>
                    <w:rPr>
                      <w:bCs/>
                      <w:color w:val="auto"/>
                      <w:szCs w:val="21"/>
                    </w:rPr>
                    <w:t>合计</w:t>
                  </w:r>
                </w:p>
              </w:tc>
              <w:tc>
                <w:tcPr>
                  <w:tcW w:w="986" w:type="dxa"/>
                  <w:vAlign w:val="center"/>
                </w:tcPr>
                <w:p w14:paraId="4A24E9A0">
                  <w:pPr>
                    <w:adjustRightInd w:val="0"/>
                    <w:snapToGrid w:val="0"/>
                    <w:jc w:val="center"/>
                    <w:rPr>
                      <w:bCs/>
                      <w:color w:val="auto"/>
                      <w:szCs w:val="21"/>
                    </w:rPr>
                  </w:pPr>
                  <w:r>
                    <w:rPr>
                      <w:bCs/>
                      <w:color w:val="auto"/>
                      <w:szCs w:val="21"/>
                    </w:rPr>
                    <w:t>100</w:t>
                  </w:r>
                </w:p>
              </w:tc>
              <w:tc>
                <w:tcPr>
                  <w:tcW w:w="1199" w:type="dxa"/>
                  <w:vAlign w:val="center"/>
                </w:tcPr>
                <w:p w14:paraId="7504A1E4">
                  <w:pPr>
                    <w:adjustRightInd w:val="0"/>
                    <w:snapToGrid w:val="0"/>
                    <w:jc w:val="center"/>
                    <w:rPr>
                      <w:rFonts w:hint="default" w:eastAsia="宋体"/>
                      <w:bCs/>
                      <w:color w:val="auto"/>
                      <w:szCs w:val="21"/>
                      <w:lang w:val="en-US" w:eastAsia="zh-CN"/>
                    </w:rPr>
                  </w:pPr>
                  <w:r>
                    <w:rPr>
                      <w:rFonts w:hint="eastAsia"/>
                      <w:bCs/>
                      <w:color w:val="auto"/>
                      <w:szCs w:val="21"/>
                      <w:lang w:val="en-US" w:eastAsia="zh-CN"/>
                    </w:rPr>
                    <w:t>30000</w:t>
                  </w:r>
                </w:p>
              </w:tc>
              <w:tc>
                <w:tcPr>
                  <w:tcW w:w="2630" w:type="dxa"/>
                  <w:vAlign w:val="center"/>
                </w:tcPr>
                <w:p w14:paraId="5DCC74FF">
                  <w:pPr>
                    <w:adjustRightInd w:val="0"/>
                    <w:snapToGrid w:val="0"/>
                    <w:jc w:val="center"/>
                    <w:rPr>
                      <w:b/>
                      <w:color w:val="auto"/>
                      <w:szCs w:val="21"/>
                    </w:rPr>
                  </w:pPr>
                  <w:r>
                    <w:rPr>
                      <w:b/>
                      <w:color w:val="auto"/>
                      <w:szCs w:val="21"/>
                    </w:rPr>
                    <w:t>/</w:t>
                  </w:r>
                </w:p>
              </w:tc>
            </w:tr>
            <w:tr w14:paraId="3761C73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7400" w:type="dxa"/>
                  <w:gridSpan w:val="5"/>
                  <w:vAlign w:val="center"/>
                </w:tcPr>
                <w:p w14:paraId="05FDBCE1">
                  <w:pPr>
                    <w:rPr>
                      <w:snapToGrid w:val="0"/>
                      <w:color w:val="auto"/>
                      <w:szCs w:val="21"/>
                      <w:lang w:val="zh-CN"/>
                    </w:rPr>
                  </w:pPr>
                  <w:r>
                    <w:rPr>
                      <w:snapToGrid w:val="0"/>
                      <w:color w:val="auto"/>
                      <w:szCs w:val="21"/>
                      <w:lang w:val="zh-CN"/>
                    </w:rPr>
                    <w:t>拆解产物去向：</w:t>
                  </w:r>
                </w:p>
                <w:p w14:paraId="08EA5EEC">
                  <w:pPr>
                    <w:rPr>
                      <w:snapToGrid w:val="0"/>
                      <w:color w:val="auto"/>
                      <w:szCs w:val="21"/>
                      <w:lang w:val="zh-CN"/>
                    </w:rPr>
                  </w:pPr>
                  <w:r>
                    <w:rPr>
                      <w:rFonts w:hint="eastAsia" w:ascii="宋体" w:hAnsi="宋体" w:cs="宋体"/>
                      <w:snapToGrid w:val="0"/>
                      <w:color w:val="auto"/>
                      <w:szCs w:val="21"/>
                      <w:lang w:val="zh-CN"/>
                    </w:rPr>
                    <w:t>①</w:t>
                  </w:r>
                  <w:r>
                    <w:rPr>
                      <w:snapToGrid w:val="0"/>
                      <w:color w:val="auto"/>
                      <w:szCs w:val="21"/>
                      <w:lang w:val="zh-CN"/>
                    </w:rPr>
                    <w:t>报废</w:t>
                  </w:r>
                  <w:r>
                    <w:rPr>
                      <w:snapToGrid w:val="0"/>
                      <w:color w:val="auto"/>
                      <w:kern w:val="0"/>
                      <w:szCs w:val="21"/>
                    </w:rPr>
                    <w:t>农用机械</w:t>
                  </w:r>
                  <w:r>
                    <w:rPr>
                      <w:snapToGrid w:val="0"/>
                      <w:color w:val="auto"/>
                      <w:szCs w:val="21"/>
                      <w:lang w:val="zh-CN"/>
                    </w:rPr>
                    <w:t>拆解后可回收产物：如钢铁、有色金属、非金属等出售给需要的企业，由购买方自行运输；</w:t>
                  </w:r>
                </w:p>
                <w:p w14:paraId="6BEC3A66">
                  <w:pPr>
                    <w:adjustRightInd w:val="0"/>
                    <w:snapToGrid w:val="0"/>
                    <w:rPr>
                      <w:snapToGrid w:val="0"/>
                      <w:color w:val="auto"/>
                      <w:szCs w:val="21"/>
                      <w:lang w:val="zh-CN"/>
                    </w:rPr>
                  </w:pPr>
                  <w:r>
                    <w:rPr>
                      <w:rFonts w:hint="eastAsia" w:ascii="宋体" w:hAnsi="宋体" w:cs="宋体"/>
                      <w:snapToGrid w:val="0"/>
                      <w:color w:val="auto"/>
                      <w:szCs w:val="21"/>
                      <w:lang w:val="zh-CN"/>
                    </w:rPr>
                    <w:t>②</w:t>
                  </w:r>
                  <w:r>
                    <w:rPr>
                      <w:snapToGrid w:val="0"/>
                      <w:color w:val="auto"/>
                      <w:szCs w:val="21"/>
                      <w:lang w:val="zh-CN"/>
                    </w:rPr>
                    <w:t>其余不可回收产物：按一般固体废物处理，拆解后的一般固体废物委托</w:t>
                  </w:r>
                  <w:r>
                    <w:rPr>
                      <w:color w:val="auto"/>
                      <w:szCs w:val="21"/>
                    </w:rPr>
                    <w:t>由市政部门统一清运；</w:t>
                  </w:r>
                </w:p>
                <w:p w14:paraId="5BB7B431">
                  <w:pPr>
                    <w:adjustRightInd w:val="0"/>
                    <w:snapToGrid w:val="0"/>
                    <w:rPr>
                      <w:b/>
                      <w:color w:val="auto"/>
                      <w:szCs w:val="21"/>
                    </w:rPr>
                  </w:pPr>
                  <w:r>
                    <w:rPr>
                      <w:rFonts w:hint="eastAsia" w:ascii="宋体" w:hAnsi="宋体" w:cs="宋体"/>
                      <w:snapToGrid w:val="0"/>
                      <w:color w:val="auto"/>
                      <w:szCs w:val="21"/>
                      <w:lang w:val="zh-CN"/>
                    </w:rPr>
                    <w:t>③</w:t>
                  </w:r>
                  <w:r>
                    <w:rPr>
                      <w:snapToGrid w:val="0"/>
                      <w:color w:val="auto"/>
                      <w:szCs w:val="21"/>
                      <w:lang w:val="zh-CN"/>
                    </w:rPr>
                    <w:t>拆解后的危险废物：严格按照《</w:t>
                  </w:r>
                  <w:r>
                    <w:rPr>
                      <w:rFonts w:hint="eastAsia"/>
                      <w:color w:val="auto"/>
                    </w:rPr>
                    <w:t>危险废物转移管理办法</w:t>
                  </w:r>
                  <w:r>
                    <w:rPr>
                      <w:snapToGrid w:val="0"/>
                      <w:color w:val="auto"/>
                      <w:szCs w:val="21"/>
                      <w:lang w:val="zh-CN"/>
                    </w:rPr>
                    <w:t>》管理交由有资质的单位处理处置。</w:t>
                  </w:r>
                </w:p>
              </w:tc>
            </w:tr>
          </w:tbl>
          <w:p w14:paraId="1A3C1E87">
            <w:pPr>
              <w:pStyle w:val="84"/>
              <w:rPr>
                <w:color w:val="auto"/>
              </w:rPr>
            </w:pPr>
            <w:r>
              <w:rPr>
                <w:color w:val="auto"/>
              </w:rPr>
              <w:t>四、主要设备</w:t>
            </w:r>
          </w:p>
          <w:p w14:paraId="343D835E">
            <w:pPr>
              <w:pStyle w:val="77"/>
              <w:rPr>
                <w:rFonts w:hint="eastAsia" w:eastAsia="宋体"/>
                <w:color w:val="auto"/>
                <w:lang w:eastAsia="zh-CN"/>
              </w:rPr>
            </w:pPr>
            <w:r>
              <w:rPr>
                <w:color w:val="auto"/>
              </w:rPr>
              <w:t>本项目主要设备清单见下表。</w:t>
            </w:r>
            <w:r>
              <w:rPr>
                <w:rFonts w:hint="eastAsia"/>
                <w:color w:val="FF0000"/>
                <w:lang w:val="en-US" w:eastAsia="zh-CN"/>
              </w:rPr>
              <w:t>不涉及</w:t>
            </w:r>
            <w:r>
              <w:rPr>
                <w:rFonts w:hint="eastAsia"/>
                <w:color w:val="FF0000"/>
              </w:rPr>
              <w:t>乙炔、氧气等辅助拆解设备设施</w:t>
            </w:r>
            <w:r>
              <w:rPr>
                <w:rFonts w:hint="eastAsia"/>
                <w:color w:val="FF0000"/>
                <w:lang w:eastAsia="zh-CN"/>
              </w:rPr>
              <w:t>。</w:t>
            </w:r>
          </w:p>
          <w:p w14:paraId="346434A5">
            <w:pPr>
              <w:pStyle w:val="78"/>
              <w:rPr>
                <w:color w:val="auto"/>
              </w:rPr>
            </w:pPr>
            <w:r>
              <w:rPr>
                <w:color w:val="auto"/>
              </w:rPr>
              <w:t>表2-5 本项目主要生产设备一览表</w:t>
            </w:r>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64"/>
              <w:gridCol w:w="2730"/>
              <w:gridCol w:w="1949"/>
              <w:gridCol w:w="2130"/>
            </w:tblGrid>
            <w:tr w14:paraId="15A77F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4" w:type="dxa"/>
                  <w:vAlign w:val="center"/>
                </w:tcPr>
                <w:p w14:paraId="466028FA">
                  <w:pPr>
                    <w:pStyle w:val="51"/>
                    <w:rPr>
                      <w:b/>
                      <w:bCs/>
                      <w:color w:val="auto"/>
                    </w:rPr>
                  </w:pPr>
                  <w:r>
                    <w:rPr>
                      <w:b/>
                      <w:bCs/>
                      <w:color w:val="auto"/>
                    </w:rPr>
                    <w:t>序号</w:t>
                  </w:r>
                </w:p>
              </w:tc>
              <w:tc>
                <w:tcPr>
                  <w:tcW w:w="2730" w:type="dxa"/>
                  <w:vAlign w:val="center"/>
                </w:tcPr>
                <w:p w14:paraId="50BA0B2D">
                  <w:pPr>
                    <w:pStyle w:val="51"/>
                    <w:rPr>
                      <w:b/>
                      <w:bCs/>
                      <w:color w:val="auto"/>
                    </w:rPr>
                  </w:pPr>
                  <w:r>
                    <w:rPr>
                      <w:b/>
                      <w:bCs/>
                      <w:color w:val="auto"/>
                    </w:rPr>
                    <w:t>设备名称</w:t>
                  </w:r>
                </w:p>
              </w:tc>
              <w:tc>
                <w:tcPr>
                  <w:tcW w:w="1949" w:type="dxa"/>
                </w:tcPr>
                <w:p w14:paraId="6C83F889">
                  <w:pPr>
                    <w:pStyle w:val="51"/>
                    <w:rPr>
                      <w:b/>
                      <w:bCs/>
                      <w:color w:val="auto"/>
                    </w:rPr>
                  </w:pPr>
                  <w:r>
                    <w:rPr>
                      <w:b/>
                      <w:bCs/>
                      <w:color w:val="auto"/>
                    </w:rPr>
                    <w:t>单位</w:t>
                  </w:r>
                </w:p>
              </w:tc>
              <w:tc>
                <w:tcPr>
                  <w:tcW w:w="2130" w:type="dxa"/>
                </w:tcPr>
                <w:p w14:paraId="72785E71">
                  <w:pPr>
                    <w:pStyle w:val="51"/>
                    <w:rPr>
                      <w:b/>
                      <w:bCs/>
                      <w:color w:val="auto"/>
                    </w:rPr>
                  </w:pPr>
                  <w:r>
                    <w:rPr>
                      <w:b/>
                      <w:bCs/>
                      <w:color w:val="auto"/>
                    </w:rPr>
                    <w:t>数量</w:t>
                  </w:r>
                </w:p>
              </w:tc>
            </w:tr>
            <w:tr w14:paraId="54560E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4" w:type="dxa"/>
                  <w:vAlign w:val="center"/>
                </w:tcPr>
                <w:p w14:paraId="1C59470F">
                  <w:pPr>
                    <w:pStyle w:val="51"/>
                    <w:rPr>
                      <w:color w:val="auto"/>
                    </w:rPr>
                  </w:pPr>
                  <w:r>
                    <w:rPr>
                      <w:color w:val="auto"/>
                    </w:rPr>
                    <w:t>1</w:t>
                  </w:r>
                </w:p>
              </w:tc>
              <w:tc>
                <w:tcPr>
                  <w:tcW w:w="2730" w:type="dxa"/>
                  <w:vAlign w:val="center"/>
                </w:tcPr>
                <w:p w14:paraId="272FB44F">
                  <w:pPr>
                    <w:pStyle w:val="51"/>
                    <w:rPr>
                      <w:color w:val="auto"/>
                    </w:rPr>
                  </w:pPr>
                  <w:r>
                    <w:rPr>
                      <w:color w:val="auto"/>
                    </w:rPr>
                    <w:t>龙门吊</w:t>
                  </w:r>
                </w:p>
              </w:tc>
              <w:tc>
                <w:tcPr>
                  <w:tcW w:w="1949" w:type="dxa"/>
                </w:tcPr>
                <w:p w14:paraId="04488C41">
                  <w:pPr>
                    <w:pStyle w:val="51"/>
                    <w:rPr>
                      <w:color w:val="auto"/>
                    </w:rPr>
                  </w:pPr>
                  <w:r>
                    <w:rPr>
                      <w:color w:val="auto"/>
                    </w:rPr>
                    <w:t>台</w:t>
                  </w:r>
                </w:p>
              </w:tc>
              <w:tc>
                <w:tcPr>
                  <w:tcW w:w="2130" w:type="dxa"/>
                  <w:vAlign w:val="center"/>
                </w:tcPr>
                <w:p w14:paraId="2E376DC0">
                  <w:pPr>
                    <w:pStyle w:val="51"/>
                    <w:rPr>
                      <w:color w:val="auto"/>
                    </w:rPr>
                  </w:pPr>
                  <w:r>
                    <w:rPr>
                      <w:color w:val="auto"/>
                    </w:rPr>
                    <w:t>1</w:t>
                  </w:r>
                </w:p>
              </w:tc>
            </w:tr>
            <w:tr w14:paraId="11D285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4" w:type="dxa"/>
                  <w:vAlign w:val="center"/>
                </w:tcPr>
                <w:p w14:paraId="234EEB30">
                  <w:pPr>
                    <w:pStyle w:val="51"/>
                    <w:rPr>
                      <w:color w:val="auto"/>
                    </w:rPr>
                  </w:pPr>
                  <w:r>
                    <w:rPr>
                      <w:color w:val="auto"/>
                    </w:rPr>
                    <w:t>2</w:t>
                  </w:r>
                </w:p>
              </w:tc>
              <w:tc>
                <w:tcPr>
                  <w:tcW w:w="2730" w:type="dxa"/>
                  <w:vAlign w:val="center"/>
                </w:tcPr>
                <w:p w14:paraId="43021FFD">
                  <w:pPr>
                    <w:pStyle w:val="51"/>
                    <w:rPr>
                      <w:color w:val="auto"/>
                    </w:rPr>
                  </w:pPr>
                  <w:r>
                    <w:rPr>
                      <w:color w:val="auto"/>
                    </w:rPr>
                    <w:t>等离子切割机</w:t>
                  </w:r>
                </w:p>
              </w:tc>
              <w:tc>
                <w:tcPr>
                  <w:tcW w:w="1949" w:type="dxa"/>
                </w:tcPr>
                <w:p w14:paraId="1B25324E">
                  <w:pPr>
                    <w:pStyle w:val="51"/>
                    <w:rPr>
                      <w:color w:val="auto"/>
                    </w:rPr>
                  </w:pPr>
                  <w:r>
                    <w:rPr>
                      <w:color w:val="auto"/>
                    </w:rPr>
                    <w:t>台</w:t>
                  </w:r>
                </w:p>
              </w:tc>
              <w:tc>
                <w:tcPr>
                  <w:tcW w:w="2130" w:type="dxa"/>
                  <w:vAlign w:val="center"/>
                </w:tcPr>
                <w:p w14:paraId="6ACC6F1D">
                  <w:pPr>
                    <w:pStyle w:val="51"/>
                    <w:rPr>
                      <w:rFonts w:hint="eastAsia" w:eastAsia="宋体"/>
                      <w:color w:val="auto"/>
                      <w:lang w:eastAsia="zh-CN"/>
                    </w:rPr>
                  </w:pPr>
                  <w:r>
                    <w:rPr>
                      <w:rFonts w:hint="eastAsia"/>
                      <w:color w:val="auto"/>
                      <w:lang w:val="en-US" w:eastAsia="zh-CN"/>
                    </w:rPr>
                    <w:t>1</w:t>
                  </w:r>
                </w:p>
              </w:tc>
            </w:tr>
            <w:tr w14:paraId="258217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4" w:type="dxa"/>
                  <w:vAlign w:val="center"/>
                </w:tcPr>
                <w:p w14:paraId="46DC732E">
                  <w:pPr>
                    <w:pStyle w:val="51"/>
                    <w:rPr>
                      <w:color w:val="auto"/>
                    </w:rPr>
                  </w:pPr>
                  <w:r>
                    <w:rPr>
                      <w:color w:val="auto"/>
                    </w:rPr>
                    <w:t>3</w:t>
                  </w:r>
                </w:p>
              </w:tc>
              <w:tc>
                <w:tcPr>
                  <w:tcW w:w="2730" w:type="dxa"/>
                  <w:vAlign w:val="center"/>
                </w:tcPr>
                <w:p w14:paraId="61EF341B">
                  <w:pPr>
                    <w:pStyle w:val="51"/>
                    <w:rPr>
                      <w:color w:val="auto"/>
                    </w:rPr>
                  </w:pPr>
                  <w:r>
                    <w:rPr>
                      <w:color w:val="auto"/>
                    </w:rPr>
                    <w:t>无齿锯</w:t>
                  </w:r>
                </w:p>
              </w:tc>
              <w:tc>
                <w:tcPr>
                  <w:tcW w:w="1949" w:type="dxa"/>
                </w:tcPr>
                <w:p w14:paraId="18BC6597">
                  <w:pPr>
                    <w:pStyle w:val="51"/>
                    <w:rPr>
                      <w:b/>
                      <w:bCs/>
                      <w:color w:val="auto"/>
                    </w:rPr>
                  </w:pPr>
                  <w:r>
                    <w:rPr>
                      <w:color w:val="auto"/>
                    </w:rPr>
                    <w:t>台</w:t>
                  </w:r>
                </w:p>
              </w:tc>
              <w:tc>
                <w:tcPr>
                  <w:tcW w:w="2130" w:type="dxa"/>
                  <w:vAlign w:val="center"/>
                </w:tcPr>
                <w:p w14:paraId="5A1444B0">
                  <w:pPr>
                    <w:pStyle w:val="51"/>
                    <w:rPr>
                      <w:color w:val="auto"/>
                    </w:rPr>
                  </w:pPr>
                  <w:r>
                    <w:rPr>
                      <w:color w:val="auto"/>
                    </w:rPr>
                    <w:t>1</w:t>
                  </w:r>
                </w:p>
              </w:tc>
            </w:tr>
            <w:tr w14:paraId="280601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4" w:type="dxa"/>
                  <w:vAlign w:val="center"/>
                </w:tcPr>
                <w:p w14:paraId="2FFEA476">
                  <w:pPr>
                    <w:pStyle w:val="51"/>
                    <w:rPr>
                      <w:color w:val="auto"/>
                    </w:rPr>
                  </w:pPr>
                  <w:r>
                    <w:rPr>
                      <w:color w:val="auto"/>
                    </w:rPr>
                    <w:t>4</w:t>
                  </w:r>
                </w:p>
              </w:tc>
              <w:tc>
                <w:tcPr>
                  <w:tcW w:w="2730" w:type="dxa"/>
                  <w:vAlign w:val="center"/>
                </w:tcPr>
                <w:p w14:paraId="197D890A">
                  <w:pPr>
                    <w:pStyle w:val="51"/>
                    <w:rPr>
                      <w:color w:val="auto"/>
                    </w:rPr>
                  </w:pPr>
                  <w:r>
                    <w:rPr>
                      <w:color w:val="auto"/>
                    </w:rPr>
                    <w:t>液压剪</w:t>
                  </w:r>
                </w:p>
              </w:tc>
              <w:tc>
                <w:tcPr>
                  <w:tcW w:w="1949" w:type="dxa"/>
                </w:tcPr>
                <w:p w14:paraId="7A592457">
                  <w:pPr>
                    <w:pStyle w:val="51"/>
                    <w:rPr>
                      <w:color w:val="auto"/>
                    </w:rPr>
                  </w:pPr>
                  <w:r>
                    <w:rPr>
                      <w:color w:val="auto"/>
                    </w:rPr>
                    <w:t>套</w:t>
                  </w:r>
                </w:p>
              </w:tc>
              <w:tc>
                <w:tcPr>
                  <w:tcW w:w="2130" w:type="dxa"/>
                  <w:vAlign w:val="center"/>
                </w:tcPr>
                <w:p w14:paraId="272DF9E1">
                  <w:pPr>
                    <w:pStyle w:val="51"/>
                    <w:rPr>
                      <w:color w:val="auto"/>
                    </w:rPr>
                  </w:pPr>
                  <w:r>
                    <w:rPr>
                      <w:color w:val="auto"/>
                    </w:rPr>
                    <w:t>1</w:t>
                  </w:r>
                </w:p>
              </w:tc>
            </w:tr>
            <w:tr w14:paraId="32F526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4" w:type="dxa"/>
                  <w:vAlign w:val="center"/>
                </w:tcPr>
                <w:p w14:paraId="6349F786">
                  <w:pPr>
                    <w:pStyle w:val="51"/>
                    <w:rPr>
                      <w:color w:val="auto"/>
                    </w:rPr>
                  </w:pPr>
                  <w:r>
                    <w:rPr>
                      <w:color w:val="auto"/>
                    </w:rPr>
                    <w:t>5</w:t>
                  </w:r>
                </w:p>
              </w:tc>
              <w:tc>
                <w:tcPr>
                  <w:tcW w:w="2730" w:type="dxa"/>
                  <w:vAlign w:val="center"/>
                </w:tcPr>
                <w:p w14:paraId="69045574">
                  <w:pPr>
                    <w:pStyle w:val="51"/>
                    <w:rPr>
                      <w:color w:val="auto"/>
                    </w:rPr>
                  </w:pPr>
                  <w:r>
                    <w:rPr>
                      <w:color w:val="auto"/>
                    </w:rPr>
                    <w:t>油液油排设备</w:t>
                  </w:r>
                </w:p>
              </w:tc>
              <w:tc>
                <w:tcPr>
                  <w:tcW w:w="1949" w:type="dxa"/>
                </w:tcPr>
                <w:p w14:paraId="53BED19A">
                  <w:pPr>
                    <w:pStyle w:val="51"/>
                    <w:rPr>
                      <w:color w:val="auto"/>
                    </w:rPr>
                  </w:pPr>
                  <w:r>
                    <w:rPr>
                      <w:color w:val="auto"/>
                    </w:rPr>
                    <w:t>台</w:t>
                  </w:r>
                </w:p>
              </w:tc>
              <w:tc>
                <w:tcPr>
                  <w:tcW w:w="2130" w:type="dxa"/>
                  <w:vAlign w:val="center"/>
                </w:tcPr>
                <w:p w14:paraId="1FB340F5">
                  <w:pPr>
                    <w:pStyle w:val="51"/>
                    <w:rPr>
                      <w:color w:val="auto"/>
                    </w:rPr>
                  </w:pPr>
                  <w:r>
                    <w:rPr>
                      <w:color w:val="auto"/>
                    </w:rPr>
                    <w:t>1</w:t>
                  </w:r>
                </w:p>
              </w:tc>
            </w:tr>
            <w:tr w14:paraId="1EB621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4" w:type="dxa"/>
                  <w:vAlign w:val="center"/>
                </w:tcPr>
                <w:p w14:paraId="03070A5B">
                  <w:pPr>
                    <w:pStyle w:val="51"/>
                    <w:rPr>
                      <w:color w:val="auto"/>
                    </w:rPr>
                  </w:pPr>
                  <w:r>
                    <w:rPr>
                      <w:color w:val="auto"/>
                    </w:rPr>
                    <w:t>6</w:t>
                  </w:r>
                </w:p>
              </w:tc>
              <w:tc>
                <w:tcPr>
                  <w:tcW w:w="2730" w:type="dxa"/>
                  <w:vAlign w:val="center"/>
                </w:tcPr>
                <w:p w14:paraId="484D48B9">
                  <w:pPr>
                    <w:pStyle w:val="51"/>
                    <w:rPr>
                      <w:rFonts w:hint="eastAsia" w:eastAsia="宋体"/>
                      <w:color w:val="auto"/>
                      <w:lang w:eastAsia="zh-CN"/>
                    </w:rPr>
                  </w:pPr>
                  <w:r>
                    <w:rPr>
                      <w:rFonts w:hint="eastAsia"/>
                      <w:color w:val="auto"/>
                      <w:szCs w:val="21"/>
                      <w:lang w:eastAsia="zh-CN"/>
                    </w:rPr>
                    <w:t>移动式布袋除尘器</w:t>
                  </w:r>
                </w:p>
              </w:tc>
              <w:tc>
                <w:tcPr>
                  <w:tcW w:w="1949" w:type="dxa"/>
                </w:tcPr>
                <w:p w14:paraId="7F90A979">
                  <w:pPr>
                    <w:pStyle w:val="51"/>
                    <w:rPr>
                      <w:color w:val="auto"/>
                    </w:rPr>
                  </w:pPr>
                  <w:r>
                    <w:rPr>
                      <w:color w:val="auto"/>
                    </w:rPr>
                    <w:t>套</w:t>
                  </w:r>
                </w:p>
              </w:tc>
              <w:tc>
                <w:tcPr>
                  <w:tcW w:w="2130" w:type="dxa"/>
                  <w:vAlign w:val="center"/>
                </w:tcPr>
                <w:p w14:paraId="2529267A">
                  <w:pPr>
                    <w:pStyle w:val="51"/>
                    <w:rPr>
                      <w:color w:val="auto"/>
                    </w:rPr>
                  </w:pPr>
                  <w:r>
                    <w:rPr>
                      <w:color w:val="auto"/>
                    </w:rPr>
                    <w:t>1</w:t>
                  </w:r>
                </w:p>
              </w:tc>
            </w:tr>
            <w:tr w14:paraId="41C306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4" w:type="dxa"/>
                  <w:vAlign w:val="center"/>
                </w:tcPr>
                <w:p w14:paraId="3380770B">
                  <w:pPr>
                    <w:pStyle w:val="51"/>
                    <w:rPr>
                      <w:rFonts w:hint="eastAsia" w:eastAsia="宋体"/>
                      <w:color w:val="auto"/>
                      <w:lang w:val="en-US" w:eastAsia="zh-CN"/>
                    </w:rPr>
                  </w:pPr>
                  <w:r>
                    <w:rPr>
                      <w:rFonts w:hint="eastAsia"/>
                      <w:color w:val="auto"/>
                      <w:lang w:val="en-US" w:eastAsia="zh-CN"/>
                    </w:rPr>
                    <w:t>7</w:t>
                  </w:r>
                </w:p>
              </w:tc>
              <w:tc>
                <w:tcPr>
                  <w:tcW w:w="2730" w:type="dxa"/>
                  <w:vAlign w:val="center"/>
                </w:tcPr>
                <w:p w14:paraId="4B0D3934">
                  <w:pPr>
                    <w:pStyle w:val="51"/>
                    <w:rPr>
                      <w:rFonts w:hint="default"/>
                      <w:color w:val="auto"/>
                      <w:szCs w:val="21"/>
                      <w:lang w:val="en-US" w:eastAsia="zh-CN"/>
                    </w:rPr>
                  </w:pPr>
                  <w:r>
                    <w:rPr>
                      <w:rFonts w:hint="eastAsia"/>
                      <w:color w:val="auto"/>
                      <w:szCs w:val="21"/>
                      <w:lang w:val="en-US" w:eastAsia="zh-CN"/>
                    </w:rPr>
                    <w:t>活性炭吸附装置</w:t>
                  </w:r>
                </w:p>
              </w:tc>
              <w:tc>
                <w:tcPr>
                  <w:tcW w:w="1949" w:type="dxa"/>
                </w:tcPr>
                <w:p w14:paraId="13E29BD7">
                  <w:pPr>
                    <w:pStyle w:val="51"/>
                    <w:rPr>
                      <w:color w:val="auto"/>
                    </w:rPr>
                  </w:pPr>
                  <w:r>
                    <w:rPr>
                      <w:rFonts w:hint="eastAsia"/>
                      <w:color w:val="auto"/>
                    </w:rPr>
                    <w:t>套</w:t>
                  </w:r>
                </w:p>
              </w:tc>
              <w:tc>
                <w:tcPr>
                  <w:tcW w:w="2130" w:type="dxa"/>
                  <w:vAlign w:val="center"/>
                </w:tcPr>
                <w:p w14:paraId="46DF793F">
                  <w:pPr>
                    <w:pStyle w:val="51"/>
                    <w:rPr>
                      <w:rFonts w:hint="eastAsia" w:eastAsia="宋体"/>
                      <w:color w:val="auto"/>
                      <w:lang w:val="en-US" w:eastAsia="zh-CN"/>
                    </w:rPr>
                  </w:pPr>
                  <w:r>
                    <w:rPr>
                      <w:rFonts w:hint="eastAsia"/>
                      <w:color w:val="auto"/>
                      <w:lang w:val="en-US" w:eastAsia="zh-CN"/>
                    </w:rPr>
                    <w:t>1</w:t>
                  </w:r>
                </w:p>
              </w:tc>
            </w:tr>
            <w:tr w14:paraId="76A450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4" w:type="dxa"/>
                  <w:vAlign w:val="center"/>
                </w:tcPr>
                <w:p w14:paraId="27794035">
                  <w:pPr>
                    <w:pStyle w:val="51"/>
                    <w:rPr>
                      <w:rFonts w:hint="default"/>
                      <w:color w:val="auto"/>
                      <w:lang w:val="en-US" w:eastAsia="zh-CN"/>
                    </w:rPr>
                  </w:pPr>
                  <w:r>
                    <w:rPr>
                      <w:rFonts w:hint="eastAsia"/>
                      <w:color w:val="auto"/>
                      <w:lang w:val="en-US" w:eastAsia="zh-CN"/>
                    </w:rPr>
                    <w:t>8</w:t>
                  </w:r>
                </w:p>
              </w:tc>
              <w:tc>
                <w:tcPr>
                  <w:tcW w:w="2730" w:type="dxa"/>
                  <w:vAlign w:val="center"/>
                </w:tcPr>
                <w:p w14:paraId="42D1F723">
                  <w:pPr>
                    <w:pStyle w:val="51"/>
                    <w:rPr>
                      <w:rFonts w:hint="eastAsia"/>
                      <w:color w:val="auto"/>
                      <w:szCs w:val="21"/>
                      <w:lang w:val="en-US" w:eastAsia="zh-CN"/>
                    </w:rPr>
                  </w:pPr>
                  <w:r>
                    <w:rPr>
                      <w:rFonts w:hint="eastAsia"/>
                      <w:color w:val="auto"/>
                      <w:szCs w:val="21"/>
                      <w:lang w:val="en-US" w:eastAsia="zh-CN"/>
                    </w:rPr>
                    <w:t>油水分离器</w:t>
                  </w:r>
                </w:p>
              </w:tc>
              <w:tc>
                <w:tcPr>
                  <w:tcW w:w="1949" w:type="dxa"/>
                  <w:vAlign w:val="top"/>
                </w:tcPr>
                <w:p w14:paraId="1D77AE33">
                  <w:pPr>
                    <w:pStyle w:val="51"/>
                    <w:rPr>
                      <w:rFonts w:hint="eastAsia" w:ascii="Times New Roman" w:hAnsi="Times New Roman" w:eastAsia="宋体" w:cs="Times New Roman"/>
                      <w:color w:val="auto"/>
                      <w:kern w:val="2"/>
                      <w:sz w:val="21"/>
                      <w:szCs w:val="24"/>
                      <w:lang w:val="en-US" w:eastAsia="zh-CN" w:bidi="ar-SA"/>
                    </w:rPr>
                  </w:pPr>
                  <w:r>
                    <w:rPr>
                      <w:rFonts w:hint="eastAsia"/>
                      <w:color w:val="auto"/>
                    </w:rPr>
                    <w:t>套</w:t>
                  </w:r>
                </w:p>
              </w:tc>
              <w:tc>
                <w:tcPr>
                  <w:tcW w:w="2130" w:type="dxa"/>
                  <w:vAlign w:val="center"/>
                </w:tcPr>
                <w:p w14:paraId="45E7AD09">
                  <w:pPr>
                    <w:pStyle w:val="51"/>
                    <w:rPr>
                      <w:rFonts w:hint="eastAsia" w:ascii="Times New Roman" w:hAnsi="Times New Roman" w:eastAsia="宋体" w:cs="Times New Roman"/>
                      <w:color w:val="auto"/>
                      <w:kern w:val="2"/>
                      <w:sz w:val="21"/>
                      <w:szCs w:val="24"/>
                      <w:lang w:val="en-US" w:eastAsia="zh-CN" w:bidi="ar-SA"/>
                    </w:rPr>
                  </w:pPr>
                  <w:r>
                    <w:rPr>
                      <w:rFonts w:hint="eastAsia"/>
                      <w:color w:val="auto"/>
                      <w:lang w:val="en-US" w:eastAsia="zh-CN"/>
                    </w:rPr>
                    <w:t>1</w:t>
                  </w:r>
                </w:p>
              </w:tc>
            </w:tr>
            <w:tr w14:paraId="0B96D5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4" w:type="dxa"/>
                  <w:vAlign w:val="center"/>
                </w:tcPr>
                <w:p w14:paraId="2DE4B8D9">
                  <w:pPr>
                    <w:pStyle w:val="51"/>
                    <w:rPr>
                      <w:rFonts w:hint="default"/>
                      <w:color w:val="auto"/>
                      <w:lang w:val="en-US" w:eastAsia="zh-CN"/>
                    </w:rPr>
                  </w:pPr>
                  <w:r>
                    <w:rPr>
                      <w:rFonts w:hint="eastAsia"/>
                      <w:color w:val="auto"/>
                      <w:lang w:val="en-US" w:eastAsia="zh-CN"/>
                    </w:rPr>
                    <w:t>9</w:t>
                  </w:r>
                </w:p>
              </w:tc>
              <w:tc>
                <w:tcPr>
                  <w:tcW w:w="2730" w:type="dxa"/>
                  <w:vAlign w:val="center"/>
                </w:tcPr>
                <w:p w14:paraId="50ED7A5F">
                  <w:pPr>
                    <w:pStyle w:val="51"/>
                    <w:rPr>
                      <w:rFonts w:hint="default"/>
                      <w:color w:val="auto"/>
                      <w:szCs w:val="21"/>
                      <w:lang w:val="en-US" w:eastAsia="zh-CN"/>
                    </w:rPr>
                  </w:pPr>
                  <w:r>
                    <w:rPr>
                      <w:rFonts w:hint="eastAsia"/>
                      <w:color w:val="auto"/>
                      <w:szCs w:val="21"/>
                      <w:lang w:val="en-US" w:eastAsia="zh-CN"/>
                    </w:rPr>
                    <w:t>挖掘机</w:t>
                  </w:r>
                </w:p>
              </w:tc>
              <w:tc>
                <w:tcPr>
                  <w:tcW w:w="1949" w:type="dxa"/>
                  <w:vAlign w:val="top"/>
                </w:tcPr>
                <w:p w14:paraId="66AFA6AA">
                  <w:pPr>
                    <w:pStyle w:val="51"/>
                    <w:rPr>
                      <w:rFonts w:hint="eastAsia" w:eastAsia="宋体"/>
                      <w:color w:val="auto"/>
                      <w:lang w:val="en-US" w:eastAsia="zh-CN"/>
                    </w:rPr>
                  </w:pPr>
                  <w:r>
                    <w:rPr>
                      <w:rFonts w:hint="eastAsia"/>
                      <w:color w:val="auto"/>
                      <w:lang w:val="en-US" w:eastAsia="zh-CN"/>
                    </w:rPr>
                    <w:t>辆</w:t>
                  </w:r>
                </w:p>
              </w:tc>
              <w:tc>
                <w:tcPr>
                  <w:tcW w:w="2130" w:type="dxa"/>
                  <w:vAlign w:val="center"/>
                </w:tcPr>
                <w:p w14:paraId="711E0E7F">
                  <w:pPr>
                    <w:pStyle w:val="51"/>
                    <w:rPr>
                      <w:rFonts w:hint="default"/>
                      <w:color w:val="auto"/>
                      <w:lang w:val="en-US" w:eastAsia="zh-CN"/>
                    </w:rPr>
                  </w:pPr>
                  <w:r>
                    <w:rPr>
                      <w:rFonts w:hint="eastAsia"/>
                      <w:color w:val="auto"/>
                      <w:lang w:val="en-US" w:eastAsia="zh-CN"/>
                    </w:rPr>
                    <w:t>1</w:t>
                  </w:r>
                </w:p>
              </w:tc>
            </w:tr>
            <w:tr w14:paraId="40EFC5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1364" w:type="dxa"/>
                  <w:vAlign w:val="center"/>
                </w:tcPr>
                <w:p w14:paraId="2598543A">
                  <w:pPr>
                    <w:pStyle w:val="51"/>
                    <w:rPr>
                      <w:rFonts w:hint="default"/>
                      <w:color w:val="auto"/>
                      <w:lang w:val="en-US" w:eastAsia="zh-CN"/>
                    </w:rPr>
                  </w:pPr>
                  <w:r>
                    <w:rPr>
                      <w:rFonts w:hint="eastAsia"/>
                      <w:color w:val="auto"/>
                      <w:lang w:val="en-US" w:eastAsia="zh-CN"/>
                    </w:rPr>
                    <w:t>10</w:t>
                  </w:r>
                </w:p>
              </w:tc>
              <w:tc>
                <w:tcPr>
                  <w:tcW w:w="2730" w:type="dxa"/>
                  <w:vAlign w:val="center"/>
                </w:tcPr>
                <w:p w14:paraId="01239BBE">
                  <w:pPr>
                    <w:pStyle w:val="51"/>
                    <w:rPr>
                      <w:rFonts w:hint="default"/>
                      <w:color w:val="auto"/>
                      <w:szCs w:val="21"/>
                      <w:lang w:val="en-US" w:eastAsia="zh-CN"/>
                    </w:rPr>
                  </w:pPr>
                  <w:r>
                    <w:rPr>
                      <w:rFonts w:hint="eastAsia"/>
                      <w:color w:val="auto"/>
                      <w:szCs w:val="21"/>
                      <w:lang w:val="en-US" w:eastAsia="zh-CN"/>
                    </w:rPr>
                    <w:t>叉车</w:t>
                  </w:r>
                </w:p>
              </w:tc>
              <w:tc>
                <w:tcPr>
                  <w:tcW w:w="1949" w:type="dxa"/>
                  <w:vAlign w:val="top"/>
                </w:tcPr>
                <w:p w14:paraId="5BBE5543">
                  <w:pPr>
                    <w:pStyle w:val="51"/>
                    <w:rPr>
                      <w:rFonts w:hint="eastAsia"/>
                      <w:color w:val="auto"/>
                    </w:rPr>
                  </w:pPr>
                  <w:r>
                    <w:rPr>
                      <w:rFonts w:hint="eastAsia"/>
                      <w:color w:val="auto"/>
                      <w:lang w:val="en-US" w:eastAsia="zh-CN"/>
                    </w:rPr>
                    <w:t>辆</w:t>
                  </w:r>
                </w:p>
              </w:tc>
              <w:tc>
                <w:tcPr>
                  <w:tcW w:w="2130" w:type="dxa"/>
                  <w:vAlign w:val="center"/>
                </w:tcPr>
                <w:p w14:paraId="23DDA772">
                  <w:pPr>
                    <w:pStyle w:val="51"/>
                    <w:rPr>
                      <w:rFonts w:hint="default"/>
                      <w:color w:val="auto"/>
                      <w:lang w:val="en-US" w:eastAsia="zh-CN"/>
                    </w:rPr>
                  </w:pPr>
                  <w:r>
                    <w:rPr>
                      <w:rFonts w:hint="eastAsia"/>
                      <w:color w:val="auto"/>
                      <w:lang w:val="en-US" w:eastAsia="zh-CN"/>
                    </w:rPr>
                    <w:t>1</w:t>
                  </w:r>
                </w:p>
              </w:tc>
            </w:tr>
          </w:tbl>
          <w:p w14:paraId="14ADB880">
            <w:pPr>
              <w:pStyle w:val="56"/>
              <w:spacing w:before="120" w:beforeLines="50"/>
              <w:ind w:firstLine="482"/>
              <w:rPr>
                <w:b/>
                <w:bCs/>
                <w:color w:val="auto"/>
              </w:rPr>
            </w:pPr>
            <w:r>
              <w:rPr>
                <w:b/>
                <w:bCs/>
                <w:color w:val="auto"/>
              </w:rPr>
              <w:t>五、劳动定员</w:t>
            </w:r>
          </w:p>
          <w:p w14:paraId="53262622">
            <w:pPr>
              <w:pStyle w:val="61"/>
              <w:ind w:firstLine="480"/>
              <w:rPr>
                <w:color w:val="auto"/>
                <w:kern w:val="0"/>
              </w:rPr>
            </w:pPr>
            <w:r>
              <w:rPr>
                <w:color w:val="auto"/>
                <w:kern w:val="0"/>
              </w:rPr>
              <w:t>本项目劳动定员</w:t>
            </w:r>
            <w:r>
              <w:rPr>
                <w:rFonts w:hint="eastAsia"/>
                <w:color w:val="auto"/>
                <w:kern w:val="0"/>
                <w:lang w:val="en-US" w:eastAsia="zh-CN"/>
              </w:rPr>
              <w:t>5人</w:t>
            </w:r>
            <w:r>
              <w:rPr>
                <w:color w:val="auto"/>
                <w:kern w:val="0"/>
              </w:rPr>
              <w:t>，一班制，日工作8小时，年生产</w:t>
            </w:r>
            <w:r>
              <w:rPr>
                <w:rFonts w:hint="eastAsia"/>
                <w:color w:val="auto"/>
                <w:kern w:val="0"/>
                <w:lang w:val="en-US" w:eastAsia="zh-CN"/>
              </w:rPr>
              <w:t>300</w:t>
            </w:r>
            <w:r>
              <w:rPr>
                <w:color w:val="auto"/>
                <w:kern w:val="0"/>
              </w:rPr>
              <w:t>天，</w:t>
            </w:r>
            <w:r>
              <w:rPr>
                <w:rFonts w:hint="eastAsia"/>
                <w:color w:val="auto"/>
                <w:kern w:val="0"/>
                <w:lang w:val="en-US" w:eastAsia="zh-CN"/>
              </w:rPr>
              <w:t>2400</w:t>
            </w:r>
            <w:r>
              <w:rPr>
                <w:color w:val="auto"/>
                <w:kern w:val="0"/>
              </w:rPr>
              <w:t>h。</w:t>
            </w:r>
            <w:r>
              <w:rPr>
                <w:color w:val="auto"/>
              </w:rPr>
              <w:t>厂区内无食堂、无宿舍。</w:t>
            </w:r>
          </w:p>
          <w:p w14:paraId="2806BBDA">
            <w:pPr>
              <w:pStyle w:val="84"/>
              <w:rPr>
                <w:color w:val="auto"/>
              </w:rPr>
            </w:pPr>
            <w:r>
              <w:rPr>
                <w:color w:val="auto"/>
              </w:rPr>
              <w:t>六、公共工程</w:t>
            </w:r>
          </w:p>
          <w:p w14:paraId="369BF801">
            <w:pPr>
              <w:pStyle w:val="77"/>
              <w:rPr>
                <w:color w:val="auto"/>
              </w:rPr>
            </w:pPr>
            <w:r>
              <w:rPr>
                <w:color w:val="auto"/>
              </w:rPr>
              <w:t>1、供水工程</w:t>
            </w:r>
          </w:p>
          <w:p w14:paraId="49D66E82">
            <w:pPr>
              <w:pStyle w:val="77"/>
              <w:rPr>
                <w:color w:val="auto"/>
              </w:rPr>
            </w:pPr>
            <w:r>
              <w:rPr>
                <w:color w:val="auto"/>
              </w:rPr>
              <w:t>（1）水源：来自</w:t>
            </w:r>
            <w:r>
              <w:rPr>
                <w:rFonts w:hint="eastAsia"/>
                <w:color w:val="auto"/>
                <w:lang w:val="en-US" w:eastAsia="zh-CN"/>
              </w:rPr>
              <w:t>市政供水管网</w:t>
            </w:r>
            <w:r>
              <w:rPr>
                <w:color w:val="auto"/>
              </w:rPr>
              <w:t>。</w:t>
            </w:r>
          </w:p>
          <w:p w14:paraId="5DB730BC">
            <w:pPr>
              <w:pStyle w:val="77"/>
              <w:rPr>
                <w:color w:val="auto"/>
              </w:rPr>
            </w:pPr>
            <w:r>
              <w:rPr>
                <w:color w:val="auto"/>
              </w:rPr>
              <w:t>（2）用水量：本项目用水主要为生活用水，</w:t>
            </w:r>
            <w:r>
              <w:rPr>
                <w:rFonts w:hint="eastAsia"/>
                <w:color w:val="auto"/>
              </w:rPr>
              <w:t>拆解车间清洗</w:t>
            </w:r>
            <w:r>
              <w:rPr>
                <w:rFonts w:hint="eastAsia"/>
                <w:color w:val="auto"/>
                <w:lang w:val="en-US" w:eastAsia="zh-CN"/>
              </w:rPr>
              <w:t>用</w:t>
            </w:r>
            <w:r>
              <w:rPr>
                <w:rFonts w:hint="eastAsia"/>
                <w:color w:val="auto"/>
              </w:rPr>
              <w:t>水</w:t>
            </w:r>
            <w:r>
              <w:rPr>
                <w:color w:val="auto"/>
              </w:rPr>
              <w:t>。</w:t>
            </w:r>
          </w:p>
          <w:p w14:paraId="443DFAC3">
            <w:pPr>
              <w:pStyle w:val="77"/>
              <w:rPr>
                <w:color w:val="auto"/>
              </w:rPr>
            </w:pPr>
            <w:r>
              <w:rPr>
                <w:rFonts w:hint="eastAsia" w:ascii="宋体" w:hAnsi="宋体" w:cs="宋体"/>
                <w:color w:val="auto"/>
              </w:rPr>
              <w:t>①</w:t>
            </w:r>
            <w:r>
              <w:rPr>
                <w:color w:val="auto"/>
              </w:rPr>
              <w:t>生活用水：本项目职工人数为</w:t>
            </w:r>
            <w:r>
              <w:rPr>
                <w:rFonts w:hint="eastAsia"/>
                <w:color w:val="auto"/>
                <w:lang w:val="en-US" w:eastAsia="zh-CN"/>
              </w:rPr>
              <w:t>5人</w:t>
            </w:r>
            <w:r>
              <w:rPr>
                <w:color w:val="auto"/>
              </w:rPr>
              <w:t>，根据黑龙江省地方标准《用水定额》（DB23/T727-2021），按“U983 农村居民生活用水定额 80L/人·d计”，则生活用水量为</w:t>
            </w:r>
            <w:r>
              <w:rPr>
                <w:rFonts w:hint="eastAsia"/>
                <w:color w:val="auto"/>
                <w:lang w:eastAsia="zh-CN"/>
              </w:rPr>
              <w:t>0.4t/d</w:t>
            </w:r>
            <w:r>
              <w:rPr>
                <w:color w:val="auto"/>
              </w:rPr>
              <w:t>，</w:t>
            </w:r>
            <w:r>
              <w:rPr>
                <w:rFonts w:hint="eastAsia"/>
                <w:color w:val="auto"/>
                <w:lang w:val="en-US" w:eastAsia="zh-CN"/>
              </w:rPr>
              <w:t>120t/a</w:t>
            </w:r>
            <w:r>
              <w:rPr>
                <w:color w:val="auto"/>
              </w:rPr>
              <w:t>。</w:t>
            </w:r>
          </w:p>
          <w:p w14:paraId="4AF4480F">
            <w:pPr>
              <w:pStyle w:val="77"/>
              <w:rPr>
                <w:color w:val="auto"/>
              </w:rPr>
            </w:pPr>
            <w:r>
              <w:rPr>
                <w:color w:val="auto"/>
              </w:rPr>
              <w:t>2、排水工程</w:t>
            </w:r>
          </w:p>
          <w:p w14:paraId="4FF61A98">
            <w:pPr>
              <w:pStyle w:val="77"/>
              <w:rPr>
                <w:rFonts w:ascii="Times New Roman" w:hAnsi="Times New Roman" w:eastAsia="宋体" w:cs="Times New Roman"/>
                <w:color w:val="C00000"/>
              </w:rPr>
            </w:pPr>
            <w:r>
              <w:rPr>
                <w:rFonts w:hint="eastAsia"/>
                <w:color w:val="C00000"/>
              </w:rPr>
              <w:t>本项目无工艺</w:t>
            </w:r>
            <w:r>
              <w:rPr>
                <w:rFonts w:hint="eastAsia"/>
                <w:color w:val="C00000"/>
                <w:lang w:val="en-US" w:eastAsia="zh-CN"/>
              </w:rPr>
              <w:t>废</w:t>
            </w:r>
            <w:r>
              <w:rPr>
                <w:rFonts w:hint="eastAsia"/>
                <w:color w:val="C00000"/>
              </w:rPr>
              <w:t>水，</w:t>
            </w:r>
            <w:r>
              <w:rPr>
                <w:rFonts w:hint="eastAsia"/>
                <w:color w:val="C00000"/>
                <w:lang w:val="en-US" w:eastAsia="zh-CN"/>
              </w:rPr>
              <w:t>废</w:t>
            </w:r>
            <w:r>
              <w:rPr>
                <w:rFonts w:hint="eastAsia"/>
                <w:color w:val="C00000"/>
              </w:rPr>
              <w:t>水主要为员工生活</w:t>
            </w:r>
            <w:r>
              <w:rPr>
                <w:rFonts w:hint="eastAsia"/>
                <w:color w:val="C00000"/>
                <w:lang w:val="en-US" w:eastAsia="zh-CN"/>
              </w:rPr>
              <w:t>污</w:t>
            </w:r>
            <w:r>
              <w:rPr>
                <w:rFonts w:hint="eastAsia"/>
                <w:color w:val="C00000"/>
              </w:rPr>
              <w:t>水</w:t>
            </w:r>
            <w:r>
              <w:rPr>
                <w:rFonts w:hint="eastAsia"/>
                <w:color w:val="C00000"/>
                <w:lang w:val="en-US" w:eastAsia="zh-CN"/>
              </w:rPr>
              <w:t>和初期雨水</w:t>
            </w:r>
            <w:r>
              <w:rPr>
                <w:rFonts w:hint="eastAsia"/>
                <w:color w:val="C00000"/>
              </w:rPr>
              <w:t>。</w:t>
            </w:r>
            <w:r>
              <w:rPr>
                <w:color w:val="C00000"/>
              </w:rPr>
              <w:t>排放量按生活用水量的80%计算，则生活污水产生量为</w:t>
            </w:r>
            <w:r>
              <w:rPr>
                <w:rFonts w:hint="eastAsia"/>
                <w:color w:val="C00000"/>
                <w:lang w:eastAsia="zh-CN"/>
              </w:rPr>
              <w:t>0.32t/d</w:t>
            </w:r>
            <w:r>
              <w:rPr>
                <w:color w:val="C00000"/>
              </w:rPr>
              <w:t>，</w:t>
            </w:r>
            <w:r>
              <w:rPr>
                <w:rFonts w:hint="eastAsia"/>
                <w:color w:val="C00000"/>
                <w:lang w:val="en-US" w:eastAsia="zh-CN"/>
              </w:rPr>
              <w:t>96t/a</w:t>
            </w:r>
            <w:r>
              <w:rPr>
                <w:color w:val="C00000"/>
                <w:highlight w:val="none"/>
              </w:rPr>
              <w:t>。本项目生活污水</w:t>
            </w:r>
            <w:r>
              <w:rPr>
                <w:rFonts w:hint="eastAsia"/>
                <w:color w:val="C00000"/>
                <w:highlight w:val="none"/>
                <w:lang w:val="en-US" w:eastAsia="zh-CN"/>
              </w:rPr>
              <w:t>排入防渗旱厕，定期清掏</w:t>
            </w:r>
            <w:r>
              <w:rPr>
                <w:rFonts w:ascii="Times New Roman" w:hAnsi="Times New Roman" w:eastAsia="宋体" w:cs="Times New Roman"/>
                <w:color w:val="C00000"/>
              </w:rPr>
              <w:t>。</w:t>
            </w:r>
          </w:p>
          <w:p w14:paraId="701C8435">
            <w:pPr>
              <w:pStyle w:val="77"/>
              <w:rPr>
                <w:rFonts w:ascii="Times New Roman" w:hAnsi="Times New Roman" w:eastAsia="宋体" w:cs="Times New Roman"/>
                <w:color w:val="C00000"/>
              </w:rPr>
            </w:pPr>
            <w:r>
              <w:rPr>
                <w:rFonts w:ascii="Times New Roman" w:hAnsi="Times New Roman" w:eastAsia="宋体" w:cs="Times New Roman"/>
                <w:color w:val="C00000"/>
              </w:rPr>
              <w:t>待拆车辆存放区初期雨水：</w:t>
            </w:r>
          </w:p>
          <w:p w14:paraId="65F4C9C1">
            <w:pPr>
              <w:pStyle w:val="77"/>
              <w:rPr>
                <w:rFonts w:hint="eastAsia" w:ascii="Times New Roman" w:hAnsi="Times New Roman" w:eastAsia="宋体" w:cs="Times New Roman"/>
                <w:color w:val="C00000"/>
                <w:lang w:val="en-US" w:eastAsia="zh-CN"/>
              </w:rPr>
            </w:pPr>
            <w:r>
              <w:rPr>
                <w:rFonts w:hint="eastAsia" w:ascii="Times New Roman" w:hAnsi="Times New Roman" w:eastAsia="宋体" w:cs="Times New Roman"/>
                <w:color w:val="C00000"/>
                <w:lang w:val="en-US" w:eastAsia="zh-CN"/>
              </w:rPr>
              <w:t>初期污染雨水量计算公式：Q=qFφT</w:t>
            </w:r>
          </w:p>
          <w:p w14:paraId="6C1980B9">
            <w:pPr>
              <w:pStyle w:val="77"/>
              <w:rPr>
                <w:rFonts w:hint="default" w:ascii="Times New Roman" w:hAnsi="Times New Roman" w:eastAsia="宋体" w:cs="Times New Roman"/>
                <w:color w:val="C00000"/>
                <w:lang w:val="en-US" w:eastAsia="zh-CN"/>
              </w:rPr>
            </w:pPr>
            <w:r>
              <w:rPr>
                <w:rFonts w:hint="eastAsia" w:ascii="Times New Roman" w:hAnsi="Times New Roman" w:eastAsia="宋体" w:cs="Times New Roman"/>
                <w:color w:val="C00000"/>
                <w:lang w:val="en-US" w:eastAsia="zh-CN"/>
              </w:rPr>
              <w:t>其中：Q—初期污染雨水排放量，m3/次；</w:t>
            </w:r>
          </w:p>
          <w:p w14:paraId="00B81D1E">
            <w:pPr>
              <w:pStyle w:val="77"/>
              <w:rPr>
                <w:rFonts w:hint="default" w:ascii="Times New Roman" w:hAnsi="Times New Roman" w:eastAsia="宋体" w:cs="Times New Roman"/>
                <w:color w:val="C00000"/>
                <w:lang w:val="en-US" w:eastAsia="zh-CN"/>
              </w:rPr>
            </w:pPr>
            <w:r>
              <w:rPr>
                <w:rFonts w:hint="eastAsia" w:ascii="Times New Roman" w:hAnsi="Times New Roman" w:eastAsia="宋体" w:cs="Times New Roman"/>
                <w:color w:val="C00000"/>
                <w:lang w:val="en-US" w:eastAsia="zh-CN"/>
              </w:rPr>
              <w:t>q—暴雨强度，L/s·hm2；</w:t>
            </w:r>
          </w:p>
          <w:p w14:paraId="042AB712">
            <w:pPr>
              <w:pStyle w:val="77"/>
              <w:rPr>
                <w:rFonts w:hint="eastAsia" w:ascii="Times New Roman" w:hAnsi="Times New Roman" w:eastAsia="宋体" w:cs="Times New Roman"/>
                <w:color w:val="C00000"/>
                <w:lang w:val="en-US" w:eastAsia="zh-CN"/>
              </w:rPr>
            </w:pPr>
            <w:r>
              <w:rPr>
                <w:rFonts w:hint="eastAsia" w:ascii="Times New Roman" w:hAnsi="Times New Roman" w:eastAsia="宋体" w:cs="Times New Roman"/>
                <w:color w:val="C00000"/>
                <w:lang w:val="en-US" w:eastAsia="zh-CN"/>
              </w:rPr>
              <w:t>φ—径流系数，为径流系数（0.4-0.9，取0.9）；</w:t>
            </w:r>
          </w:p>
          <w:p w14:paraId="245C30A1">
            <w:pPr>
              <w:pStyle w:val="77"/>
              <w:rPr>
                <w:rFonts w:hint="eastAsia" w:ascii="Times New Roman" w:hAnsi="Times New Roman" w:eastAsia="宋体" w:cs="Times New Roman"/>
                <w:color w:val="C00000"/>
                <w:lang w:val="en-US" w:eastAsia="zh-CN"/>
              </w:rPr>
            </w:pPr>
            <w:r>
              <w:rPr>
                <w:rFonts w:hint="eastAsia" w:ascii="Times New Roman" w:hAnsi="Times New Roman" w:eastAsia="宋体" w:cs="Times New Roman"/>
                <w:color w:val="C00000"/>
                <w:lang w:val="en-US" w:eastAsia="zh-CN"/>
              </w:rPr>
              <w:t>F—汇水面积（公顷），取2.343561公顷；</w:t>
            </w:r>
          </w:p>
          <w:p w14:paraId="54D0B221">
            <w:pPr>
              <w:pStyle w:val="77"/>
              <w:rPr>
                <w:rFonts w:hint="eastAsia" w:ascii="Times New Roman" w:hAnsi="Times New Roman" w:eastAsia="宋体" w:cs="Times New Roman"/>
                <w:color w:val="C00000"/>
                <w:lang w:val="en-US" w:eastAsia="zh-CN"/>
              </w:rPr>
            </w:pPr>
            <w:r>
              <w:rPr>
                <w:rFonts w:hint="eastAsia" w:ascii="Times New Roman" w:hAnsi="Times New Roman" w:eastAsia="宋体" w:cs="Times New Roman"/>
                <w:color w:val="C00000"/>
                <w:lang w:val="en-US" w:eastAsia="zh-CN"/>
              </w:rPr>
              <w:t>T—为收水时间，取15min。</w:t>
            </w:r>
          </w:p>
          <w:p w14:paraId="31ED0815">
            <w:pPr>
              <w:pStyle w:val="77"/>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0" w:firstLineChars="0"/>
              <w:jc w:val="center"/>
              <w:textAlignment w:val="auto"/>
              <w:rPr>
                <w:rFonts w:hint="eastAsia" w:ascii="Times New Roman" w:hAnsi="Times New Roman" w:eastAsia="宋体" w:cs="Times New Roman"/>
                <w:color w:val="auto"/>
                <w:lang w:val="en-US" w:eastAsia="zh-CN"/>
              </w:rPr>
            </w:pPr>
            <w:r>
              <w:drawing>
                <wp:inline distT="0" distB="0" distL="114300" distR="114300">
                  <wp:extent cx="3374390" cy="3110865"/>
                  <wp:effectExtent l="0" t="0" r="16510" b="13335"/>
                  <wp:docPr id="4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6"/>
                          <pic:cNvPicPr>
                            <a:picLocks noChangeAspect="1"/>
                          </pic:cNvPicPr>
                        </pic:nvPicPr>
                        <pic:blipFill>
                          <a:blip r:embed="rId15"/>
                          <a:stretch>
                            <a:fillRect/>
                          </a:stretch>
                        </pic:blipFill>
                        <pic:spPr>
                          <a:xfrm>
                            <a:off x="0" y="0"/>
                            <a:ext cx="3374390" cy="3110865"/>
                          </a:xfrm>
                          <a:prstGeom prst="rect">
                            <a:avLst/>
                          </a:prstGeom>
                          <a:noFill/>
                          <a:ln>
                            <a:noFill/>
                          </a:ln>
                        </pic:spPr>
                      </pic:pic>
                    </a:graphicData>
                  </a:graphic>
                </wp:inline>
              </w:drawing>
            </w:r>
          </w:p>
          <w:p w14:paraId="13DC026E">
            <w:pPr>
              <w:pStyle w:val="77"/>
              <w:jc w:val="center"/>
              <w:rPr>
                <w:rFonts w:hint="eastAsia" w:ascii="Times New Roman" w:hAnsi="Times New Roman" w:eastAsia="宋体" w:cs="Times New Roman"/>
                <w:color w:val="FF0000"/>
                <w:lang w:val="en-US" w:eastAsia="zh-CN"/>
              </w:rPr>
            </w:pPr>
            <w:r>
              <w:rPr>
                <w:rFonts w:hint="eastAsia" w:ascii="Times New Roman" w:hAnsi="Times New Roman" w:eastAsia="宋体" w:cs="Times New Roman"/>
                <w:color w:val="FF0000"/>
                <w:lang w:val="en-US" w:eastAsia="zh-CN"/>
              </w:rPr>
              <w:t>图2-2 初期污染雨水量计算</w:t>
            </w:r>
          </w:p>
          <w:p w14:paraId="113C1AD6">
            <w:pPr>
              <w:pStyle w:val="77"/>
              <w:rPr>
                <w:rFonts w:ascii="Times New Roman" w:hAnsi="Times New Roman" w:eastAsia="宋体" w:cs="Times New Roman"/>
                <w:color w:val="FF0000"/>
              </w:rPr>
            </w:pPr>
            <w:r>
              <w:rPr>
                <w:rFonts w:hint="eastAsia" w:ascii="Times New Roman" w:hAnsi="Times New Roman" w:eastAsia="宋体" w:cs="Times New Roman"/>
                <w:color w:val="FF0000"/>
                <w:lang w:val="en-US" w:eastAsia="zh-CN"/>
              </w:rPr>
              <w:t>计算出暴雨强度q为197.28L/s·hm</w:t>
            </w:r>
            <w:r>
              <w:rPr>
                <w:rFonts w:hint="eastAsia" w:ascii="Times New Roman" w:hAnsi="Times New Roman" w:eastAsia="宋体" w:cs="Times New Roman"/>
                <w:color w:val="FF0000"/>
                <w:vertAlign w:val="superscript"/>
                <w:lang w:val="en-US" w:eastAsia="zh-CN"/>
              </w:rPr>
              <w:t>2</w:t>
            </w:r>
            <w:r>
              <w:rPr>
                <w:rFonts w:hint="eastAsia" w:ascii="Times New Roman" w:hAnsi="Times New Roman" w:eastAsia="宋体" w:cs="Times New Roman"/>
                <w:color w:val="FF0000"/>
                <w:lang w:val="en-US" w:eastAsia="zh-CN"/>
              </w:rPr>
              <w:t>，Q为70.2m</w:t>
            </w:r>
            <w:r>
              <w:rPr>
                <w:rFonts w:hint="eastAsia" w:ascii="Times New Roman" w:hAnsi="Times New Roman" w:eastAsia="宋体" w:cs="Times New Roman"/>
                <w:color w:val="FF0000"/>
                <w:vertAlign w:val="superscript"/>
                <w:lang w:val="en-US" w:eastAsia="zh-CN"/>
              </w:rPr>
              <w:t>3</w:t>
            </w:r>
            <w:r>
              <w:rPr>
                <w:rFonts w:hint="eastAsia" w:ascii="Times New Roman" w:hAnsi="Times New Roman" w:eastAsia="宋体" w:cs="Times New Roman"/>
                <w:color w:val="FF0000"/>
                <w:lang w:val="en-US" w:eastAsia="zh-CN"/>
              </w:rPr>
              <w:t>/次，</w:t>
            </w:r>
            <w:r>
              <w:rPr>
                <w:rFonts w:ascii="Times New Roman" w:hAnsi="Times New Roman" w:eastAsia="宋体" w:cs="Times New Roman"/>
                <w:color w:val="FF0000"/>
              </w:rPr>
              <w:t>间歇降雨频次按</w:t>
            </w:r>
            <w:r>
              <w:rPr>
                <w:rFonts w:hint="eastAsia" w:ascii="Times New Roman" w:hAnsi="Times New Roman" w:eastAsia="宋体" w:cs="Times New Roman"/>
                <w:color w:val="FF0000"/>
                <w:lang w:val="en-US" w:eastAsia="zh-CN"/>
              </w:rPr>
              <w:t>5</w:t>
            </w:r>
            <w:r>
              <w:rPr>
                <w:rFonts w:ascii="Times New Roman" w:hAnsi="Times New Roman" w:eastAsia="宋体" w:cs="Times New Roman"/>
                <w:color w:val="FF0000"/>
              </w:rPr>
              <w:t>次/年计，</w:t>
            </w:r>
            <w:r>
              <w:rPr>
                <w:rFonts w:hint="eastAsia" w:ascii="Times New Roman" w:hAnsi="Times New Roman" w:eastAsia="宋体" w:cs="Times New Roman"/>
                <w:color w:val="FF0000"/>
                <w:lang w:val="en-US" w:eastAsia="zh-CN"/>
              </w:rPr>
              <w:t>则受污染初期污染雨水水量为350.94m</w:t>
            </w:r>
            <w:r>
              <w:rPr>
                <w:rFonts w:hint="eastAsia" w:ascii="Times New Roman" w:hAnsi="Times New Roman" w:eastAsia="宋体" w:cs="Times New Roman"/>
                <w:color w:val="FF0000"/>
                <w:vertAlign w:val="superscript"/>
                <w:lang w:val="en-US" w:eastAsia="zh-CN"/>
              </w:rPr>
              <w:t>3</w:t>
            </w:r>
            <w:r>
              <w:rPr>
                <w:rFonts w:hint="eastAsia" w:ascii="Times New Roman" w:hAnsi="Times New Roman" w:eastAsia="宋体" w:cs="Times New Roman"/>
                <w:color w:val="FF0000"/>
                <w:lang w:val="en-US" w:eastAsia="zh-CN"/>
              </w:rPr>
              <w:t>/a。初期污染雨水中污染物主要是COD、SS等，厂区汇集的雨水主要来源为降雨的前15min雨水，本项目对整个厂区初期雨水进行收集和处理，新建一座初期污染雨水池，总容积为80m</w:t>
            </w:r>
            <w:r>
              <w:rPr>
                <w:rFonts w:hint="eastAsia" w:ascii="Times New Roman" w:hAnsi="Times New Roman" w:eastAsia="宋体" w:cs="Times New Roman"/>
                <w:color w:val="FF0000"/>
                <w:vertAlign w:val="superscript"/>
                <w:lang w:val="en-US" w:eastAsia="zh-CN"/>
              </w:rPr>
              <w:t>3</w:t>
            </w:r>
            <w:r>
              <w:rPr>
                <w:rFonts w:hint="eastAsia" w:ascii="Times New Roman" w:hAnsi="Times New Roman" w:eastAsia="宋体" w:cs="Times New Roman"/>
                <w:color w:val="FF0000"/>
                <w:lang w:val="en-US" w:eastAsia="zh-CN"/>
              </w:rPr>
              <w:t>，能够满足前15min的初期污染雨水收集。</w:t>
            </w:r>
          </w:p>
          <w:p w14:paraId="3A6E1210">
            <w:pPr>
              <w:pStyle w:val="84"/>
              <w:rPr>
                <w:color w:val="auto"/>
              </w:rPr>
            </w:pPr>
            <w:r>
              <w:rPr>
                <w:color w:val="auto"/>
              </w:rPr>
              <w:t>七、厂区平面布置</w:t>
            </w:r>
          </w:p>
          <w:p w14:paraId="55A07149">
            <w:pPr>
              <w:pStyle w:val="77"/>
              <w:rPr>
                <w:color w:val="auto"/>
                <w:lang w:val="zh-CN"/>
              </w:rPr>
            </w:pPr>
            <w:r>
              <w:rPr>
                <w:color w:val="auto"/>
              </w:rPr>
              <w:t>本项目位于</w:t>
            </w:r>
            <w:r>
              <w:rPr>
                <w:color w:val="auto"/>
                <w:sz w:val="24"/>
              </w:rPr>
              <w:t>黑龙江省</w:t>
            </w:r>
            <w:r>
              <w:rPr>
                <w:rFonts w:hint="eastAsia"/>
                <w:color w:val="auto"/>
                <w:sz w:val="24"/>
                <w:lang w:val="en-US" w:eastAsia="zh-CN"/>
              </w:rPr>
              <w:t>佳木斯</w:t>
            </w:r>
            <w:r>
              <w:rPr>
                <w:color w:val="auto"/>
                <w:sz w:val="24"/>
              </w:rPr>
              <w:t>市</w:t>
            </w:r>
            <w:r>
              <w:rPr>
                <w:rFonts w:hint="eastAsia"/>
                <w:color w:val="auto"/>
                <w:sz w:val="24"/>
                <w:lang w:val="en-US" w:eastAsia="zh-CN"/>
              </w:rPr>
              <w:t>桦南县曙光农场第十五作业站</w:t>
            </w:r>
            <w:r>
              <w:rPr>
                <w:color w:val="auto"/>
              </w:rPr>
              <w:t>，</w:t>
            </w:r>
            <w:r>
              <w:rPr>
                <w:color w:val="auto"/>
                <w:lang w:val="zh-CN"/>
              </w:rPr>
              <w:t>本项目总占地面积</w:t>
            </w:r>
            <w:r>
              <w:rPr>
                <w:rFonts w:hint="eastAsia"/>
                <w:color w:val="auto"/>
                <w:lang w:val="en-US" w:eastAsia="zh-CN"/>
              </w:rPr>
              <w:t>4392.34</w:t>
            </w:r>
            <w:r>
              <w:rPr>
                <w:color w:val="auto"/>
                <w:lang w:val="zh-CN"/>
              </w:rPr>
              <w:t>m</w:t>
            </w:r>
            <w:r>
              <w:rPr>
                <w:color w:val="auto"/>
                <w:vertAlign w:val="superscript"/>
                <w:lang w:val="zh-CN"/>
              </w:rPr>
              <w:t>2</w:t>
            </w:r>
            <w:r>
              <w:rPr>
                <w:color w:val="auto"/>
                <w:lang w:val="zh-CN"/>
              </w:rPr>
              <w:t>，总建筑面积</w:t>
            </w:r>
            <w:r>
              <w:rPr>
                <w:rFonts w:hint="eastAsia"/>
                <w:color w:val="auto"/>
                <w:lang w:val="en-US" w:eastAsia="zh-CN"/>
              </w:rPr>
              <w:t>970</w:t>
            </w:r>
            <w:r>
              <w:rPr>
                <w:color w:val="auto"/>
                <w:lang w:val="zh-CN"/>
              </w:rPr>
              <w:t>m</w:t>
            </w:r>
            <w:r>
              <w:rPr>
                <w:color w:val="auto"/>
                <w:vertAlign w:val="superscript"/>
                <w:lang w:val="zh-CN"/>
              </w:rPr>
              <w:t>2</w:t>
            </w:r>
            <w:r>
              <w:rPr>
                <w:color w:val="auto"/>
                <w:lang w:val="zh-CN"/>
              </w:rPr>
              <w:t>。</w:t>
            </w:r>
            <w:r>
              <w:rPr>
                <w:color w:val="auto"/>
              </w:rPr>
              <w:t>本项目拆解车间位于</w:t>
            </w:r>
            <w:r>
              <w:rPr>
                <w:rFonts w:hint="eastAsia"/>
                <w:color w:val="auto"/>
                <w:lang w:val="en-US" w:eastAsia="zh-CN"/>
              </w:rPr>
              <w:t>厂区中部</w:t>
            </w:r>
            <w:r>
              <w:rPr>
                <w:color w:val="auto"/>
              </w:rPr>
              <w:t>，</w:t>
            </w:r>
            <w:r>
              <w:rPr>
                <w:rFonts w:hint="eastAsia"/>
                <w:color w:val="auto"/>
              </w:rPr>
              <w:t>农机拆除成品半成品及零件贮存库</w:t>
            </w:r>
            <w:r>
              <w:rPr>
                <w:rFonts w:hint="eastAsia"/>
                <w:color w:val="auto"/>
                <w:lang w:val="en-US" w:eastAsia="zh-CN"/>
              </w:rPr>
              <w:t>位于拆解车间东侧，</w:t>
            </w:r>
            <w:r>
              <w:rPr>
                <w:color w:val="auto"/>
              </w:rPr>
              <w:t>待拆车辆贮存场地位于</w:t>
            </w:r>
            <w:r>
              <w:rPr>
                <w:rFonts w:hint="eastAsia"/>
                <w:color w:val="auto"/>
                <w:lang w:val="en-US" w:eastAsia="zh-CN"/>
              </w:rPr>
              <w:t>厂区中间</w:t>
            </w:r>
            <w:r>
              <w:rPr>
                <w:color w:val="auto"/>
              </w:rPr>
              <w:t>。</w:t>
            </w:r>
            <w:r>
              <w:rPr>
                <w:rFonts w:hint="eastAsia"/>
                <w:color w:val="auto"/>
              </w:rPr>
              <w:t>各工序紧密相接，符合生产行业要求，满足生产工艺要求，厂区布局合理、物流顺畅，卫生条件和交通、安全、消防均满足企业需要及行业要求，</w:t>
            </w:r>
            <w:r>
              <w:rPr>
                <w:bCs/>
                <w:color w:val="auto"/>
              </w:rPr>
              <w:t>本项目地理位置图见附图</w:t>
            </w:r>
            <w:r>
              <w:rPr>
                <w:rFonts w:hint="eastAsia"/>
                <w:bCs/>
                <w:color w:val="auto"/>
                <w:lang w:val="en-US" w:eastAsia="zh-CN"/>
              </w:rPr>
              <w:t>1</w:t>
            </w:r>
            <w:r>
              <w:rPr>
                <w:bCs/>
                <w:color w:val="auto"/>
              </w:rPr>
              <w:t>，</w:t>
            </w:r>
            <w:r>
              <w:rPr>
                <w:color w:val="auto"/>
                <w:lang w:val="zh-CN"/>
              </w:rPr>
              <w:t>平面布置图见附图</w:t>
            </w:r>
            <w:r>
              <w:rPr>
                <w:rFonts w:hint="eastAsia"/>
                <w:color w:val="auto"/>
                <w:lang w:val="en-US" w:eastAsia="zh-CN"/>
              </w:rPr>
              <w:t>3</w:t>
            </w:r>
            <w:r>
              <w:rPr>
                <w:color w:val="auto"/>
                <w:lang w:val="zh-CN"/>
              </w:rPr>
              <w:t>。</w:t>
            </w:r>
          </w:p>
          <w:p w14:paraId="539838A8">
            <w:pPr>
              <w:pStyle w:val="77"/>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0" w:firstLineChars="0"/>
              <w:textAlignment w:val="auto"/>
              <w:rPr>
                <w:color w:val="auto"/>
              </w:rPr>
            </w:pPr>
          </w:p>
        </w:tc>
      </w:tr>
      <w:tr w14:paraId="7739CF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820" w:hRule="atLeast"/>
          <w:jc w:val="center"/>
        </w:trPr>
        <w:tc>
          <w:tcPr>
            <w:tcW w:w="448" w:type="dxa"/>
            <w:vAlign w:val="center"/>
          </w:tcPr>
          <w:p w14:paraId="1196D148">
            <w:pPr>
              <w:jc w:val="center"/>
              <w:rPr>
                <w:b/>
                <w:bCs/>
                <w:color w:val="auto"/>
                <w:sz w:val="24"/>
              </w:rPr>
            </w:pPr>
            <w:r>
              <w:rPr>
                <w:b/>
                <w:bCs/>
                <w:color w:val="auto"/>
                <w:sz w:val="24"/>
              </w:rPr>
              <w:t>工</w:t>
            </w:r>
          </w:p>
          <w:p w14:paraId="0C4152F9">
            <w:pPr>
              <w:jc w:val="center"/>
              <w:rPr>
                <w:b/>
                <w:bCs/>
                <w:color w:val="auto"/>
                <w:sz w:val="24"/>
              </w:rPr>
            </w:pPr>
            <w:r>
              <w:rPr>
                <w:b/>
                <w:bCs/>
                <w:color w:val="auto"/>
                <w:sz w:val="24"/>
              </w:rPr>
              <w:t>艺</w:t>
            </w:r>
          </w:p>
          <w:p w14:paraId="555EDEE6">
            <w:pPr>
              <w:jc w:val="center"/>
              <w:rPr>
                <w:b/>
                <w:bCs/>
                <w:color w:val="auto"/>
                <w:sz w:val="24"/>
              </w:rPr>
            </w:pPr>
            <w:r>
              <w:rPr>
                <w:b/>
                <w:bCs/>
                <w:color w:val="auto"/>
                <w:sz w:val="24"/>
              </w:rPr>
              <w:t>流</w:t>
            </w:r>
          </w:p>
          <w:p w14:paraId="7F93E2F9">
            <w:pPr>
              <w:jc w:val="center"/>
              <w:rPr>
                <w:b/>
                <w:bCs/>
                <w:color w:val="auto"/>
                <w:sz w:val="24"/>
              </w:rPr>
            </w:pPr>
            <w:r>
              <w:rPr>
                <w:b/>
                <w:bCs/>
                <w:color w:val="auto"/>
                <w:sz w:val="24"/>
              </w:rPr>
              <w:t>程</w:t>
            </w:r>
          </w:p>
          <w:p w14:paraId="68DDAAD4">
            <w:pPr>
              <w:jc w:val="center"/>
              <w:rPr>
                <w:b/>
                <w:bCs/>
                <w:color w:val="auto"/>
                <w:sz w:val="24"/>
              </w:rPr>
            </w:pPr>
            <w:r>
              <w:rPr>
                <w:b/>
                <w:bCs/>
                <w:color w:val="auto"/>
                <w:sz w:val="24"/>
              </w:rPr>
              <w:t>和</w:t>
            </w:r>
          </w:p>
          <w:p w14:paraId="5C1D082E">
            <w:pPr>
              <w:jc w:val="center"/>
              <w:rPr>
                <w:b/>
                <w:bCs/>
                <w:color w:val="auto"/>
                <w:sz w:val="24"/>
              </w:rPr>
            </w:pPr>
            <w:r>
              <w:rPr>
                <w:b/>
                <w:bCs/>
                <w:color w:val="auto"/>
                <w:sz w:val="24"/>
              </w:rPr>
              <w:t>产</w:t>
            </w:r>
          </w:p>
          <w:p w14:paraId="12742F69">
            <w:pPr>
              <w:jc w:val="center"/>
              <w:rPr>
                <w:b/>
                <w:bCs/>
                <w:color w:val="auto"/>
                <w:sz w:val="24"/>
              </w:rPr>
            </w:pPr>
            <w:r>
              <w:rPr>
                <w:b/>
                <w:bCs/>
                <w:color w:val="auto"/>
                <w:sz w:val="24"/>
              </w:rPr>
              <w:t>排</w:t>
            </w:r>
          </w:p>
          <w:p w14:paraId="5F3FC589">
            <w:pPr>
              <w:jc w:val="center"/>
              <w:rPr>
                <w:b/>
                <w:bCs/>
                <w:color w:val="auto"/>
                <w:sz w:val="24"/>
              </w:rPr>
            </w:pPr>
            <w:r>
              <w:rPr>
                <w:b/>
                <w:bCs/>
                <w:color w:val="auto"/>
                <w:sz w:val="24"/>
              </w:rPr>
              <w:t>污</w:t>
            </w:r>
          </w:p>
          <w:p w14:paraId="0090C44B">
            <w:pPr>
              <w:jc w:val="center"/>
              <w:rPr>
                <w:b/>
                <w:bCs/>
                <w:color w:val="auto"/>
                <w:sz w:val="24"/>
              </w:rPr>
            </w:pPr>
            <w:r>
              <w:rPr>
                <w:b/>
                <w:bCs/>
                <w:color w:val="auto"/>
                <w:sz w:val="24"/>
              </w:rPr>
              <w:t>环</w:t>
            </w:r>
          </w:p>
          <w:p w14:paraId="53F18C82">
            <w:pPr>
              <w:jc w:val="center"/>
              <w:rPr>
                <w:b/>
                <w:bCs/>
                <w:color w:val="auto"/>
                <w:sz w:val="24"/>
              </w:rPr>
            </w:pPr>
            <w:r>
              <w:rPr>
                <w:b/>
                <w:bCs/>
                <w:color w:val="auto"/>
                <w:sz w:val="24"/>
              </w:rPr>
              <w:t>节</w:t>
            </w:r>
          </w:p>
        </w:tc>
        <w:tc>
          <w:tcPr>
            <w:tcW w:w="8004" w:type="dxa"/>
          </w:tcPr>
          <w:p w14:paraId="001B2857">
            <w:pPr>
              <w:pStyle w:val="84"/>
              <w:rPr>
                <w:color w:val="auto"/>
              </w:rPr>
            </w:pPr>
            <w:r>
              <w:rPr>
                <w:color w:val="auto"/>
              </w:rPr>
              <w:t>一、施工期</w:t>
            </w:r>
          </w:p>
          <w:p w14:paraId="1F62C14E">
            <w:pPr>
              <w:pStyle w:val="77"/>
              <w:rPr>
                <w:color w:val="auto"/>
              </w:rPr>
            </w:pPr>
            <w:r>
              <w:rPr>
                <w:color w:val="auto"/>
              </w:rPr>
              <w:t>本项目利用现有厂房及建筑进行建设，施工期主要为拆解车间封闭</w:t>
            </w:r>
            <w:r>
              <w:rPr>
                <w:rFonts w:hint="eastAsia"/>
                <w:color w:val="auto"/>
              </w:rPr>
              <w:t>以及环保设施安装，不涉及土建工程。</w:t>
            </w:r>
            <w:r>
              <w:rPr>
                <w:color w:val="auto"/>
              </w:rPr>
              <w:t>环保设施安装过程中产生的噪音，</w:t>
            </w:r>
            <w:r>
              <w:rPr>
                <w:rFonts w:hint="eastAsia"/>
                <w:color w:val="auto"/>
              </w:rPr>
              <w:t>选用低噪声设备，对声环境影响较小。</w:t>
            </w:r>
            <w:r>
              <w:rPr>
                <w:color w:val="auto"/>
              </w:rPr>
              <w:t>随着施工期的结束，产生的噪音对环境的影响逐渐减少至消失，故不对施工期展开具体分析。</w:t>
            </w:r>
          </w:p>
          <w:p w14:paraId="188A96E8">
            <w:pPr>
              <w:pStyle w:val="84"/>
              <w:rPr>
                <w:rFonts w:hint="eastAsia" w:eastAsia="宋体"/>
                <w:color w:val="auto"/>
                <w:lang w:val="en-US" w:eastAsia="zh-CN"/>
              </w:rPr>
            </w:pPr>
            <w:r>
              <w:rPr>
                <w:color w:val="auto"/>
              </w:rPr>
              <w:t>二、营运期</w:t>
            </w:r>
          </w:p>
          <w:p w14:paraId="6E769789">
            <w:pPr>
              <w:pStyle w:val="77"/>
              <w:rPr>
                <w:color w:val="auto"/>
              </w:rPr>
            </w:pPr>
            <w:r>
              <w:rPr>
                <w:color w:val="auto"/>
                <w:sz w:val="24"/>
              </w:rPr>
              <mc:AlternateContent>
                <mc:Choice Requires="wps">
                  <w:drawing>
                    <wp:anchor distT="0" distB="0" distL="114300" distR="114300" simplePos="0" relativeHeight="251660288" behindDoc="0" locked="0" layoutInCell="1" allowOverlap="1">
                      <wp:simplePos x="0" y="0"/>
                      <wp:positionH relativeFrom="column">
                        <wp:posOffset>2106930</wp:posOffset>
                      </wp:positionH>
                      <wp:positionV relativeFrom="paragraph">
                        <wp:posOffset>262255</wp:posOffset>
                      </wp:positionV>
                      <wp:extent cx="448945" cy="272415"/>
                      <wp:effectExtent l="0" t="0" r="0" b="0"/>
                      <wp:wrapNone/>
                      <wp:docPr id="11" name="文本框 11"/>
                      <wp:cNvGraphicFramePr/>
                      <a:graphic xmlns:a="http://schemas.openxmlformats.org/drawingml/2006/main">
                        <a:graphicData uri="http://schemas.microsoft.com/office/word/2010/wordprocessingShape">
                          <wps:wsp>
                            <wps:cNvSpPr txBox="1"/>
                            <wps:spPr>
                              <a:xfrm>
                                <a:off x="3522345" y="4022090"/>
                                <a:ext cx="448945" cy="2724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336EDFD">
                                  <w:pPr>
                                    <w:keepNext w:val="0"/>
                                    <w:keepLines w:val="0"/>
                                    <w:pageBreakBefore w:val="0"/>
                                    <w:widowControl w:val="0"/>
                                    <w:kinsoku/>
                                    <w:wordWrap/>
                                    <w:overflowPunct/>
                                    <w:topLinePunct w:val="0"/>
                                    <w:bidi w:val="0"/>
                                    <w:adjustRightInd/>
                                    <w:snapToGrid/>
                                    <w:spacing w:line="240" w:lineRule="atLeast"/>
                                    <w:textAlignment w:val="auto"/>
                                    <w:rPr>
                                      <w:rFonts w:hint="eastAsia" w:ascii="华文中宋" w:hAnsi="华文中宋" w:eastAsia="华文中宋" w:cs="华文中宋"/>
                                      <w:sz w:val="15"/>
                                      <w:szCs w:val="15"/>
                                      <w:lang w:val="en-US" w:eastAsia="zh-CN"/>
                                    </w:rPr>
                                  </w:pPr>
                                  <w:r>
                                    <w:rPr>
                                      <w:rFonts w:hint="eastAsia" w:ascii="华文中宋" w:hAnsi="华文中宋" w:eastAsia="华文中宋" w:cs="华文中宋"/>
                                      <w:sz w:val="15"/>
                                      <w:szCs w:val="15"/>
                                      <w:lang w:val="en-US" w:eastAsia="zh-CN"/>
                                    </w:rPr>
                                    <w:t>、泥土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5.9pt;margin-top:20.65pt;height:21.45pt;width:35.35pt;z-index:251660288;mso-width-relative:page;mso-height-relative:page;" filled="f" stroked="f" coordsize="21600,21600" o:gfxdata="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R203t9oAAAAJAQAADwAAAAAAAAAB&#10;ACAAAAAiAAAAZHJzL2Rvd25yZXYueG1sUEsBAhQAFAAAAAgAh07iQPM2pTpHAgAAcwQAAA4AAAAA&#10;AAAAAQAgAAAAKQEAAGRycy9lMm9Eb2MueG1sUEsFBgAAAAAGAAYAWQEAAOIFAAAAAA==&#10;">
                      <v:fill on="f" focussize="0,0"/>
                      <v:stroke on="f" weight="0.5pt"/>
                      <v:imagedata o:title=""/>
                      <o:lock v:ext="edit" aspectratio="f"/>
                      <v:textbox>
                        <w:txbxContent>
                          <w:p w14:paraId="5336EDFD">
                            <w:pPr>
                              <w:keepNext w:val="0"/>
                              <w:keepLines w:val="0"/>
                              <w:pageBreakBefore w:val="0"/>
                              <w:widowControl w:val="0"/>
                              <w:kinsoku/>
                              <w:wordWrap/>
                              <w:overflowPunct/>
                              <w:topLinePunct w:val="0"/>
                              <w:bidi w:val="0"/>
                              <w:adjustRightInd/>
                              <w:snapToGrid/>
                              <w:spacing w:line="240" w:lineRule="atLeast"/>
                              <w:textAlignment w:val="auto"/>
                              <w:rPr>
                                <w:rFonts w:hint="eastAsia" w:ascii="华文中宋" w:hAnsi="华文中宋" w:eastAsia="华文中宋" w:cs="华文中宋"/>
                                <w:sz w:val="15"/>
                                <w:szCs w:val="15"/>
                                <w:lang w:val="en-US" w:eastAsia="zh-CN"/>
                              </w:rPr>
                            </w:pPr>
                            <w:r>
                              <w:rPr>
                                <w:rFonts w:hint="eastAsia" w:ascii="华文中宋" w:hAnsi="华文中宋" w:eastAsia="华文中宋" w:cs="华文中宋"/>
                                <w:sz w:val="15"/>
                                <w:szCs w:val="15"/>
                                <w:lang w:val="en-US" w:eastAsia="zh-CN"/>
                              </w:rPr>
                              <w:t>、泥土</w:t>
                            </w:r>
                          </w:p>
                        </w:txbxContent>
                      </v:textbox>
                    </v:shape>
                  </w:pict>
                </mc:Fallback>
              </mc:AlternateContent>
            </w:r>
            <w:r>
              <w:rPr>
                <w:color w:val="auto"/>
              </w:rPr>
              <w:t>（一）工艺流程图</w:t>
            </w:r>
          </w:p>
          <w:p w14:paraId="2A444909">
            <w:pPr>
              <w:pStyle w:val="61"/>
              <w:ind w:firstLine="0" w:firstLineChars="0"/>
              <w:jc w:val="center"/>
              <w:rPr>
                <w:color w:val="auto"/>
              </w:rPr>
            </w:pPr>
            <w:r>
              <w:rPr>
                <w:color w:val="auto"/>
              </w:rPr>
              <w:drawing>
                <wp:inline distT="0" distB="0" distL="0" distR="0">
                  <wp:extent cx="4797425" cy="3648710"/>
                  <wp:effectExtent l="0" t="0" r="3175" b="889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6"/>
                          <a:srcRect l="5090" t="1911" r="3931"/>
                          <a:stretch>
                            <a:fillRect/>
                          </a:stretch>
                        </pic:blipFill>
                        <pic:spPr>
                          <a:xfrm>
                            <a:off x="0" y="0"/>
                            <a:ext cx="4805055" cy="3655015"/>
                          </a:xfrm>
                          <a:prstGeom prst="rect">
                            <a:avLst/>
                          </a:prstGeom>
                          <a:ln>
                            <a:noFill/>
                          </a:ln>
                        </pic:spPr>
                      </pic:pic>
                    </a:graphicData>
                  </a:graphic>
                </wp:inline>
              </w:drawing>
            </w:r>
          </w:p>
          <w:p w14:paraId="19E28F48">
            <w:pPr>
              <w:pStyle w:val="78"/>
              <w:rPr>
                <w:color w:val="auto"/>
                <w:highlight w:val="none"/>
              </w:rPr>
            </w:pPr>
            <w:r>
              <w:rPr>
                <w:color w:val="auto"/>
                <w:highlight w:val="none"/>
              </w:rPr>
              <w:t>图2-</w:t>
            </w:r>
            <w:r>
              <w:rPr>
                <w:rFonts w:hint="eastAsia"/>
                <w:color w:val="auto"/>
                <w:highlight w:val="none"/>
                <w:lang w:val="en-US" w:eastAsia="zh-CN"/>
              </w:rPr>
              <w:t>3</w:t>
            </w:r>
            <w:r>
              <w:rPr>
                <w:color w:val="auto"/>
                <w:highlight w:val="none"/>
              </w:rPr>
              <w:t xml:space="preserve"> 本项目工艺流程图及产污环节图</w:t>
            </w:r>
          </w:p>
          <w:p w14:paraId="303ACCD3">
            <w:pPr>
              <w:pStyle w:val="77"/>
              <w:rPr>
                <w:color w:val="auto"/>
              </w:rPr>
            </w:pPr>
            <w:r>
              <w:rPr>
                <w:color w:val="auto"/>
              </w:rPr>
              <w:t>（二）产污环节简述</w:t>
            </w:r>
          </w:p>
          <w:p w14:paraId="0C2023A4">
            <w:pPr>
              <w:pStyle w:val="77"/>
              <w:rPr>
                <w:color w:val="auto"/>
              </w:rPr>
            </w:pPr>
            <w:r>
              <w:rPr>
                <w:color w:val="auto"/>
              </w:rPr>
              <w:t>报废农业机械回收拆解应严格遵循安全环保和循环利用的原则进行。回收拆解报废农业机械应按检查和登记→拆解前存储→拆解→拆解后存储和处置的流程作业。</w:t>
            </w:r>
          </w:p>
          <w:p w14:paraId="280C563B">
            <w:pPr>
              <w:pStyle w:val="77"/>
              <w:rPr>
                <w:color w:val="auto"/>
              </w:rPr>
            </w:pPr>
            <w:r>
              <w:rPr>
                <w:color w:val="auto"/>
              </w:rPr>
              <w:t>本项目为农业机械拆解项目，一般而言，拆解工艺有“非破坏性拆解”、“准破坏性抵触”、“破坏性拆解”之分。绝大多数农业机械经长年使用报废后，零件的回收价值已不大；另一方面，本项目拆解工艺不考虑零件回收问题；根据农业机械各部分的具体结构情况及拆解操作的方便程度，综合利用各种手工、电动拆解工具进行拆解，属于“破坏性拆解”。</w:t>
            </w:r>
          </w:p>
          <w:p w14:paraId="4DAADE46">
            <w:pPr>
              <w:pStyle w:val="77"/>
              <w:rPr>
                <w:color w:val="auto"/>
              </w:rPr>
            </w:pPr>
            <w:r>
              <w:rPr>
                <w:rFonts w:hint="eastAsia" w:ascii="宋体" w:hAnsi="宋体" w:cs="宋体"/>
                <w:color w:val="auto"/>
              </w:rPr>
              <w:t>①</w:t>
            </w:r>
            <w:r>
              <w:rPr>
                <w:color w:val="auto"/>
              </w:rPr>
              <w:t>农业机械入厂</w:t>
            </w:r>
          </w:p>
          <w:p w14:paraId="3AB4C26E">
            <w:pPr>
              <w:pStyle w:val="77"/>
              <w:rPr>
                <w:color w:val="auto"/>
              </w:rPr>
            </w:pPr>
            <w:r>
              <w:rPr>
                <w:color w:val="auto"/>
              </w:rPr>
              <w:t>用户报废农业机械入厂后，办理农业机械回收证明手续、双方与农业机械合影留证，以便用户按相关程序办理农业机械报废更新补贴手续。</w:t>
            </w:r>
          </w:p>
          <w:p w14:paraId="37000854">
            <w:pPr>
              <w:pStyle w:val="77"/>
              <w:rPr>
                <w:color w:val="auto"/>
              </w:rPr>
            </w:pPr>
            <w:r>
              <w:rPr>
                <w:rFonts w:hint="eastAsia" w:ascii="宋体" w:hAnsi="宋体" w:cs="宋体"/>
                <w:color w:val="auto"/>
              </w:rPr>
              <w:t>②</w:t>
            </w:r>
            <w:r>
              <w:rPr>
                <w:color w:val="auto"/>
              </w:rPr>
              <w:t>拆解前预处理</w:t>
            </w:r>
          </w:p>
          <w:p w14:paraId="41308F75">
            <w:pPr>
              <w:pStyle w:val="77"/>
              <w:rPr>
                <w:color w:val="auto"/>
              </w:rPr>
            </w:pPr>
            <w:r>
              <w:rPr>
                <w:color w:val="auto"/>
              </w:rPr>
              <w:t>预处理：在正式拆解前，</w:t>
            </w:r>
            <w:r>
              <w:rPr>
                <w:rFonts w:hint="eastAsia"/>
                <w:color w:val="auto"/>
              </w:rPr>
              <w:t>对报废农业机动车进行清洁处理，</w:t>
            </w:r>
            <w:r>
              <w:rPr>
                <w:rFonts w:hint="eastAsia"/>
                <w:color w:val="auto"/>
                <w:lang w:val="en-US" w:eastAsia="zh-CN"/>
              </w:rPr>
              <w:t>然后</w:t>
            </w:r>
            <w:r>
              <w:rPr>
                <w:color w:val="auto"/>
              </w:rPr>
              <w:t>拆下蓄电池，放净发动机、变速箱总成的内部机油；油箱中如有残余燃油，放净回收，然后拆下油箱。预处理是为了保证安全拆解、防止污染，其中蓄电池仅拆下，不进行拆解。</w:t>
            </w:r>
          </w:p>
          <w:p w14:paraId="37070ED2">
            <w:pPr>
              <w:pStyle w:val="77"/>
              <w:rPr>
                <w:color w:val="auto"/>
              </w:rPr>
            </w:pPr>
            <w:r>
              <w:rPr>
                <w:rFonts w:hint="eastAsia" w:ascii="宋体" w:hAnsi="宋体" w:cs="宋体"/>
                <w:color w:val="auto"/>
              </w:rPr>
              <w:t>③</w:t>
            </w:r>
            <w:r>
              <w:rPr>
                <w:color w:val="auto"/>
              </w:rPr>
              <w:t>总成拆除</w:t>
            </w:r>
          </w:p>
          <w:p w14:paraId="5689C34D">
            <w:pPr>
              <w:pStyle w:val="77"/>
              <w:rPr>
                <w:color w:val="auto"/>
              </w:rPr>
            </w:pPr>
            <w:r>
              <w:rPr>
                <w:color w:val="auto"/>
              </w:rPr>
              <w:t>拆下发动机及变速箱等总成，并按《报废农业机械回收拆解技术规范》（NY/T2900-20</w:t>
            </w:r>
            <w:r>
              <w:rPr>
                <w:rFonts w:hint="eastAsia"/>
                <w:color w:val="auto"/>
                <w:lang w:val="en-US" w:eastAsia="zh-CN"/>
              </w:rPr>
              <w:t>22</w:t>
            </w:r>
            <w:r>
              <w:rPr>
                <w:color w:val="auto"/>
              </w:rPr>
              <w:t>）对以上总成进行毁形（留证）、解体。从结构复杂性与操纵舒适性两方面来说，农业机械通常比汽车简单许多、操纵性能要求也低，故其总成数较少。</w:t>
            </w:r>
          </w:p>
          <w:p w14:paraId="78808F6A">
            <w:pPr>
              <w:pStyle w:val="77"/>
              <w:rPr>
                <w:color w:val="auto"/>
              </w:rPr>
            </w:pPr>
            <w:r>
              <w:rPr>
                <w:rFonts w:hint="eastAsia" w:ascii="宋体" w:hAnsi="宋体" w:cs="宋体"/>
                <w:color w:val="auto"/>
              </w:rPr>
              <w:t>④</w:t>
            </w:r>
            <w:r>
              <w:rPr>
                <w:color w:val="auto"/>
              </w:rPr>
              <w:t>机架解体</w:t>
            </w:r>
          </w:p>
          <w:p w14:paraId="21D5376D">
            <w:pPr>
              <w:pStyle w:val="77"/>
              <w:rPr>
                <w:color w:val="auto"/>
              </w:rPr>
            </w:pPr>
            <w:r>
              <w:rPr>
                <w:color w:val="auto"/>
              </w:rPr>
              <w:t>对拆除总成后的整体机架进行解体，机架拆解以能对拆解物进行粗略归类为原则。视局部结构与可拆性的差异，分别用小型工具进行解体；对尺寸较大、或较占空间的拆解件，用剪断机切断。对以上拆解物进行初步分类存放，定期出售给废旧物资回收公司，拆解物分为金属与非金属两大类。金属类包括废钢材（钢、铸钢）、废铜铝等有色金属，非金属类有橡胶（主要是废履带橡胶板、废旧轮胎）、塑料类、碎电线、玻璃钢。</w:t>
            </w:r>
          </w:p>
          <w:p w14:paraId="2C2AB186">
            <w:pPr>
              <w:pStyle w:val="77"/>
              <w:rPr>
                <w:color w:val="auto"/>
              </w:rPr>
            </w:pPr>
            <w:r>
              <w:rPr>
                <w:color w:val="auto"/>
              </w:rPr>
              <w:t>本项目只设拆解过程，不设置破碎过程，也无零件清洗及含危险废物的线路板等部件精细拆解、翻新等步骤。</w:t>
            </w:r>
          </w:p>
          <w:p w14:paraId="5DCD7991">
            <w:pPr>
              <w:pStyle w:val="77"/>
              <w:rPr>
                <w:color w:val="auto"/>
              </w:rPr>
            </w:pPr>
          </w:p>
        </w:tc>
      </w:tr>
      <w:tr w14:paraId="57E8E4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41" w:hRule="atLeast"/>
          <w:jc w:val="center"/>
        </w:trPr>
        <w:tc>
          <w:tcPr>
            <w:tcW w:w="448" w:type="dxa"/>
            <w:vAlign w:val="center"/>
          </w:tcPr>
          <w:p w14:paraId="7E95E3D7">
            <w:pPr>
              <w:jc w:val="center"/>
              <w:rPr>
                <w:b/>
                <w:bCs/>
                <w:color w:val="auto"/>
                <w:sz w:val="24"/>
              </w:rPr>
            </w:pPr>
            <w:r>
              <w:rPr>
                <w:b/>
                <w:bCs/>
                <w:color w:val="auto"/>
                <w:sz w:val="24"/>
              </w:rPr>
              <w:t>与项目有关的原有环境污染问题</w:t>
            </w:r>
          </w:p>
        </w:tc>
        <w:tc>
          <w:tcPr>
            <w:tcW w:w="8004" w:type="dxa"/>
            <w:vAlign w:val="center"/>
          </w:tcPr>
          <w:p w14:paraId="4785A5B6">
            <w:pPr>
              <w:pStyle w:val="77"/>
              <w:rPr>
                <w:color w:val="auto"/>
              </w:rPr>
            </w:pPr>
            <w:r>
              <w:rPr>
                <w:color w:val="auto"/>
              </w:rPr>
              <w:t>本项目为新建项目，现有厂区为闲置厂房，故本项目不存在原有污染情况及主要环境问题。</w:t>
            </w:r>
          </w:p>
        </w:tc>
      </w:tr>
    </w:tbl>
    <w:p w14:paraId="7622B849">
      <w:pPr>
        <w:pStyle w:val="17"/>
        <w:rPr>
          <w:rFonts w:ascii="Times New Roman" w:hAnsi="Times New Roman"/>
          <w:snapToGrid w:val="0"/>
          <w:color w:val="auto"/>
          <w:sz w:val="36"/>
          <w:szCs w:val="36"/>
        </w:rPr>
        <w:sectPr>
          <w:footerReference r:id="rId7" w:type="default"/>
          <w:pgSz w:w="11906" w:h="16838"/>
          <w:pgMar w:top="1440" w:right="1800" w:bottom="1440" w:left="1800" w:header="851" w:footer="851" w:gutter="0"/>
          <w:pgBorders>
            <w:top w:val="none" w:sz="0" w:space="0"/>
            <w:left w:val="none" w:sz="0" w:space="0"/>
            <w:bottom w:val="none" w:sz="0" w:space="0"/>
            <w:right w:val="none" w:sz="0" w:space="0"/>
          </w:pgBorders>
          <w:cols w:space="720" w:num="1"/>
          <w:docGrid w:linePitch="312" w:charSpace="0"/>
        </w:sectPr>
      </w:pPr>
    </w:p>
    <w:p w14:paraId="2606F585">
      <w:pPr>
        <w:pStyle w:val="17"/>
        <w:adjustRightInd w:val="0"/>
        <w:snapToGrid w:val="0"/>
        <w:spacing w:before="0" w:beforeAutospacing="0" w:after="0" w:afterAutospacing="0"/>
        <w:outlineLvl w:val="0"/>
        <w:rPr>
          <w:rFonts w:ascii="Times New Roman" w:hAnsi="Times New Roman"/>
          <w:b/>
          <w:bCs/>
          <w:snapToGrid w:val="0"/>
          <w:color w:val="auto"/>
          <w:sz w:val="30"/>
          <w:szCs w:val="30"/>
        </w:rPr>
      </w:pPr>
      <w:bookmarkStart w:id="6" w:name="_Toc22397"/>
      <w:r>
        <w:rPr>
          <w:rFonts w:ascii="Times New Roman" w:hAnsi="Times New Roman"/>
          <w:b/>
          <w:bCs/>
          <w:snapToGrid w:val="0"/>
          <w:color w:val="auto"/>
          <w:sz w:val="30"/>
          <w:szCs w:val="30"/>
        </w:rPr>
        <w:t>三、区域环境质量现状、环境保护目标及评价标准</w:t>
      </w:r>
      <w:bookmarkEnd w:id="6"/>
    </w:p>
    <w:tbl>
      <w:tblPr>
        <w:tblStyle w:val="19"/>
        <w:tblW w:w="886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7"/>
        <w:gridCol w:w="9233"/>
      </w:tblGrid>
      <w:tr w14:paraId="09C014A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64" w:hRule="atLeast"/>
          <w:jc w:val="center"/>
        </w:trPr>
        <w:tc>
          <w:tcPr>
            <w:tcW w:w="699" w:type="dxa"/>
            <w:vAlign w:val="center"/>
          </w:tcPr>
          <w:p w14:paraId="07640505">
            <w:pPr>
              <w:jc w:val="center"/>
              <w:rPr>
                <w:b/>
                <w:bCs/>
                <w:color w:val="auto"/>
                <w:sz w:val="24"/>
              </w:rPr>
            </w:pPr>
            <w:r>
              <w:rPr>
                <w:b/>
                <w:bCs/>
                <w:color w:val="auto"/>
                <w:sz w:val="24"/>
              </w:rPr>
              <w:t>区</w:t>
            </w:r>
          </w:p>
          <w:p w14:paraId="22A3FA9F">
            <w:pPr>
              <w:jc w:val="center"/>
              <w:rPr>
                <w:b/>
                <w:bCs/>
                <w:color w:val="auto"/>
                <w:sz w:val="24"/>
              </w:rPr>
            </w:pPr>
            <w:r>
              <w:rPr>
                <w:b/>
                <w:bCs/>
                <w:color w:val="auto"/>
                <w:sz w:val="24"/>
              </w:rPr>
              <w:t>域</w:t>
            </w:r>
          </w:p>
          <w:p w14:paraId="493D7161">
            <w:pPr>
              <w:jc w:val="center"/>
              <w:rPr>
                <w:b/>
                <w:bCs/>
                <w:color w:val="auto"/>
                <w:sz w:val="24"/>
              </w:rPr>
            </w:pPr>
            <w:r>
              <w:rPr>
                <w:b/>
                <w:bCs/>
                <w:color w:val="auto"/>
                <w:sz w:val="24"/>
              </w:rPr>
              <w:t>环</w:t>
            </w:r>
          </w:p>
          <w:p w14:paraId="5797259A">
            <w:pPr>
              <w:jc w:val="center"/>
              <w:rPr>
                <w:b/>
                <w:bCs/>
                <w:color w:val="auto"/>
                <w:sz w:val="24"/>
              </w:rPr>
            </w:pPr>
            <w:r>
              <w:rPr>
                <w:b/>
                <w:bCs/>
                <w:color w:val="auto"/>
                <w:sz w:val="24"/>
              </w:rPr>
              <w:t>境</w:t>
            </w:r>
          </w:p>
          <w:p w14:paraId="129E0627">
            <w:pPr>
              <w:jc w:val="center"/>
              <w:rPr>
                <w:b/>
                <w:bCs/>
                <w:color w:val="auto"/>
                <w:sz w:val="24"/>
              </w:rPr>
            </w:pPr>
            <w:r>
              <w:rPr>
                <w:b/>
                <w:bCs/>
                <w:color w:val="auto"/>
                <w:sz w:val="24"/>
              </w:rPr>
              <w:t>质</w:t>
            </w:r>
          </w:p>
          <w:p w14:paraId="3A55CC7E">
            <w:pPr>
              <w:jc w:val="center"/>
              <w:rPr>
                <w:b/>
                <w:bCs/>
                <w:color w:val="auto"/>
                <w:sz w:val="24"/>
              </w:rPr>
            </w:pPr>
            <w:r>
              <w:rPr>
                <w:b/>
                <w:bCs/>
                <w:color w:val="auto"/>
                <w:sz w:val="24"/>
              </w:rPr>
              <w:t>量</w:t>
            </w:r>
          </w:p>
          <w:p w14:paraId="3C26DB22">
            <w:pPr>
              <w:jc w:val="center"/>
              <w:rPr>
                <w:b/>
                <w:bCs/>
                <w:color w:val="auto"/>
                <w:sz w:val="24"/>
              </w:rPr>
            </w:pPr>
            <w:r>
              <w:rPr>
                <w:b/>
                <w:bCs/>
                <w:color w:val="auto"/>
                <w:sz w:val="24"/>
              </w:rPr>
              <w:t>现</w:t>
            </w:r>
          </w:p>
          <w:p w14:paraId="4FA5594F">
            <w:pPr>
              <w:jc w:val="center"/>
              <w:rPr>
                <w:b/>
                <w:bCs/>
                <w:color w:val="auto"/>
                <w:sz w:val="24"/>
              </w:rPr>
            </w:pPr>
            <w:r>
              <w:rPr>
                <w:b/>
                <w:bCs/>
                <w:color w:val="auto"/>
                <w:sz w:val="24"/>
              </w:rPr>
              <w:t>状</w:t>
            </w:r>
          </w:p>
        </w:tc>
        <w:tc>
          <w:tcPr>
            <w:tcW w:w="7588" w:type="dxa"/>
          </w:tcPr>
          <w:p w14:paraId="5142DCE3">
            <w:pPr>
              <w:pStyle w:val="84"/>
              <w:rPr>
                <w:color w:val="auto"/>
              </w:rPr>
            </w:pPr>
            <w:r>
              <w:rPr>
                <w:color w:val="auto"/>
              </w:rPr>
              <w:t>一、大气环境质量现状</w:t>
            </w:r>
          </w:p>
          <w:p w14:paraId="5E066D5A">
            <w:pPr>
              <w:pStyle w:val="77"/>
              <w:rPr>
                <w:color w:val="auto"/>
              </w:rPr>
            </w:pPr>
            <w:r>
              <w:rPr>
                <w:color w:val="auto"/>
              </w:rPr>
              <w:t>（一）空气质量达标区判定</w:t>
            </w:r>
          </w:p>
          <w:p w14:paraId="3CF9D6AE">
            <w:pPr>
              <w:pStyle w:val="112"/>
              <w:rPr>
                <w:rFonts w:hint="default"/>
                <w:color w:val="auto"/>
              </w:rPr>
            </w:pPr>
            <w:r>
              <w:rPr>
                <w:rFonts w:hint="default"/>
                <w:color w:val="auto"/>
              </w:rPr>
              <w:t>根据《202</w:t>
            </w:r>
            <w:r>
              <w:rPr>
                <w:color w:val="auto"/>
              </w:rPr>
              <w:t>3</w:t>
            </w:r>
            <w:r>
              <w:rPr>
                <w:rFonts w:hint="default"/>
                <w:color w:val="auto"/>
              </w:rPr>
              <w:t>年佳木斯市环境质量简报》，佳木斯市2023年各污染物平均浓度均优于《环境空气质量标准》（GB3095-2012）中二级标准限值。</w:t>
            </w:r>
          </w:p>
          <w:p w14:paraId="6CB74DA2">
            <w:pPr>
              <w:pStyle w:val="112"/>
              <w:ind w:left="0" w:leftChars="0" w:firstLine="0" w:firstLineChars="0"/>
              <w:jc w:val="center"/>
              <w:rPr>
                <w:rFonts w:hint="default"/>
                <w:b/>
                <w:bCs/>
                <w:color w:val="FF0000"/>
              </w:rPr>
            </w:pPr>
            <w:r>
              <w:rPr>
                <w:rFonts w:hint="default"/>
                <w:b/>
                <w:bCs/>
                <w:color w:val="FF0000"/>
              </w:rPr>
              <w:t>表 3-1 佳木斯2023年区域环境空气质量现状情况一览表</w:t>
            </w:r>
          </w:p>
          <w:tbl>
            <w:tblPr>
              <w:tblStyle w:val="20"/>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92"/>
              <w:gridCol w:w="2579"/>
              <w:gridCol w:w="1170"/>
              <w:gridCol w:w="1652"/>
              <w:gridCol w:w="1255"/>
              <w:gridCol w:w="1164"/>
            </w:tblGrid>
            <w:tr w14:paraId="23D94F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1" w:type="pct"/>
                  <w:tcBorders>
                    <w:tl2br w:val="nil"/>
                    <w:tr2bl w:val="nil"/>
                  </w:tcBorders>
                </w:tcPr>
                <w:p w14:paraId="4D90D35F">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污染物</w:t>
                  </w:r>
                </w:p>
              </w:tc>
              <w:tc>
                <w:tcPr>
                  <w:tcW w:w="1430" w:type="pct"/>
                  <w:tcBorders>
                    <w:tl2br w:val="nil"/>
                    <w:tr2bl w:val="nil"/>
                  </w:tcBorders>
                </w:tcPr>
                <w:p w14:paraId="3A3E0E25">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年评价指标</w:t>
                  </w:r>
                </w:p>
              </w:tc>
              <w:tc>
                <w:tcPr>
                  <w:tcW w:w="649" w:type="pct"/>
                  <w:tcBorders>
                    <w:tl2br w:val="nil"/>
                    <w:tr2bl w:val="nil"/>
                  </w:tcBorders>
                </w:tcPr>
                <w:p w14:paraId="5CB275C7">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现状浓度</w:t>
                  </w:r>
                </w:p>
              </w:tc>
              <w:tc>
                <w:tcPr>
                  <w:tcW w:w="916" w:type="pct"/>
                  <w:tcBorders>
                    <w:tl2br w:val="nil"/>
                    <w:tr2bl w:val="nil"/>
                  </w:tcBorders>
                </w:tcPr>
                <w:p w14:paraId="39CC5F79">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二级标准值</w:t>
                  </w:r>
                </w:p>
              </w:tc>
              <w:tc>
                <w:tcPr>
                  <w:tcW w:w="696" w:type="pct"/>
                  <w:tcBorders>
                    <w:tl2br w:val="nil"/>
                    <w:tr2bl w:val="nil"/>
                  </w:tcBorders>
                </w:tcPr>
                <w:p w14:paraId="6C53B6D4">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eastAsia"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占标率</w:t>
                  </w:r>
                </w:p>
              </w:tc>
              <w:tc>
                <w:tcPr>
                  <w:tcW w:w="645" w:type="pct"/>
                  <w:tcBorders>
                    <w:tl2br w:val="nil"/>
                    <w:tr2bl w:val="nil"/>
                  </w:tcBorders>
                </w:tcPr>
                <w:p w14:paraId="0F2FB9B9">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达标情况</w:t>
                  </w:r>
                </w:p>
              </w:tc>
            </w:tr>
            <w:tr w14:paraId="3BA3F5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1" w:type="pct"/>
                  <w:tcBorders>
                    <w:tl2br w:val="nil"/>
                    <w:tr2bl w:val="nil"/>
                  </w:tcBorders>
                </w:tcPr>
                <w:p w14:paraId="57070D07">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ascii="Times New Roman" w:hAnsi="Times New Roman" w:eastAsia="宋体" w:cs="Times New Roman"/>
                      <w:color w:val="FF0000"/>
                      <w:kern w:val="2"/>
                      <w:sz w:val="21"/>
                      <w:szCs w:val="21"/>
                      <w:lang w:val="en-US" w:eastAsia="zh-CN" w:bidi="ar-SA"/>
                    </w:rPr>
                  </w:pPr>
                  <w:r>
                    <w:rPr>
                      <w:rFonts w:hint="default"/>
                      <w:color w:val="FF0000"/>
                      <w:sz w:val="21"/>
                      <w:szCs w:val="21"/>
                    </w:rPr>
                    <w:t>SO</w:t>
                  </w:r>
                  <w:r>
                    <w:rPr>
                      <w:rFonts w:hint="default"/>
                      <w:color w:val="FF0000"/>
                      <w:sz w:val="21"/>
                      <w:szCs w:val="21"/>
                      <w:vertAlign w:val="subscript"/>
                    </w:rPr>
                    <w:t>2</w:t>
                  </w:r>
                </w:p>
              </w:tc>
              <w:tc>
                <w:tcPr>
                  <w:tcW w:w="1430" w:type="pct"/>
                  <w:tcBorders>
                    <w:tl2br w:val="nil"/>
                    <w:tr2bl w:val="nil"/>
                  </w:tcBorders>
                </w:tcPr>
                <w:p w14:paraId="67D088EC">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年平均</w:t>
                  </w:r>
                </w:p>
              </w:tc>
              <w:tc>
                <w:tcPr>
                  <w:tcW w:w="649" w:type="pct"/>
                  <w:tcBorders>
                    <w:tl2br w:val="nil"/>
                    <w:tr2bl w:val="nil"/>
                  </w:tcBorders>
                </w:tcPr>
                <w:p w14:paraId="31764E8C">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6</w:t>
                  </w:r>
                </w:p>
              </w:tc>
              <w:tc>
                <w:tcPr>
                  <w:tcW w:w="916" w:type="pct"/>
                  <w:tcBorders>
                    <w:tl2br w:val="nil"/>
                    <w:tr2bl w:val="nil"/>
                  </w:tcBorders>
                </w:tcPr>
                <w:p w14:paraId="55C2BAC3">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60</w:t>
                  </w:r>
                </w:p>
              </w:tc>
              <w:tc>
                <w:tcPr>
                  <w:tcW w:w="696" w:type="pct"/>
                  <w:tcBorders>
                    <w:tl2br w:val="nil"/>
                    <w:tr2bl w:val="nil"/>
                  </w:tcBorders>
                </w:tcPr>
                <w:p w14:paraId="5005F040">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10</w:t>
                  </w:r>
                </w:p>
              </w:tc>
              <w:tc>
                <w:tcPr>
                  <w:tcW w:w="645" w:type="pct"/>
                  <w:tcBorders>
                    <w:tl2br w:val="nil"/>
                    <w:tr2bl w:val="nil"/>
                  </w:tcBorders>
                </w:tcPr>
                <w:p w14:paraId="20233B9A">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达标</w:t>
                  </w:r>
                </w:p>
              </w:tc>
            </w:tr>
            <w:tr w14:paraId="692A0B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1" w:type="pct"/>
                  <w:tcBorders>
                    <w:tl2br w:val="nil"/>
                    <w:tr2bl w:val="nil"/>
                  </w:tcBorders>
                </w:tcPr>
                <w:p w14:paraId="6FEB1CE4">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ascii="Times New Roman" w:hAnsi="Times New Roman" w:eastAsia="宋体" w:cs="Times New Roman"/>
                      <w:color w:val="FF0000"/>
                      <w:kern w:val="2"/>
                      <w:sz w:val="21"/>
                      <w:szCs w:val="21"/>
                      <w:lang w:val="en-US" w:eastAsia="zh-CN" w:bidi="ar-SA"/>
                    </w:rPr>
                  </w:pPr>
                  <w:r>
                    <w:rPr>
                      <w:rFonts w:hint="default"/>
                      <w:color w:val="FF0000"/>
                      <w:sz w:val="21"/>
                      <w:szCs w:val="21"/>
                    </w:rPr>
                    <w:t>NO</w:t>
                  </w:r>
                  <w:r>
                    <w:rPr>
                      <w:rFonts w:hint="default"/>
                      <w:color w:val="FF0000"/>
                      <w:sz w:val="21"/>
                      <w:szCs w:val="21"/>
                      <w:vertAlign w:val="subscript"/>
                    </w:rPr>
                    <w:t>2</w:t>
                  </w:r>
                </w:p>
              </w:tc>
              <w:tc>
                <w:tcPr>
                  <w:tcW w:w="1430" w:type="pct"/>
                  <w:tcBorders>
                    <w:tl2br w:val="nil"/>
                    <w:tr2bl w:val="nil"/>
                  </w:tcBorders>
                </w:tcPr>
                <w:p w14:paraId="61F8082B">
                  <w:pPr>
                    <w:keepNext w:val="0"/>
                    <w:keepLines w:val="0"/>
                    <w:pageBreakBefore w:val="0"/>
                    <w:widowControl w:val="0"/>
                    <w:kinsoku/>
                    <w:wordWrap/>
                    <w:overflowPunct/>
                    <w:topLinePunct w:val="0"/>
                    <w:bidi w:val="0"/>
                    <w:spacing w:line="240" w:lineRule="atLeast"/>
                    <w:jc w:val="center"/>
                    <w:textAlignment w:val="auto"/>
                    <w:rPr>
                      <w:rFonts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年平均</w:t>
                  </w:r>
                </w:p>
              </w:tc>
              <w:tc>
                <w:tcPr>
                  <w:tcW w:w="649" w:type="pct"/>
                  <w:tcBorders>
                    <w:tl2br w:val="nil"/>
                    <w:tr2bl w:val="nil"/>
                  </w:tcBorders>
                </w:tcPr>
                <w:p w14:paraId="47256E4D">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20</w:t>
                  </w:r>
                </w:p>
              </w:tc>
              <w:tc>
                <w:tcPr>
                  <w:tcW w:w="916" w:type="pct"/>
                  <w:tcBorders>
                    <w:tl2br w:val="nil"/>
                    <w:tr2bl w:val="nil"/>
                  </w:tcBorders>
                </w:tcPr>
                <w:p w14:paraId="3517D2E6">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40</w:t>
                  </w:r>
                </w:p>
              </w:tc>
              <w:tc>
                <w:tcPr>
                  <w:tcW w:w="696" w:type="pct"/>
                  <w:tcBorders>
                    <w:tl2br w:val="nil"/>
                    <w:tr2bl w:val="nil"/>
                  </w:tcBorders>
                </w:tcPr>
                <w:p w14:paraId="49762187">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50</w:t>
                  </w:r>
                </w:p>
              </w:tc>
              <w:tc>
                <w:tcPr>
                  <w:tcW w:w="645" w:type="pct"/>
                  <w:tcBorders>
                    <w:tl2br w:val="nil"/>
                    <w:tr2bl w:val="nil"/>
                  </w:tcBorders>
                </w:tcPr>
                <w:p w14:paraId="2FC06540">
                  <w:pPr>
                    <w:keepNext w:val="0"/>
                    <w:keepLines w:val="0"/>
                    <w:pageBreakBefore w:val="0"/>
                    <w:widowControl w:val="0"/>
                    <w:kinsoku/>
                    <w:wordWrap/>
                    <w:overflowPunct/>
                    <w:topLinePunct w:val="0"/>
                    <w:bidi w:val="0"/>
                    <w:spacing w:line="240" w:lineRule="atLeast"/>
                    <w:jc w:val="center"/>
                    <w:textAlignment w:val="auto"/>
                    <w:rPr>
                      <w:rFonts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达标</w:t>
                  </w:r>
                </w:p>
              </w:tc>
            </w:tr>
            <w:tr w14:paraId="3171EF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1" w:type="pct"/>
                  <w:tcBorders>
                    <w:tl2br w:val="nil"/>
                    <w:tr2bl w:val="nil"/>
                  </w:tcBorders>
                </w:tcPr>
                <w:p w14:paraId="38004B8B">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ascii="Times New Roman" w:hAnsi="Times New Roman" w:eastAsia="宋体" w:cs="Times New Roman"/>
                      <w:color w:val="FF0000"/>
                      <w:kern w:val="2"/>
                      <w:sz w:val="21"/>
                      <w:szCs w:val="21"/>
                      <w:lang w:val="en-US" w:eastAsia="zh-CN" w:bidi="ar-SA"/>
                    </w:rPr>
                  </w:pPr>
                  <w:r>
                    <w:rPr>
                      <w:rFonts w:hint="default"/>
                      <w:color w:val="FF0000"/>
                      <w:sz w:val="21"/>
                      <w:szCs w:val="21"/>
                    </w:rPr>
                    <w:t>PM</w:t>
                  </w:r>
                  <w:r>
                    <w:rPr>
                      <w:rFonts w:hint="default"/>
                      <w:color w:val="FF0000"/>
                      <w:sz w:val="21"/>
                      <w:szCs w:val="21"/>
                      <w:vertAlign w:val="subscript"/>
                    </w:rPr>
                    <w:t>10</w:t>
                  </w:r>
                </w:p>
              </w:tc>
              <w:tc>
                <w:tcPr>
                  <w:tcW w:w="1430" w:type="pct"/>
                  <w:tcBorders>
                    <w:tl2br w:val="nil"/>
                    <w:tr2bl w:val="nil"/>
                  </w:tcBorders>
                </w:tcPr>
                <w:p w14:paraId="59118A8C">
                  <w:pPr>
                    <w:keepNext w:val="0"/>
                    <w:keepLines w:val="0"/>
                    <w:pageBreakBefore w:val="0"/>
                    <w:widowControl w:val="0"/>
                    <w:kinsoku/>
                    <w:wordWrap/>
                    <w:overflowPunct/>
                    <w:topLinePunct w:val="0"/>
                    <w:bidi w:val="0"/>
                    <w:spacing w:line="240" w:lineRule="atLeast"/>
                    <w:jc w:val="center"/>
                    <w:textAlignment w:val="auto"/>
                    <w:rPr>
                      <w:rFonts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年平均</w:t>
                  </w:r>
                </w:p>
              </w:tc>
              <w:tc>
                <w:tcPr>
                  <w:tcW w:w="649" w:type="pct"/>
                  <w:tcBorders>
                    <w:tl2br w:val="nil"/>
                    <w:tr2bl w:val="nil"/>
                  </w:tcBorders>
                </w:tcPr>
                <w:p w14:paraId="282CB4E4">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40</w:t>
                  </w:r>
                </w:p>
              </w:tc>
              <w:tc>
                <w:tcPr>
                  <w:tcW w:w="916" w:type="pct"/>
                  <w:tcBorders>
                    <w:tl2br w:val="nil"/>
                    <w:tr2bl w:val="nil"/>
                  </w:tcBorders>
                </w:tcPr>
                <w:p w14:paraId="02AB4435">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70</w:t>
                  </w:r>
                </w:p>
              </w:tc>
              <w:tc>
                <w:tcPr>
                  <w:tcW w:w="696" w:type="pct"/>
                  <w:tcBorders>
                    <w:tl2br w:val="nil"/>
                    <w:tr2bl w:val="nil"/>
                  </w:tcBorders>
                </w:tcPr>
                <w:p w14:paraId="0E71588C">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57.1</w:t>
                  </w:r>
                </w:p>
              </w:tc>
              <w:tc>
                <w:tcPr>
                  <w:tcW w:w="645" w:type="pct"/>
                  <w:tcBorders>
                    <w:tl2br w:val="nil"/>
                    <w:tr2bl w:val="nil"/>
                  </w:tcBorders>
                </w:tcPr>
                <w:p w14:paraId="3F9FB843">
                  <w:pPr>
                    <w:keepNext w:val="0"/>
                    <w:keepLines w:val="0"/>
                    <w:pageBreakBefore w:val="0"/>
                    <w:widowControl w:val="0"/>
                    <w:kinsoku/>
                    <w:wordWrap/>
                    <w:overflowPunct/>
                    <w:topLinePunct w:val="0"/>
                    <w:bidi w:val="0"/>
                    <w:spacing w:line="240" w:lineRule="atLeast"/>
                    <w:jc w:val="center"/>
                    <w:textAlignment w:val="auto"/>
                    <w:rPr>
                      <w:rFonts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达标</w:t>
                  </w:r>
                </w:p>
              </w:tc>
            </w:tr>
            <w:tr w14:paraId="337109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1" w:type="pct"/>
                  <w:tcBorders>
                    <w:tl2br w:val="nil"/>
                    <w:tr2bl w:val="nil"/>
                  </w:tcBorders>
                </w:tcPr>
                <w:p w14:paraId="3D3BC812">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ascii="Times New Roman" w:hAnsi="Times New Roman" w:eastAsia="宋体" w:cs="Times New Roman"/>
                      <w:color w:val="FF0000"/>
                      <w:kern w:val="2"/>
                      <w:sz w:val="21"/>
                      <w:szCs w:val="21"/>
                      <w:lang w:val="en-US" w:eastAsia="zh-CN" w:bidi="ar-SA"/>
                    </w:rPr>
                  </w:pPr>
                  <w:r>
                    <w:rPr>
                      <w:rFonts w:hint="default"/>
                      <w:color w:val="FF0000"/>
                      <w:sz w:val="21"/>
                      <w:szCs w:val="21"/>
                    </w:rPr>
                    <w:t>PM</w:t>
                  </w:r>
                  <w:r>
                    <w:rPr>
                      <w:rFonts w:hint="default"/>
                      <w:color w:val="FF0000"/>
                      <w:sz w:val="21"/>
                      <w:szCs w:val="21"/>
                      <w:vertAlign w:val="subscript"/>
                    </w:rPr>
                    <w:t>2.5</w:t>
                  </w:r>
                </w:p>
              </w:tc>
              <w:tc>
                <w:tcPr>
                  <w:tcW w:w="1430" w:type="pct"/>
                  <w:tcBorders>
                    <w:tl2br w:val="nil"/>
                    <w:tr2bl w:val="nil"/>
                  </w:tcBorders>
                </w:tcPr>
                <w:p w14:paraId="4D5716E9">
                  <w:pPr>
                    <w:keepNext w:val="0"/>
                    <w:keepLines w:val="0"/>
                    <w:pageBreakBefore w:val="0"/>
                    <w:widowControl w:val="0"/>
                    <w:kinsoku/>
                    <w:wordWrap/>
                    <w:overflowPunct/>
                    <w:topLinePunct w:val="0"/>
                    <w:bidi w:val="0"/>
                    <w:spacing w:line="240" w:lineRule="atLeast"/>
                    <w:jc w:val="center"/>
                    <w:textAlignment w:val="auto"/>
                    <w:rPr>
                      <w:rFonts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年平均</w:t>
                  </w:r>
                </w:p>
              </w:tc>
              <w:tc>
                <w:tcPr>
                  <w:tcW w:w="649" w:type="pct"/>
                  <w:tcBorders>
                    <w:tl2br w:val="nil"/>
                    <w:tr2bl w:val="nil"/>
                  </w:tcBorders>
                </w:tcPr>
                <w:p w14:paraId="68939674">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27</w:t>
                  </w:r>
                </w:p>
              </w:tc>
              <w:tc>
                <w:tcPr>
                  <w:tcW w:w="916" w:type="pct"/>
                  <w:tcBorders>
                    <w:tl2br w:val="nil"/>
                    <w:tr2bl w:val="nil"/>
                  </w:tcBorders>
                </w:tcPr>
                <w:p w14:paraId="69D5C3CC">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35</w:t>
                  </w:r>
                </w:p>
              </w:tc>
              <w:tc>
                <w:tcPr>
                  <w:tcW w:w="696" w:type="pct"/>
                  <w:tcBorders>
                    <w:tl2br w:val="nil"/>
                    <w:tr2bl w:val="nil"/>
                  </w:tcBorders>
                </w:tcPr>
                <w:p w14:paraId="24FDB657">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77.1</w:t>
                  </w:r>
                </w:p>
              </w:tc>
              <w:tc>
                <w:tcPr>
                  <w:tcW w:w="645" w:type="pct"/>
                  <w:tcBorders>
                    <w:tl2br w:val="nil"/>
                    <w:tr2bl w:val="nil"/>
                  </w:tcBorders>
                </w:tcPr>
                <w:p w14:paraId="47609272">
                  <w:pPr>
                    <w:keepNext w:val="0"/>
                    <w:keepLines w:val="0"/>
                    <w:pageBreakBefore w:val="0"/>
                    <w:widowControl w:val="0"/>
                    <w:kinsoku/>
                    <w:wordWrap/>
                    <w:overflowPunct/>
                    <w:topLinePunct w:val="0"/>
                    <w:bidi w:val="0"/>
                    <w:spacing w:line="240" w:lineRule="atLeast"/>
                    <w:jc w:val="center"/>
                    <w:textAlignment w:val="auto"/>
                    <w:rPr>
                      <w:rFonts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达标</w:t>
                  </w:r>
                </w:p>
              </w:tc>
            </w:tr>
            <w:tr w14:paraId="076845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1" w:type="pct"/>
                  <w:tcBorders>
                    <w:tl2br w:val="nil"/>
                    <w:tr2bl w:val="nil"/>
                  </w:tcBorders>
                </w:tcPr>
                <w:p w14:paraId="1D91FE62">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CO</w:t>
                  </w:r>
                </w:p>
              </w:tc>
              <w:tc>
                <w:tcPr>
                  <w:tcW w:w="1430" w:type="pct"/>
                  <w:tcBorders>
                    <w:tl2br w:val="nil"/>
                    <w:tr2bl w:val="nil"/>
                  </w:tcBorders>
                </w:tcPr>
                <w:p w14:paraId="4528D569">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第95百分位数24小时平均浓度</w:t>
                  </w:r>
                </w:p>
              </w:tc>
              <w:tc>
                <w:tcPr>
                  <w:tcW w:w="649" w:type="pct"/>
                  <w:tcBorders>
                    <w:tl2br w:val="nil"/>
                    <w:tr2bl w:val="nil"/>
                  </w:tcBorders>
                </w:tcPr>
                <w:p w14:paraId="09A220DE">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800</w:t>
                  </w:r>
                </w:p>
              </w:tc>
              <w:tc>
                <w:tcPr>
                  <w:tcW w:w="916" w:type="pct"/>
                  <w:tcBorders>
                    <w:tl2br w:val="nil"/>
                    <w:tr2bl w:val="nil"/>
                  </w:tcBorders>
                </w:tcPr>
                <w:p w14:paraId="131DAC98">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4000</w:t>
                  </w:r>
                </w:p>
              </w:tc>
              <w:tc>
                <w:tcPr>
                  <w:tcW w:w="696" w:type="pct"/>
                  <w:tcBorders>
                    <w:tl2br w:val="nil"/>
                    <w:tr2bl w:val="nil"/>
                  </w:tcBorders>
                </w:tcPr>
                <w:p w14:paraId="45ADB750">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20</w:t>
                  </w:r>
                </w:p>
              </w:tc>
              <w:tc>
                <w:tcPr>
                  <w:tcW w:w="645" w:type="pct"/>
                  <w:tcBorders>
                    <w:tl2br w:val="nil"/>
                    <w:tr2bl w:val="nil"/>
                  </w:tcBorders>
                </w:tcPr>
                <w:p w14:paraId="0758749C">
                  <w:pPr>
                    <w:keepNext w:val="0"/>
                    <w:keepLines w:val="0"/>
                    <w:pageBreakBefore w:val="0"/>
                    <w:widowControl w:val="0"/>
                    <w:kinsoku/>
                    <w:wordWrap/>
                    <w:overflowPunct/>
                    <w:topLinePunct w:val="0"/>
                    <w:bidi w:val="0"/>
                    <w:spacing w:line="240" w:lineRule="atLeast"/>
                    <w:jc w:val="center"/>
                    <w:textAlignment w:val="auto"/>
                    <w:rPr>
                      <w:rFonts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达标</w:t>
                  </w:r>
                </w:p>
              </w:tc>
            </w:tr>
            <w:tr w14:paraId="0B2D84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61" w:type="pct"/>
                  <w:tcBorders>
                    <w:tl2br w:val="nil"/>
                    <w:tr2bl w:val="nil"/>
                  </w:tcBorders>
                </w:tcPr>
                <w:p w14:paraId="2201D173">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ascii="Times New Roman" w:hAnsi="Times New Roman" w:eastAsia="宋体" w:cs="Times New Roman"/>
                      <w:color w:val="FF0000"/>
                      <w:kern w:val="2"/>
                      <w:sz w:val="21"/>
                      <w:szCs w:val="21"/>
                      <w:lang w:val="en-US" w:eastAsia="zh-CN" w:bidi="ar-SA"/>
                    </w:rPr>
                  </w:pPr>
                  <w:r>
                    <w:rPr>
                      <w:rFonts w:hint="default"/>
                      <w:color w:val="FF0000"/>
                      <w:sz w:val="21"/>
                      <w:szCs w:val="21"/>
                    </w:rPr>
                    <w:t>O</w:t>
                  </w:r>
                  <w:r>
                    <w:rPr>
                      <w:rFonts w:hint="default"/>
                      <w:color w:val="FF0000"/>
                      <w:sz w:val="21"/>
                      <w:szCs w:val="21"/>
                      <w:vertAlign w:val="subscript"/>
                    </w:rPr>
                    <w:t>3</w:t>
                  </w:r>
                </w:p>
              </w:tc>
              <w:tc>
                <w:tcPr>
                  <w:tcW w:w="1430" w:type="pct"/>
                  <w:tcBorders>
                    <w:tl2br w:val="nil"/>
                    <w:tr2bl w:val="nil"/>
                  </w:tcBorders>
                </w:tcPr>
                <w:p w14:paraId="488174FA">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ascii="Times New Roman" w:hAnsi="Times New Roman" w:eastAsia="宋体" w:cs="Times New Roman"/>
                      <w:color w:val="FF0000"/>
                      <w:kern w:val="2"/>
                      <w:sz w:val="21"/>
                      <w:szCs w:val="21"/>
                      <w:lang w:val="en-US" w:eastAsia="zh-CN" w:bidi="ar-SA"/>
                    </w:rPr>
                  </w:pPr>
                  <w:r>
                    <w:rPr>
                      <w:rFonts w:hint="eastAsia" w:ascii="Times New Roman" w:hAnsi="Times New Roman" w:eastAsia="宋体" w:cs="Times New Roman"/>
                      <w:color w:val="FF0000"/>
                      <w:kern w:val="2"/>
                      <w:sz w:val="21"/>
                      <w:szCs w:val="21"/>
                      <w:lang w:val="en-US" w:eastAsia="zh-CN" w:bidi="ar-SA"/>
                    </w:rPr>
                    <w:t>第9</w:t>
                  </w:r>
                  <w:r>
                    <w:rPr>
                      <w:rFonts w:hint="eastAsia" w:cs="Times New Roman"/>
                      <w:color w:val="FF0000"/>
                      <w:kern w:val="2"/>
                      <w:sz w:val="21"/>
                      <w:szCs w:val="21"/>
                      <w:lang w:val="en-US" w:eastAsia="zh-CN" w:bidi="ar-SA"/>
                    </w:rPr>
                    <w:t>0</w:t>
                  </w:r>
                  <w:r>
                    <w:rPr>
                      <w:rFonts w:hint="eastAsia" w:ascii="Times New Roman" w:hAnsi="Times New Roman" w:eastAsia="宋体" w:cs="Times New Roman"/>
                      <w:color w:val="FF0000"/>
                      <w:kern w:val="2"/>
                      <w:sz w:val="21"/>
                      <w:szCs w:val="21"/>
                      <w:lang w:val="en-US" w:eastAsia="zh-CN" w:bidi="ar-SA"/>
                    </w:rPr>
                    <w:t>百分位数</w:t>
                  </w:r>
                  <w:r>
                    <w:rPr>
                      <w:rFonts w:hint="eastAsia" w:cs="Times New Roman"/>
                      <w:color w:val="FF0000"/>
                      <w:kern w:val="2"/>
                      <w:sz w:val="21"/>
                      <w:szCs w:val="21"/>
                      <w:lang w:val="en-US" w:eastAsia="zh-CN" w:bidi="ar-SA"/>
                    </w:rPr>
                    <w:t>日最大8</w:t>
                  </w:r>
                  <w:r>
                    <w:rPr>
                      <w:rFonts w:hint="eastAsia" w:ascii="Times New Roman" w:hAnsi="Times New Roman" w:eastAsia="宋体" w:cs="Times New Roman"/>
                      <w:color w:val="FF0000"/>
                      <w:kern w:val="2"/>
                      <w:sz w:val="21"/>
                      <w:szCs w:val="21"/>
                      <w:lang w:val="en-US" w:eastAsia="zh-CN" w:bidi="ar-SA"/>
                    </w:rPr>
                    <w:t>小时 平均</w:t>
                  </w:r>
                </w:p>
              </w:tc>
              <w:tc>
                <w:tcPr>
                  <w:tcW w:w="649" w:type="pct"/>
                  <w:tcBorders>
                    <w:tl2br w:val="nil"/>
                    <w:tr2bl w:val="nil"/>
                  </w:tcBorders>
                </w:tcPr>
                <w:p w14:paraId="750EFDE9">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106</w:t>
                  </w:r>
                </w:p>
              </w:tc>
              <w:tc>
                <w:tcPr>
                  <w:tcW w:w="916" w:type="pct"/>
                  <w:tcBorders>
                    <w:tl2br w:val="nil"/>
                    <w:tr2bl w:val="nil"/>
                  </w:tcBorders>
                </w:tcPr>
                <w:p w14:paraId="064C05CB">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160</w:t>
                  </w:r>
                </w:p>
              </w:tc>
              <w:tc>
                <w:tcPr>
                  <w:tcW w:w="696" w:type="pct"/>
                  <w:tcBorders>
                    <w:tl2br w:val="nil"/>
                    <w:tr2bl w:val="nil"/>
                  </w:tcBorders>
                </w:tcPr>
                <w:p w14:paraId="13CEE6FE">
                  <w:pPr>
                    <w:pStyle w:val="77"/>
                    <w:keepNext w:val="0"/>
                    <w:keepLines w:val="0"/>
                    <w:pageBreakBefore w:val="0"/>
                    <w:widowControl w:val="0"/>
                    <w:kinsoku/>
                    <w:wordWrap/>
                    <w:overflowPunct/>
                    <w:topLinePunct w:val="0"/>
                    <w:bidi w:val="0"/>
                    <w:spacing w:line="240" w:lineRule="atLeast"/>
                    <w:ind w:left="0" w:leftChars="0" w:firstLine="0" w:firstLineChars="0"/>
                    <w:jc w:val="center"/>
                    <w:textAlignment w:val="auto"/>
                    <w:rPr>
                      <w:rFonts w:hint="default"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73.1</w:t>
                  </w:r>
                </w:p>
              </w:tc>
              <w:tc>
                <w:tcPr>
                  <w:tcW w:w="645" w:type="pct"/>
                  <w:tcBorders>
                    <w:tl2br w:val="nil"/>
                    <w:tr2bl w:val="nil"/>
                  </w:tcBorders>
                </w:tcPr>
                <w:p w14:paraId="73029D54">
                  <w:pPr>
                    <w:keepNext w:val="0"/>
                    <w:keepLines w:val="0"/>
                    <w:pageBreakBefore w:val="0"/>
                    <w:widowControl w:val="0"/>
                    <w:kinsoku/>
                    <w:wordWrap/>
                    <w:overflowPunct/>
                    <w:topLinePunct w:val="0"/>
                    <w:bidi w:val="0"/>
                    <w:spacing w:line="240" w:lineRule="atLeast"/>
                    <w:jc w:val="center"/>
                    <w:textAlignment w:val="auto"/>
                    <w:rPr>
                      <w:rFonts w:ascii="Times New Roman" w:hAnsi="Times New Roman" w:eastAsia="宋体" w:cs="Times New Roman"/>
                      <w:color w:val="FF0000"/>
                      <w:kern w:val="2"/>
                      <w:sz w:val="21"/>
                      <w:szCs w:val="21"/>
                      <w:lang w:val="en-US" w:eastAsia="zh-CN" w:bidi="ar-SA"/>
                    </w:rPr>
                  </w:pPr>
                  <w:r>
                    <w:rPr>
                      <w:rFonts w:hint="eastAsia" w:cs="Times New Roman"/>
                      <w:color w:val="FF0000"/>
                      <w:kern w:val="2"/>
                      <w:sz w:val="21"/>
                      <w:szCs w:val="21"/>
                      <w:lang w:val="en-US" w:eastAsia="zh-CN" w:bidi="ar-SA"/>
                    </w:rPr>
                    <w:t>达标</w:t>
                  </w:r>
                </w:p>
              </w:tc>
            </w:tr>
          </w:tbl>
          <w:p w14:paraId="67136F32">
            <w:pPr>
              <w:pStyle w:val="77"/>
              <w:rPr>
                <w:rFonts w:hint="eastAsia"/>
                <w:snapToGrid w:val="0"/>
                <w:color w:val="FF0000"/>
                <w:lang w:val="en-GB"/>
              </w:rPr>
            </w:pPr>
            <w:r>
              <w:rPr>
                <w:rFonts w:hint="eastAsia"/>
                <w:snapToGrid w:val="0"/>
                <w:color w:val="FF0000"/>
                <w:lang w:val="en-GB"/>
              </w:rPr>
              <w:t>由表3-1可知，佳木斯市2023年区域环境空气质量中</w:t>
            </w:r>
            <w:r>
              <w:rPr>
                <w:rFonts w:hint="default"/>
                <w:color w:val="FF0000"/>
              </w:rPr>
              <w:t>SO</w:t>
            </w:r>
            <w:r>
              <w:rPr>
                <w:rFonts w:hint="default"/>
                <w:color w:val="FF0000"/>
                <w:vertAlign w:val="subscript"/>
              </w:rPr>
              <w:t>2</w:t>
            </w:r>
            <w:r>
              <w:rPr>
                <w:rFonts w:hint="default"/>
                <w:color w:val="FF0000"/>
              </w:rPr>
              <w:t>、NO</w:t>
            </w:r>
            <w:r>
              <w:rPr>
                <w:rFonts w:hint="default"/>
                <w:color w:val="FF0000"/>
                <w:vertAlign w:val="subscript"/>
              </w:rPr>
              <w:t>2</w:t>
            </w:r>
            <w:r>
              <w:rPr>
                <w:rFonts w:hint="default"/>
                <w:color w:val="FF0000"/>
              </w:rPr>
              <w:t>、PM</w:t>
            </w:r>
            <w:r>
              <w:rPr>
                <w:rFonts w:hint="default"/>
                <w:color w:val="FF0000"/>
                <w:vertAlign w:val="subscript"/>
              </w:rPr>
              <w:t>10</w:t>
            </w:r>
            <w:r>
              <w:rPr>
                <w:rFonts w:hint="default"/>
                <w:color w:val="FF0000"/>
              </w:rPr>
              <w:t>、PM</w:t>
            </w:r>
            <w:r>
              <w:rPr>
                <w:rFonts w:hint="default"/>
                <w:color w:val="FF0000"/>
                <w:vertAlign w:val="subscript"/>
              </w:rPr>
              <w:t>2.5</w:t>
            </w:r>
            <w:r>
              <w:rPr>
                <w:rFonts w:hint="eastAsia"/>
                <w:color w:val="FF0000"/>
                <w:vertAlign w:val="baseline"/>
                <w:lang w:eastAsia="zh-CN"/>
              </w:rPr>
              <w:t>、</w:t>
            </w:r>
            <w:r>
              <w:rPr>
                <w:rFonts w:hint="eastAsia"/>
                <w:color w:val="FF0000"/>
                <w:vertAlign w:val="baseline"/>
                <w:lang w:val="en-US" w:eastAsia="zh-CN"/>
              </w:rPr>
              <w:t>CO</w:t>
            </w:r>
            <w:r>
              <w:rPr>
                <w:rFonts w:hint="eastAsia"/>
                <w:snapToGrid w:val="0"/>
                <w:color w:val="FF0000"/>
                <w:lang w:val="en-GB"/>
              </w:rPr>
              <w:t>和O</w:t>
            </w:r>
            <w:r>
              <w:rPr>
                <w:rFonts w:hint="eastAsia"/>
                <w:snapToGrid w:val="0"/>
                <w:color w:val="FF0000"/>
                <w:vertAlign w:val="subscript"/>
                <w:lang w:val="en-GB"/>
              </w:rPr>
              <w:t>3</w:t>
            </w:r>
            <w:r>
              <w:rPr>
                <w:rFonts w:hint="eastAsia"/>
                <w:snapToGrid w:val="0"/>
                <w:color w:val="FF0000"/>
                <w:lang w:val="en-GB"/>
              </w:rPr>
              <w:t>检测值均满足《环境空气质量标准》（GB3095-2012）二级标准，因此判定项目所在区域属于达标区。</w:t>
            </w:r>
          </w:p>
          <w:p w14:paraId="578F4F3F">
            <w:pPr>
              <w:pStyle w:val="77"/>
              <w:rPr>
                <w:color w:val="auto"/>
              </w:rPr>
            </w:pPr>
            <w:r>
              <w:rPr>
                <w:color w:val="auto"/>
              </w:rPr>
              <w:t>（二）其他污染物</w:t>
            </w:r>
          </w:p>
          <w:p w14:paraId="1193DFBC">
            <w:pPr>
              <w:pStyle w:val="77"/>
              <w:rPr>
                <w:rFonts w:hint="eastAsia"/>
                <w:snapToGrid w:val="0"/>
                <w:color w:val="auto"/>
                <w:lang w:val="en-GB"/>
              </w:rPr>
            </w:pPr>
            <w:r>
              <w:rPr>
                <w:rFonts w:hint="eastAsia"/>
                <w:snapToGrid w:val="0"/>
                <w:color w:val="auto"/>
                <w:lang w:val="en-GB"/>
              </w:rPr>
              <w:t>本项目的其他污染物为TSP。</w:t>
            </w:r>
            <w:r>
              <w:rPr>
                <w:rFonts w:hint="eastAsia"/>
                <w:snapToGrid w:val="0"/>
                <w:color w:val="FF0000"/>
                <w:lang w:val="en-GB"/>
              </w:rPr>
              <w:t>根据《建设项目环境影响报告表编制技术指南（污染影响类）（试行）》中关于区域大气环境质量现状中的要求，</w:t>
            </w:r>
            <w:r>
              <w:rPr>
                <w:rFonts w:hint="eastAsia"/>
                <w:snapToGrid w:val="0"/>
                <w:color w:val="FF0000"/>
                <w:lang w:val="en-US" w:eastAsia="zh-CN"/>
              </w:rPr>
              <w:t>可</w:t>
            </w:r>
            <w:r>
              <w:rPr>
                <w:rFonts w:hint="eastAsia"/>
                <w:snapToGrid w:val="0"/>
                <w:color w:val="FF0000"/>
                <w:lang w:val="en-GB"/>
              </w:rPr>
              <w:t>引用建设项目周边5千米范围内近3年的现有监测数据</w:t>
            </w:r>
            <w:r>
              <w:rPr>
                <w:rFonts w:hint="eastAsia"/>
                <w:snapToGrid w:val="0"/>
                <w:color w:val="FF0000"/>
                <w:lang w:val="en-GB" w:eastAsia="zh-CN"/>
              </w:rPr>
              <w:t>。</w:t>
            </w:r>
            <w:r>
              <w:rPr>
                <w:rFonts w:hint="eastAsia"/>
                <w:snapToGrid w:val="0"/>
                <w:color w:val="auto"/>
                <w:lang w:val="en-GB"/>
              </w:rPr>
              <w:t>项目引用</w:t>
            </w:r>
            <w:r>
              <w:rPr>
                <w:rFonts w:hint="eastAsia"/>
                <w:snapToGrid w:val="0"/>
                <w:color w:val="auto"/>
                <w:lang w:val="en-US" w:eastAsia="zh-CN"/>
              </w:rPr>
              <w:t>在</w:t>
            </w:r>
            <w:r>
              <w:rPr>
                <w:rFonts w:hint="eastAsia"/>
                <w:snapToGrid w:val="0"/>
                <w:color w:val="auto"/>
                <w:lang w:val="en-GB"/>
              </w:rPr>
              <w:t>本项目</w:t>
            </w:r>
            <w:r>
              <w:rPr>
                <w:rFonts w:hint="eastAsia"/>
                <w:snapToGrid w:val="0"/>
                <w:color w:val="auto"/>
                <w:lang w:val="en-US" w:eastAsia="zh-CN"/>
              </w:rPr>
              <w:t>东南侧</w:t>
            </w:r>
            <w:r>
              <w:rPr>
                <w:rFonts w:hint="eastAsia"/>
                <w:snapToGrid w:val="0"/>
                <w:color w:val="auto"/>
                <w:lang w:val="en-GB"/>
              </w:rPr>
              <w:t>约</w:t>
            </w:r>
            <w:r>
              <w:rPr>
                <w:rFonts w:hint="eastAsia"/>
                <w:snapToGrid w:val="0"/>
                <w:color w:val="FF0000"/>
                <w:lang w:val="en-US" w:eastAsia="zh-CN"/>
              </w:rPr>
              <w:t>3</w:t>
            </w:r>
            <w:r>
              <w:rPr>
                <w:rFonts w:hint="eastAsia"/>
                <w:snapToGrid w:val="0"/>
                <w:color w:val="FF0000"/>
                <w:lang w:val="en-GB"/>
              </w:rPr>
              <w:t>.</w:t>
            </w:r>
            <w:r>
              <w:rPr>
                <w:rFonts w:hint="eastAsia"/>
                <w:snapToGrid w:val="0"/>
                <w:color w:val="FF0000"/>
                <w:lang w:val="en-US" w:eastAsia="zh-CN"/>
              </w:rPr>
              <w:t>5</w:t>
            </w:r>
            <w:r>
              <w:rPr>
                <w:rFonts w:hint="eastAsia"/>
                <w:snapToGrid w:val="0"/>
                <w:color w:val="FF0000"/>
                <w:lang w:val="en-GB"/>
              </w:rPr>
              <w:t>km</w:t>
            </w:r>
            <w:r>
              <w:rPr>
                <w:rFonts w:hint="eastAsia"/>
                <w:snapToGrid w:val="0"/>
                <w:color w:val="auto"/>
                <w:lang w:val="en-GB"/>
              </w:rPr>
              <w:t>《黑龙江</w:t>
            </w:r>
            <w:r>
              <w:rPr>
                <w:rFonts w:hint="eastAsia"/>
                <w:snapToGrid w:val="0"/>
                <w:color w:val="auto"/>
                <w:lang w:val="en-US" w:eastAsia="zh-CN"/>
              </w:rPr>
              <w:t>永灵航空材料有限公司高分子材料建设项目</w:t>
            </w:r>
            <w:r>
              <w:rPr>
                <w:rFonts w:hint="eastAsia"/>
                <w:snapToGrid w:val="0"/>
                <w:color w:val="auto"/>
                <w:lang w:val="en-GB"/>
              </w:rPr>
              <w:t>》环境空气质量现状检测数据，数据监测日期为202</w:t>
            </w:r>
            <w:r>
              <w:rPr>
                <w:rFonts w:hint="eastAsia"/>
                <w:snapToGrid w:val="0"/>
                <w:color w:val="auto"/>
                <w:lang w:val="en-US" w:eastAsia="zh-CN"/>
              </w:rPr>
              <w:t>3</w:t>
            </w:r>
            <w:r>
              <w:rPr>
                <w:rFonts w:hint="eastAsia"/>
                <w:snapToGrid w:val="0"/>
                <w:color w:val="auto"/>
                <w:lang w:val="en-GB"/>
              </w:rPr>
              <w:t>年</w:t>
            </w:r>
            <w:r>
              <w:rPr>
                <w:rFonts w:hint="eastAsia"/>
                <w:snapToGrid w:val="0"/>
                <w:color w:val="auto"/>
                <w:lang w:val="en-US" w:eastAsia="zh-CN"/>
              </w:rPr>
              <w:t>12</w:t>
            </w:r>
            <w:r>
              <w:rPr>
                <w:rFonts w:hint="eastAsia"/>
                <w:snapToGrid w:val="0"/>
                <w:color w:val="auto"/>
                <w:lang w:val="en-GB"/>
              </w:rPr>
              <w:t>月</w:t>
            </w:r>
            <w:r>
              <w:rPr>
                <w:rFonts w:hint="eastAsia"/>
                <w:snapToGrid w:val="0"/>
                <w:color w:val="auto"/>
                <w:lang w:val="en-US" w:eastAsia="zh-CN"/>
              </w:rPr>
              <w:t>3</w:t>
            </w:r>
            <w:r>
              <w:rPr>
                <w:rFonts w:hint="eastAsia"/>
                <w:snapToGrid w:val="0"/>
                <w:color w:val="auto"/>
                <w:lang w:val="en-GB"/>
              </w:rPr>
              <w:t>日~</w:t>
            </w:r>
            <w:r>
              <w:rPr>
                <w:rFonts w:hint="eastAsia"/>
                <w:snapToGrid w:val="0"/>
                <w:color w:val="auto"/>
                <w:lang w:val="en-US" w:eastAsia="zh-CN"/>
              </w:rPr>
              <w:t>9</w:t>
            </w:r>
            <w:r>
              <w:rPr>
                <w:rFonts w:hint="eastAsia"/>
                <w:snapToGrid w:val="0"/>
                <w:color w:val="auto"/>
                <w:lang w:val="en-GB"/>
              </w:rPr>
              <w:t>日</w:t>
            </w:r>
            <w:r>
              <w:rPr>
                <w:rFonts w:hint="eastAsia"/>
                <w:snapToGrid w:val="0"/>
                <w:color w:val="auto"/>
                <w:lang w:val="en-GB" w:eastAsia="zh-CN"/>
              </w:rPr>
              <w:t>。</w:t>
            </w:r>
            <w:r>
              <w:rPr>
                <w:rFonts w:hint="eastAsia"/>
                <w:snapToGrid w:val="0"/>
                <w:color w:val="auto"/>
                <w:lang w:val="en-GB"/>
              </w:rPr>
              <w:t>在引用项目的</w:t>
            </w:r>
            <w:r>
              <w:rPr>
                <w:rFonts w:hint="eastAsia"/>
                <w:snapToGrid w:val="0"/>
                <w:color w:val="auto"/>
                <w:lang w:val="en-US" w:eastAsia="zh-CN"/>
              </w:rPr>
              <w:t>厂址及</w:t>
            </w:r>
            <w:r>
              <w:rPr>
                <w:rFonts w:hint="eastAsia"/>
                <w:snapToGrid w:val="0"/>
                <w:color w:val="auto"/>
                <w:lang w:val="en-GB"/>
              </w:rPr>
              <w:t>下风向布设</w:t>
            </w:r>
            <w:r>
              <w:rPr>
                <w:rFonts w:hint="eastAsia"/>
                <w:snapToGrid w:val="0"/>
                <w:color w:val="auto"/>
                <w:lang w:val="en-US" w:eastAsia="zh-CN"/>
              </w:rPr>
              <w:t>2</w:t>
            </w:r>
            <w:r>
              <w:rPr>
                <w:rFonts w:hint="eastAsia"/>
                <w:snapToGrid w:val="0"/>
                <w:color w:val="auto"/>
                <w:lang w:val="en-GB"/>
              </w:rPr>
              <w:t>个检测点位，监测点基本信息见表3-1，检测及评价结果见表3-2</w:t>
            </w:r>
            <w:r>
              <w:rPr>
                <w:rFonts w:hint="eastAsia"/>
                <w:snapToGrid w:val="0"/>
                <w:color w:val="auto"/>
                <w:lang w:val="en-US" w:eastAsia="zh-CN"/>
              </w:rPr>
              <w:t>-表3-3</w:t>
            </w:r>
            <w:r>
              <w:rPr>
                <w:rFonts w:hint="eastAsia"/>
                <w:snapToGrid w:val="0"/>
                <w:color w:val="auto"/>
                <w:lang w:val="en-GB"/>
              </w:rPr>
              <w:t>。</w:t>
            </w:r>
          </w:p>
          <w:p w14:paraId="535DE734">
            <w:pPr>
              <w:pStyle w:val="77"/>
              <w:rPr>
                <w:snapToGrid w:val="0"/>
                <w:color w:val="auto"/>
                <w:lang w:val="en-GB"/>
              </w:rPr>
            </w:pPr>
            <w:r>
              <w:rPr>
                <w:snapToGrid w:val="0"/>
                <w:color w:val="auto"/>
                <w:lang w:val="en-GB"/>
              </w:rPr>
              <w:fldChar w:fldCharType="begin"/>
            </w:r>
            <w:r>
              <w:rPr>
                <w:snapToGrid w:val="0"/>
                <w:color w:val="auto"/>
                <w:lang w:val="en-GB"/>
              </w:rPr>
              <w:instrText xml:space="preserve"> = 1 \* GB3 </w:instrText>
            </w:r>
            <w:r>
              <w:rPr>
                <w:snapToGrid w:val="0"/>
                <w:color w:val="auto"/>
                <w:lang w:val="en-GB"/>
              </w:rPr>
              <w:fldChar w:fldCharType="separate"/>
            </w:r>
            <w:r>
              <w:rPr>
                <w:rFonts w:hint="eastAsia" w:ascii="宋体" w:hAnsi="宋体" w:cs="宋体"/>
                <w:snapToGrid w:val="0"/>
                <w:color w:val="auto"/>
                <w:lang w:val="en-GB"/>
              </w:rPr>
              <w:t>①</w:t>
            </w:r>
            <w:r>
              <w:rPr>
                <w:snapToGrid w:val="0"/>
                <w:color w:val="auto"/>
                <w:lang w:val="en-GB"/>
              </w:rPr>
              <w:fldChar w:fldCharType="end"/>
            </w:r>
            <w:r>
              <w:rPr>
                <w:snapToGrid w:val="0"/>
                <w:color w:val="auto"/>
                <w:lang w:val="en-GB"/>
              </w:rPr>
              <w:t>监测点位基本信息</w:t>
            </w:r>
          </w:p>
          <w:p w14:paraId="6C486867">
            <w:pPr>
              <w:pStyle w:val="77"/>
              <w:rPr>
                <w:snapToGrid w:val="0"/>
                <w:color w:val="auto"/>
                <w:lang w:val="en-GB"/>
              </w:rPr>
            </w:pPr>
            <w:r>
              <w:rPr>
                <w:snapToGrid w:val="0"/>
                <w:color w:val="auto"/>
                <w:lang w:val="en-GB"/>
              </w:rPr>
              <w:t>本项目监测点位基本信息见表3-</w:t>
            </w:r>
            <w:r>
              <w:rPr>
                <w:rFonts w:hint="eastAsia"/>
                <w:snapToGrid w:val="0"/>
                <w:color w:val="auto"/>
                <w:lang w:val="en-US" w:eastAsia="zh-CN"/>
              </w:rPr>
              <w:t>1</w:t>
            </w:r>
            <w:r>
              <w:rPr>
                <w:snapToGrid w:val="0"/>
                <w:color w:val="auto"/>
                <w:lang w:val="en-GB"/>
              </w:rPr>
              <w:t>。</w:t>
            </w:r>
          </w:p>
          <w:p w14:paraId="4CB1E7B9">
            <w:pPr>
              <w:pStyle w:val="78"/>
              <w:rPr>
                <w:color w:val="auto"/>
              </w:rPr>
            </w:pPr>
            <w:r>
              <w:rPr>
                <w:color w:val="auto"/>
              </w:rPr>
              <w:t>表3-</w:t>
            </w:r>
            <w:r>
              <w:rPr>
                <w:rFonts w:hint="eastAsia"/>
                <w:color w:val="auto"/>
                <w:lang w:val="en-US" w:eastAsia="zh-CN"/>
              </w:rPr>
              <w:t>1</w:t>
            </w:r>
            <w:r>
              <w:rPr>
                <w:color w:val="auto"/>
              </w:rPr>
              <w:t xml:space="preserve"> </w:t>
            </w:r>
            <w:r>
              <w:rPr>
                <w:rFonts w:hint="eastAsia"/>
                <w:color w:val="auto"/>
                <w:lang w:val="en-US" w:eastAsia="zh-CN"/>
              </w:rPr>
              <w:t>引用项目</w:t>
            </w:r>
            <w:r>
              <w:rPr>
                <w:color w:val="auto"/>
              </w:rPr>
              <w:t>其他污染物监测点位基本信息表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277"/>
              <w:gridCol w:w="2242"/>
              <w:gridCol w:w="827"/>
              <w:gridCol w:w="1701"/>
              <w:gridCol w:w="900"/>
              <w:gridCol w:w="1070"/>
            </w:tblGrid>
            <w:tr w14:paraId="2924AF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72" w:hRule="atLeast"/>
                <w:jc w:val="center"/>
              </w:trPr>
              <w:tc>
                <w:tcPr>
                  <w:tcW w:w="1996" w:type="dxa"/>
                  <w:vAlign w:val="center"/>
                </w:tcPr>
                <w:p w14:paraId="03CF9578">
                  <w:pPr>
                    <w:pStyle w:val="80"/>
                    <w:rPr>
                      <w:color w:val="auto"/>
                    </w:rPr>
                  </w:pPr>
                  <w:r>
                    <w:rPr>
                      <w:color w:val="auto"/>
                    </w:rPr>
                    <w:t>监测点名称</w:t>
                  </w:r>
                </w:p>
              </w:tc>
              <w:tc>
                <w:tcPr>
                  <w:tcW w:w="1965" w:type="dxa"/>
                  <w:vAlign w:val="center"/>
                </w:tcPr>
                <w:p w14:paraId="135A4F73">
                  <w:pPr>
                    <w:pStyle w:val="80"/>
                    <w:rPr>
                      <w:rFonts w:hint="eastAsia" w:eastAsia="宋体"/>
                      <w:color w:val="auto"/>
                      <w:lang w:eastAsia="zh-CN"/>
                    </w:rPr>
                  </w:pPr>
                  <w:r>
                    <w:rPr>
                      <w:color w:val="auto"/>
                    </w:rPr>
                    <w:t>监测点</w:t>
                  </w:r>
                  <w:r>
                    <w:rPr>
                      <w:rFonts w:hint="eastAsia"/>
                      <w:color w:val="auto"/>
                      <w:lang w:val="en-US" w:eastAsia="zh-CN"/>
                    </w:rPr>
                    <w:t>名称</w:t>
                  </w:r>
                </w:p>
              </w:tc>
              <w:tc>
                <w:tcPr>
                  <w:tcW w:w="725" w:type="dxa"/>
                  <w:vAlign w:val="center"/>
                </w:tcPr>
                <w:p w14:paraId="07CB50E8">
                  <w:pPr>
                    <w:pStyle w:val="80"/>
                    <w:rPr>
                      <w:color w:val="auto"/>
                    </w:rPr>
                  </w:pPr>
                  <w:r>
                    <w:rPr>
                      <w:color w:val="auto"/>
                    </w:rPr>
                    <w:t>监测因子</w:t>
                  </w:r>
                </w:p>
              </w:tc>
              <w:tc>
                <w:tcPr>
                  <w:tcW w:w="1491" w:type="dxa"/>
                  <w:vAlign w:val="center"/>
                </w:tcPr>
                <w:p w14:paraId="4A9D756D">
                  <w:pPr>
                    <w:pStyle w:val="80"/>
                    <w:rPr>
                      <w:color w:val="auto"/>
                    </w:rPr>
                  </w:pPr>
                  <w:r>
                    <w:rPr>
                      <w:color w:val="auto"/>
                    </w:rPr>
                    <w:t>监测时段</w:t>
                  </w:r>
                </w:p>
              </w:tc>
              <w:tc>
                <w:tcPr>
                  <w:tcW w:w="789" w:type="dxa"/>
                  <w:vAlign w:val="center"/>
                </w:tcPr>
                <w:p w14:paraId="2AEFD9F4">
                  <w:pPr>
                    <w:pStyle w:val="80"/>
                    <w:rPr>
                      <w:color w:val="auto"/>
                    </w:rPr>
                  </w:pPr>
                  <w:r>
                    <w:rPr>
                      <w:color w:val="auto"/>
                    </w:rPr>
                    <w:t>相对场址方位</w:t>
                  </w:r>
                </w:p>
              </w:tc>
              <w:tc>
                <w:tcPr>
                  <w:tcW w:w="938" w:type="dxa"/>
                  <w:vAlign w:val="center"/>
                </w:tcPr>
                <w:p w14:paraId="5D63C7DC">
                  <w:pPr>
                    <w:pStyle w:val="80"/>
                    <w:rPr>
                      <w:color w:val="auto"/>
                    </w:rPr>
                  </w:pPr>
                  <w:r>
                    <w:rPr>
                      <w:color w:val="auto"/>
                    </w:rPr>
                    <w:t>相对厂界距离/m</w:t>
                  </w:r>
                </w:p>
              </w:tc>
            </w:tr>
            <w:tr w14:paraId="3A1A57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6" w:type="dxa"/>
                  <w:vAlign w:val="center"/>
                </w:tcPr>
                <w:p w14:paraId="354558AF">
                  <w:pPr>
                    <w:pStyle w:val="80"/>
                    <w:rPr>
                      <w:color w:val="auto"/>
                    </w:rPr>
                  </w:pPr>
                  <w:r>
                    <w:rPr>
                      <w:rFonts w:hint="eastAsia"/>
                      <w:color w:val="auto"/>
                      <w:kern w:val="0"/>
                      <w:szCs w:val="21"/>
                      <w:lang w:val="en-US" w:eastAsia="zh-CN"/>
                    </w:rPr>
                    <w:t>引用项目</w:t>
                  </w:r>
                  <w:r>
                    <w:rPr>
                      <w:color w:val="auto"/>
                      <w:kern w:val="0"/>
                    </w:rPr>
                    <w:t>○1</w:t>
                  </w:r>
                </w:p>
              </w:tc>
              <w:tc>
                <w:tcPr>
                  <w:tcW w:w="1965" w:type="dxa"/>
                  <w:vAlign w:val="center"/>
                </w:tcPr>
                <w:p w14:paraId="1AFAEC67">
                  <w:pPr>
                    <w:pStyle w:val="80"/>
                    <w:rPr>
                      <w:rFonts w:hint="eastAsia" w:eastAsia="宋体"/>
                      <w:color w:val="auto"/>
                      <w:lang w:val="en-US" w:eastAsia="zh-CN"/>
                    </w:rPr>
                  </w:pPr>
                  <w:r>
                    <w:rPr>
                      <w:rFonts w:hint="eastAsia"/>
                      <w:snapToGrid w:val="0"/>
                      <w:color w:val="auto"/>
                      <w:lang w:val="en-US" w:eastAsia="zh-CN"/>
                    </w:rPr>
                    <w:t>厂址</w:t>
                  </w:r>
                </w:p>
              </w:tc>
              <w:tc>
                <w:tcPr>
                  <w:tcW w:w="725" w:type="dxa"/>
                  <w:vMerge w:val="restart"/>
                  <w:vAlign w:val="center"/>
                </w:tcPr>
                <w:p w14:paraId="41EF642B">
                  <w:pPr>
                    <w:pStyle w:val="80"/>
                    <w:rPr>
                      <w:color w:val="auto"/>
                    </w:rPr>
                  </w:pPr>
                  <w:r>
                    <w:rPr>
                      <w:color w:val="auto"/>
                    </w:rPr>
                    <w:t>TSP</w:t>
                  </w:r>
                </w:p>
              </w:tc>
              <w:tc>
                <w:tcPr>
                  <w:tcW w:w="1491" w:type="dxa"/>
                  <w:vMerge w:val="restart"/>
                  <w:vAlign w:val="center"/>
                </w:tcPr>
                <w:p w14:paraId="3E63B035">
                  <w:pPr>
                    <w:pStyle w:val="80"/>
                    <w:rPr>
                      <w:color w:val="auto"/>
                    </w:rPr>
                  </w:pPr>
                  <w:r>
                    <w:rPr>
                      <w:color w:val="auto"/>
                      <w:szCs w:val="22"/>
                    </w:rPr>
                    <w:t>202</w:t>
                  </w:r>
                  <w:r>
                    <w:rPr>
                      <w:rFonts w:hint="eastAsia"/>
                      <w:color w:val="auto"/>
                      <w:szCs w:val="22"/>
                      <w:lang w:val="en-US" w:eastAsia="zh-CN"/>
                    </w:rPr>
                    <w:t>3</w:t>
                  </w:r>
                  <w:r>
                    <w:rPr>
                      <w:color w:val="auto"/>
                      <w:szCs w:val="22"/>
                    </w:rPr>
                    <w:t>年</w:t>
                  </w:r>
                  <w:r>
                    <w:rPr>
                      <w:rFonts w:hint="eastAsia"/>
                      <w:color w:val="auto"/>
                      <w:szCs w:val="22"/>
                      <w:lang w:val="en-US" w:eastAsia="zh-CN"/>
                    </w:rPr>
                    <w:t>12</w:t>
                  </w:r>
                  <w:r>
                    <w:rPr>
                      <w:color w:val="auto"/>
                      <w:szCs w:val="22"/>
                    </w:rPr>
                    <w:t>月</w:t>
                  </w:r>
                  <w:r>
                    <w:rPr>
                      <w:rFonts w:hint="eastAsia"/>
                      <w:color w:val="auto"/>
                      <w:szCs w:val="22"/>
                      <w:lang w:val="en-US" w:eastAsia="zh-CN"/>
                    </w:rPr>
                    <w:t>3</w:t>
                  </w:r>
                  <w:r>
                    <w:rPr>
                      <w:color w:val="auto"/>
                      <w:szCs w:val="22"/>
                    </w:rPr>
                    <w:t>日-</w:t>
                  </w:r>
                  <w:r>
                    <w:rPr>
                      <w:rFonts w:hint="eastAsia"/>
                      <w:color w:val="auto"/>
                      <w:szCs w:val="22"/>
                      <w:lang w:val="en-US" w:eastAsia="zh-CN"/>
                    </w:rPr>
                    <w:t>12</w:t>
                  </w:r>
                  <w:r>
                    <w:rPr>
                      <w:color w:val="auto"/>
                      <w:szCs w:val="22"/>
                    </w:rPr>
                    <w:t>月</w:t>
                  </w:r>
                  <w:r>
                    <w:rPr>
                      <w:rFonts w:hint="eastAsia"/>
                      <w:color w:val="auto"/>
                      <w:szCs w:val="22"/>
                      <w:lang w:val="en-US" w:eastAsia="zh-CN"/>
                    </w:rPr>
                    <w:t>9</w:t>
                  </w:r>
                  <w:r>
                    <w:rPr>
                      <w:color w:val="auto"/>
                      <w:szCs w:val="22"/>
                    </w:rPr>
                    <w:t>日</w:t>
                  </w:r>
                </w:p>
              </w:tc>
              <w:tc>
                <w:tcPr>
                  <w:tcW w:w="789" w:type="dxa"/>
                  <w:vAlign w:val="center"/>
                </w:tcPr>
                <w:p w14:paraId="657323F6">
                  <w:pPr>
                    <w:pStyle w:val="80"/>
                    <w:rPr>
                      <w:rFonts w:hint="eastAsia" w:eastAsia="宋体"/>
                      <w:color w:val="auto"/>
                      <w:lang w:eastAsia="zh-CN"/>
                    </w:rPr>
                  </w:pPr>
                  <w:r>
                    <w:rPr>
                      <w:rFonts w:hint="eastAsia"/>
                      <w:color w:val="auto"/>
                      <w:lang w:val="en-US" w:eastAsia="zh-CN"/>
                    </w:rPr>
                    <w:t>厂区内</w:t>
                  </w:r>
                </w:p>
              </w:tc>
              <w:tc>
                <w:tcPr>
                  <w:tcW w:w="938" w:type="dxa"/>
                  <w:vAlign w:val="center"/>
                </w:tcPr>
                <w:p w14:paraId="5A75F04C">
                  <w:pPr>
                    <w:pStyle w:val="80"/>
                    <w:rPr>
                      <w:rFonts w:hint="default" w:eastAsia="宋体"/>
                      <w:color w:val="auto"/>
                      <w:lang w:val="en-US" w:eastAsia="zh-CN"/>
                    </w:rPr>
                  </w:pPr>
                  <w:r>
                    <w:rPr>
                      <w:rFonts w:hint="eastAsia"/>
                      <w:color w:val="auto"/>
                      <w:lang w:val="en-US" w:eastAsia="zh-CN"/>
                    </w:rPr>
                    <w:t>-</w:t>
                  </w:r>
                </w:p>
              </w:tc>
            </w:tr>
            <w:tr w14:paraId="0388E9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6" w:type="dxa"/>
                  <w:vAlign w:val="center"/>
                </w:tcPr>
                <w:p w14:paraId="15570094">
                  <w:pPr>
                    <w:pStyle w:val="80"/>
                    <w:rPr>
                      <w:rFonts w:hint="eastAsia" w:eastAsia="宋体"/>
                      <w:color w:val="auto"/>
                      <w:kern w:val="0"/>
                      <w:szCs w:val="21"/>
                      <w:lang w:val="en-US" w:eastAsia="zh-CN"/>
                    </w:rPr>
                  </w:pPr>
                  <w:r>
                    <w:rPr>
                      <w:rFonts w:hint="eastAsia"/>
                      <w:color w:val="auto"/>
                      <w:kern w:val="0"/>
                      <w:szCs w:val="21"/>
                      <w:lang w:val="en-US" w:eastAsia="zh-CN"/>
                    </w:rPr>
                    <w:t>引用项目</w:t>
                  </w:r>
                  <w:r>
                    <w:rPr>
                      <w:color w:val="auto"/>
                      <w:kern w:val="0"/>
                    </w:rPr>
                    <w:t>○</w:t>
                  </w:r>
                  <w:r>
                    <w:rPr>
                      <w:rFonts w:hint="eastAsia"/>
                      <w:color w:val="auto"/>
                      <w:kern w:val="0"/>
                      <w:lang w:val="en-US" w:eastAsia="zh-CN"/>
                    </w:rPr>
                    <w:t>2</w:t>
                  </w:r>
                </w:p>
              </w:tc>
              <w:tc>
                <w:tcPr>
                  <w:tcW w:w="1965" w:type="dxa"/>
                  <w:vAlign w:val="center"/>
                </w:tcPr>
                <w:p w14:paraId="589CE419">
                  <w:pPr>
                    <w:pStyle w:val="80"/>
                    <w:rPr>
                      <w:rFonts w:hint="default"/>
                      <w:color w:val="auto"/>
                      <w:kern w:val="0"/>
                      <w:szCs w:val="21"/>
                      <w:lang w:val="en-US" w:eastAsia="zh-CN"/>
                    </w:rPr>
                  </w:pPr>
                  <w:r>
                    <w:rPr>
                      <w:rFonts w:hint="eastAsia"/>
                      <w:color w:val="auto"/>
                      <w:kern w:val="0"/>
                      <w:szCs w:val="21"/>
                      <w:lang w:val="en-US" w:eastAsia="zh-CN"/>
                    </w:rPr>
                    <w:t>胜利屯</w:t>
                  </w:r>
                </w:p>
              </w:tc>
              <w:tc>
                <w:tcPr>
                  <w:tcW w:w="725" w:type="dxa"/>
                  <w:vMerge w:val="continue"/>
                  <w:vAlign w:val="center"/>
                </w:tcPr>
                <w:p w14:paraId="327EB0F9">
                  <w:pPr>
                    <w:pStyle w:val="80"/>
                    <w:rPr>
                      <w:color w:val="auto"/>
                    </w:rPr>
                  </w:pPr>
                </w:p>
              </w:tc>
              <w:tc>
                <w:tcPr>
                  <w:tcW w:w="1491" w:type="dxa"/>
                  <w:vMerge w:val="continue"/>
                  <w:vAlign w:val="center"/>
                </w:tcPr>
                <w:p w14:paraId="2476E50D">
                  <w:pPr>
                    <w:pStyle w:val="80"/>
                    <w:rPr>
                      <w:color w:val="auto"/>
                      <w:szCs w:val="22"/>
                    </w:rPr>
                  </w:pPr>
                </w:p>
              </w:tc>
              <w:tc>
                <w:tcPr>
                  <w:tcW w:w="789" w:type="dxa"/>
                  <w:vAlign w:val="center"/>
                </w:tcPr>
                <w:p w14:paraId="61818BB2">
                  <w:pPr>
                    <w:pStyle w:val="80"/>
                    <w:rPr>
                      <w:rFonts w:hint="default"/>
                      <w:color w:val="auto"/>
                      <w:lang w:val="en-US" w:eastAsia="zh-CN"/>
                    </w:rPr>
                  </w:pPr>
                  <w:r>
                    <w:rPr>
                      <w:rFonts w:hint="eastAsia"/>
                      <w:color w:val="auto"/>
                      <w:lang w:val="en-US" w:eastAsia="zh-CN"/>
                    </w:rPr>
                    <w:t>E</w:t>
                  </w:r>
                </w:p>
              </w:tc>
              <w:tc>
                <w:tcPr>
                  <w:tcW w:w="938" w:type="dxa"/>
                  <w:vAlign w:val="center"/>
                </w:tcPr>
                <w:p w14:paraId="79F66FED">
                  <w:pPr>
                    <w:pStyle w:val="80"/>
                    <w:rPr>
                      <w:rFonts w:hint="default"/>
                      <w:color w:val="auto"/>
                      <w:lang w:val="en-US" w:eastAsia="zh-CN"/>
                    </w:rPr>
                  </w:pPr>
                  <w:r>
                    <w:rPr>
                      <w:rFonts w:hint="eastAsia"/>
                      <w:color w:val="auto"/>
                      <w:lang w:val="en-US" w:eastAsia="zh-CN"/>
                    </w:rPr>
                    <w:t>2000</w:t>
                  </w:r>
                </w:p>
              </w:tc>
            </w:tr>
          </w:tbl>
          <w:p w14:paraId="61479652">
            <w:pPr>
              <w:pStyle w:val="77"/>
              <w:rPr>
                <w:snapToGrid w:val="0"/>
                <w:color w:val="auto"/>
                <w:lang w:val="en-GB"/>
              </w:rPr>
            </w:pPr>
            <w:r>
              <w:rPr>
                <w:snapToGrid w:val="0"/>
                <w:color w:val="auto"/>
                <w:lang w:val="en-GB"/>
              </w:rPr>
              <w:fldChar w:fldCharType="begin"/>
            </w:r>
            <w:r>
              <w:rPr>
                <w:snapToGrid w:val="0"/>
                <w:color w:val="auto"/>
                <w:lang w:val="en-GB"/>
              </w:rPr>
              <w:instrText xml:space="preserve"> = 2 \* GB3 </w:instrText>
            </w:r>
            <w:r>
              <w:rPr>
                <w:snapToGrid w:val="0"/>
                <w:color w:val="auto"/>
                <w:lang w:val="en-GB"/>
              </w:rPr>
              <w:fldChar w:fldCharType="separate"/>
            </w:r>
            <w:r>
              <w:rPr>
                <w:rFonts w:hint="eastAsia" w:ascii="宋体" w:hAnsi="宋体" w:cs="宋体"/>
                <w:snapToGrid w:val="0"/>
                <w:color w:val="auto"/>
                <w:lang w:val="en-GB"/>
              </w:rPr>
              <w:t>②</w:t>
            </w:r>
            <w:r>
              <w:rPr>
                <w:snapToGrid w:val="0"/>
                <w:color w:val="auto"/>
                <w:lang w:val="en-GB"/>
              </w:rPr>
              <w:fldChar w:fldCharType="end"/>
            </w:r>
            <w:r>
              <w:rPr>
                <w:snapToGrid w:val="0"/>
                <w:color w:val="auto"/>
                <w:lang w:val="en-GB"/>
              </w:rPr>
              <w:t>评价结果</w:t>
            </w:r>
          </w:p>
          <w:p w14:paraId="6FAE8F7F">
            <w:pPr>
              <w:pStyle w:val="77"/>
              <w:keepNext w:val="0"/>
              <w:keepLines w:val="0"/>
              <w:pageBreakBefore w:val="0"/>
              <w:widowControl w:val="0"/>
              <w:kinsoku/>
              <w:wordWrap/>
              <w:overflowPunct/>
              <w:topLinePunct w:val="0"/>
              <w:bidi w:val="0"/>
              <w:spacing w:line="360" w:lineRule="auto"/>
              <w:textAlignment w:val="auto"/>
              <w:rPr>
                <w:snapToGrid w:val="0"/>
                <w:color w:val="auto"/>
                <w:lang w:val="en-GB"/>
              </w:rPr>
            </w:pPr>
            <w:r>
              <w:rPr>
                <w:snapToGrid w:val="0"/>
                <w:color w:val="auto"/>
                <w:lang w:val="en-GB"/>
              </w:rPr>
              <w:t>现状监测统计结果分析情况见表3-</w:t>
            </w:r>
            <w:r>
              <w:rPr>
                <w:rFonts w:hint="eastAsia"/>
                <w:snapToGrid w:val="0"/>
                <w:color w:val="auto"/>
                <w:lang w:val="en-US" w:eastAsia="zh-CN"/>
              </w:rPr>
              <w:t>2</w:t>
            </w:r>
            <w:r>
              <w:rPr>
                <w:snapToGrid w:val="0"/>
                <w:color w:val="auto"/>
                <w:lang w:val="en-GB"/>
              </w:rPr>
              <w:t>。</w:t>
            </w:r>
          </w:p>
          <w:p w14:paraId="0E1A877D">
            <w:pPr>
              <w:pStyle w:val="78"/>
              <w:keepNext w:val="0"/>
              <w:keepLines w:val="0"/>
              <w:pageBreakBefore w:val="0"/>
              <w:widowControl w:val="0"/>
              <w:kinsoku/>
              <w:wordWrap/>
              <w:overflowPunct/>
              <w:topLinePunct w:val="0"/>
              <w:bidi w:val="0"/>
              <w:spacing w:line="360" w:lineRule="auto"/>
              <w:textAlignment w:val="auto"/>
              <w:rPr>
                <w:color w:val="auto"/>
              </w:rPr>
            </w:pPr>
            <w:r>
              <w:rPr>
                <w:color w:val="auto"/>
              </w:rPr>
              <w:t>表3-</w:t>
            </w:r>
            <w:r>
              <w:rPr>
                <w:rFonts w:hint="eastAsia"/>
                <w:color w:val="auto"/>
                <w:lang w:val="en-US" w:eastAsia="zh-CN"/>
              </w:rPr>
              <w:t>2</w:t>
            </w:r>
            <w:r>
              <w:rPr>
                <w:color w:val="auto"/>
              </w:rPr>
              <w:t xml:space="preserve"> 监测结果统计分析</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03"/>
              <w:gridCol w:w="1503"/>
              <w:gridCol w:w="1184"/>
              <w:gridCol w:w="1040"/>
              <w:gridCol w:w="1290"/>
              <w:gridCol w:w="1106"/>
              <w:gridCol w:w="838"/>
              <w:gridCol w:w="1053"/>
            </w:tblGrid>
            <w:tr w14:paraId="70F03A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5" w:hRule="atLeast"/>
                <w:jc w:val="center"/>
              </w:trPr>
              <w:tc>
                <w:tcPr>
                  <w:tcW w:w="556" w:type="pct"/>
                  <w:vAlign w:val="center"/>
                </w:tcPr>
                <w:p w14:paraId="4F965F78">
                  <w:pPr>
                    <w:pStyle w:val="80"/>
                    <w:keepNext w:val="0"/>
                    <w:keepLines w:val="0"/>
                    <w:pageBreakBefore w:val="0"/>
                    <w:widowControl w:val="0"/>
                    <w:kinsoku/>
                    <w:wordWrap/>
                    <w:overflowPunct/>
                    <w:topLinePunct w:val="0"/>
                    <w:bidi w:val="0"/>
                    <w:spacing w:line="360" w:lineRule="auto"/>
                    <w:textAlignment w:val="auto"/>
                    <w:rPr>
                      <w:color w:val="auto"/>
                    </w:rPr>
                  </w:pPr>
                  <w:bookmarkStart w:id="7" w:name="_Hlk12439591"/>
                  <w:r>
                    <w:rPr>
                      <w:color w:val="auto"/>
                    </w:rPr>
                    <w:t>污染物</w:t>
                  </w:r>
                </w:p>
              </w:tc>
              <w:tc>
                <w:tcPr>
                  <w:tcW w:w="833" w:type="pct"/>
                  <w:vAlign w:val="center"/>
                </w:tcPr>
                <w:p w14:paraId="247DB319">
                  <w:pPr>
                    <w:pStyle w:val="80"/>
                    <w:keepNext w:val="0"/>
                    <w:keepLines w:val="0"/>
                    <w:pageBreakBefore w:val="0"/>
                    <w:widowControl w:val="0"/>
                    <w:kinsoku/>
                    <w:wordWrap/>
                    <w:overflowPunct/>
                    <w:topLinePunct w:val="0"/>
                    <w:bidi w:val="0"/>
                    <w:spacing w:line="360" w:lineRule="auto"/>
                    <w:textAlignment w:val="auto"/>
                    <w:rPr>
                      <w:color w:val="auto"/>
                    </w:rPr>
                  </w:pPr>
                  <w:r>
                    <w:rPr>
                      <w:color w:val="auto"/>
                    </w:rPr>
                    <w:t>检测点位</w:t>
                  </w:r>
                </w:p>
              </w:tc>
              <w:tc>
                <w:tcPr>
                  <w:tcW w:w="656" w:type="pct"/>
                  <w:vAlign w:val="center"/>
                </w:tcPr>
                <w:p w14:paraId="008A94C6">
                  <w:pPr>
                    <w:pStyle w:val="80"/>
                    <w:keepNext w:val="0"/>
                    <w:keepLines w:val="0"/>
                    <w:pageBreakBefore w:val="0"/>
                    <w:widowControl w:val="0"/>
                    <w:kinsoku/>
                    <w:wordWrap/>
                    <w:overflowPunct/>
                    <w:topLinePunct w:val="0"/>
                    <w:bidi w:val="0"/>
                    <w:spacing w:line="360" w:lineRule="auto"/>
                    <w:textAlignment w:val="auto"/>
                    <w:rPr>
                      <w:color w:val="auto"/>
                    </w:rPr>
                  </w:pPr>
                  <w:r>
                    <w:rPr>
                      <w:color w:val="auto"/>
                    </w:rPr>
                    <w:t>平均时间</w:t>
                  </w:r>
                </w:p>
              </w:tc>
              <w:tc>
                <w:tcPr>
                  <w:tcW w:w="576" w:type="pct"/>
                  <w:vAlign w:val="center"/>
                </w:tcPr>
                <w:p w14:paraId="6352908A">
                  <w:pPr>
                    <w:pStyle w:val="80"/>
                    <w:keepNext w:val="0"/>
                    <w:keepLines w:val="0"/>
                    <w:pageBreakBefore w:val="0"/>
                    <w:widowControl w:val="0"/>
                    <w:kinsoku/>
                    <w:wordWrap/>
                    <w:overflowPunct/>
                    <w:topLinePunct w:val="0"/>
                    <w:bidi w:val="0"/>
                    <w:spacing w:line="360" w:lineRule="auto"/>
                    <w:textAlignment w:val="auto"/>
                    <w:rPr>
                      <w:color w:val="auto"/>
                    </w:rPr>
                  </w:pPr>
                  <w:r>
                    <w:rPr>
                      <w:color w:val="auto"/>
                    </w:rPr>
                    <w:t>评价标准/μg/m</w:t>
                  </w:r>
                  <w:r>
                    <w:rPr>
                      <w:color w:val="auto"/>
                      <w:vertAlign w:val="superscript"/>
                    </w:rPr>
                    <w:t>3</w:t>
                  </w:r>
                </w:p>
              </w:tc>
              <w:tc>
                <w:tcPr>
                  <w:tcW w:w="715" w:type="pct"/>
                  <w:vAlign w:val="center"/>
                </w:tcPr>
                <w:p w14:paraId="7A8902B1">
                  <w:pPr>
                    <w:pStyle w:val="80"/>
                    <w:keepNext w:val="0"/>
                    <w:keepLines w:val="0"/>
                    <w:pageBreakBefore w:val="0"/>
                    <w:widowControl w:val="0"/>
                    <w:kinsoku/>
                    <w:wordWrap/>
                    <w:overflowPunct/>
                    <w:topLinePunct w:val="0"/>
                    <w:bidi w:val="0"/>
                    <w:spacing w:line="360" w:lineRule="auto"/>
                    <w:textAlignment w:val="auto"/>
                    <w:rPr>
                      <w:color w:val="auto"/>
                    </w:rPr>
                  </w:pPr>
                  <w:r>
                    <w:rPr>
                      <w:color w:val="auto"/>
                    </w:rPr>
                    <w:t>监测浓度范围/μg/m</w:t>
                  </w:r>
                  <w:r>
                    <w:rPr>
                      <w:color w:val="auto"/>
                      <w:vertAlign w:val="superscript"/>
                    </w:rPr>
                    <w:t>3</w:t>
                  </w:r>
                </w:p>
              </w:tc>
              <w:tc>
                <w:tcPr>
                  <w:tcW w:w="613" w:type="pct"/>
                  <w:vAlign w:val="center"/>
                </w:tcPr>
                <w:p w14:paraId="55AC8EE4">
                  <w:pPr>
                    <w:pStyle w:val="80"/>
                    <w:keepNext w:val="0"/>
                    <w:keepLines w:val="0"/>
                    <w:pageBreakBefore w:val="0"/>
                    <w:widowControl w:val="0"/>
                    <w:kinsoku/>
                    <w:wordWrap/>
                    <w:overflowPunct/>
                    <w:topLinePunct w:val="0"/>
                    <w:bidi w:val="0"/>
                    <w:spacing w:line="360" w:lineRule="auto"/>
                    <w:textAlignment w:val="auto"/>
                    <w:rPr>
                      <w:color w:val="auto"/>
                    </w:rPr>
                  </w:pPr>
                  <w:r>
                    <w:rPr>
                      <w:color w:val="auto"/>
                    </w:rPr>
                    <w:t>最大浓度占标率/%</w:t>
                  </w:r>
                </w:p>
              </w:tc>
              <w:tc>
                <w:tcPr>
                  <w:tcW w:w="464" w:type="pct"/>
                  <w:vAlign w:val="center"/>
                </w:tcPr>
                <w:p w14:paraId="45118365">
                  <w:pPr>
                    <w:pStyle w:val="80"/>
                    <w:keepNext w:val="0"/>
                    <w:keepLines w:val="0"/>
                    <w:pageBreakBefore w:val="0"/>
                    <w:widowControl w:val="0"/>
                    <w:kinsoku/>
                    <w:wordWrap/>
                    <w:overflowPunct/>
                    <w:topLinePunct w:val="0"/>
                    <w:bidi w:val="0"/>
                    <w:spacing w:line="360" w:lineRule="auto"/>
                    <w:textAlignment w:val="auto"/>
                    <w:rPr>
                      <w:color w:val="auto"/>
                    </w:rPr>
                  </w:pPr>
                  <w:r>
                    <w:rPr>
                      <w:color w:val="auto"/>
                    </w:rPr>
                    <w:t>超标率/%</w:t>
                  </w:r>
                </w:p>
              </w:tc>
              <w:tc>
                <w:tcPr>
                  <w:tcW w:w="583" w:type="pct"/>
                  <w:vAlign w:val="center"/>
                </w:tcPr>
                <w:p w14:paraId="1D18FAC5">
                  <w:pPr>
                    <w:pStyle w:val="80"/>
                    <w:keepNext w:val="0"/>
                    <w:keepLines w:val="0"/>
                    <w:pageBreakBefore w:val="0"/>
                    <w:widowControl w:val="0"/>
                    <w:kinsoku/>
                    <w:wordWrap/>
                    <w:overflowPunct/>
                    <w:topLinePunct w:val="0"/>
                    <w:bidi w:val="0"/>
                    <w:spacing w:line="360" w:lineRule="auto"/>
                    <w:textAlignment w:val="auto"/>
                    <w:rPr>
                      <w:color w:val="auto"/>
                    </w:rPr>
                  </w:pPr>
                  <w:r>
                    <w:rPr>
                      <w:color w:val="auto"/>
                    </w:rPr>
                    <w:t>达标情况</w:t>
                  </w:r>
                </w:p>
              </w:tc>
            </w:tr>
            <w:tr w14:paraId="697D11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56" w:type="pct"/>
                  <w:vMerge w:val="restart"/>
                  <w:vAlign w:val="center"/>
                </w:tcPr>
                <w:p w14:paraId="1B10BC43">
                  <w:pPr>
                    <w:pStyle w:val="80"/>
                    <w:keepNext w:val="0"/>
                    <w:keepLines w:val="0"/>
                    <w:pageBreakBefore w:val="0"/>
                    <w:widowControl w:val="0"/>
                    <w:kinsoku/>
                    <w:wordWrap/>
                    <w:overflowPunct/>
                    <w:topLinePunct w:val="0"/>
                    <w:bidi w:val="0"/>
                    <w:spacing w:line="360" w:lineRule="auto"/>
                    <w:textAlignment w:val="auto"/>
                    <w:rPr>
                      <w:color w:val="auto"/>
                    </w:rPr>
                  </w:pPr>
                  <w:r>
                    <w:rPr>
                      <w:color w:val="auto"/>
                    </w:rPr>
                    <w:t>TSP</w:t>
                  </w:r>
                </w:p>
              </w:tc>
              <w:tc>
                <w:tcPr>
                  <w:tcW w:w="833" w:type="pct"/>
                  <w:vAlign w:val="center"/>
                </w:tcPr>
                <w:p w14:paraId="3CC33B9A">
                  <w:pPr>
                    <w:pStyle w:val="80"/>
                    <w:keepNext w:val="0"/>
                    <w:keepLines w:val="0"/>
                    <w:pageBreakBefore w:val="0"/>
                    <w:widowControl w:val="0"/>
                    <w:kinsoku/>
                    <w:wordWrap/>
                    <w:overflowPunct/>
                    <w:topLinePunct w:val="0"/>
                    <w:bidi w:val="0"/>
                    <w:spacing w:line="360" w:lineRule="auto"/>
                    <w:textAlignment w:val="auto"/>
                    <w:rPr>
                      <w:color w:val="auto"/>
                    </w:rPr>
                  </w:pPr>
                  <w:r>
                    <w:rPr>
                      <w:rFonts w:hint="eastAsia"/>
                      <w:color w:val="auto"/>
                      <w:kern w:val="0"/>
                      <w:szCs w:val="21"/>
                      <w:lang w:val="en-US" w:eastAsia="zh-CN"/>
                    </w:rPr>
                    <w:t>引用项目</w:t>
                  </w:r>
                  <w:r>
                    <w:rPr>
                      <w:color w:val="auto"/>
                      <w:kern w:val="0"/>
                    </w:rPr>
                    <w:t>○1</w:t>
                  </w:r>
                </w:p>
              </w:tc>
              <w:tc>
                <w:tcPr>
                  <w:tcW w:w="656" w:type="pct"/>
                  <w:vMerge w:val="restart"/>
                  <w:vAlign w:val="center"/>
                </w:tcPr>
                <w:p w14:paraId="01DCEB35">
                  <w:pPr>
                    <w:pStyle w:val="80"/>
                    <w:keepNext w:val="0"/>
                    <w:keepLines w:val="0"/>
                    <w:pageBreakBefore w:val="0"/>
                    <w:widowControl w:val="0"/>
                    <w:kinsoku/>
                    <w:wordWrap/>
                    <w:overflowPunct/>
                    <w:topLinePunct w:val="0"/>
                    <w:bidi w:val="0"/>
                    <w:spacing w:line="360" w:lineRule="auto"/>
                    <w:textAlignment w:val="auto"/>
                    <w:rPr>
                      <w:color w:val="auto"/>
                    </w:rPr>
                  </w:pPr>
                  <w:r>
                    <w:rPr>
                      <w:color w:val="auto"/>
                    </w:rPr>
                    <w:t>24h平均</w:t>
                  </w:r>
                </w:p>
              </w:tc>
              <w:tc>
                <w:tcPr>
                  <w:tcW w:w="576" w:type="pct"/>
                  <w:vMerge w:val="restart"/>
                  <w:vAlign w:val="center"/>
                </w:tcPr>
                <w:p w14:paraId="49F246C0">
                  <w:pPr>
                    <w:pStyle w:val="80"/>
                    <w:keepNext w:val="0"/>
                    <w:keepLines w:val="0"/>
                    <w:pageBreakBefore w:val="0"/>
                    <w:widowControl w:val="0"/>
                    <w:kinsoku/>
                    <w:wordWrap/>
                    <w:overflowPunct/>
                    <w:topLinePunct w:val="0"/>
                    <w:bidi w:val="0"/>
                    <w:spacing w:line="360" w:lineRule="auto"/>
                    <w:textAlignment w:val="auto"/>
                    <w:rPr>
                      <w:color w:val="auto"/>
                    </w:rPr>
                  </w:pPr>
                  <w:r>
                    <w:rPr>
                      <w:color w:val="auto"/>
                    </w:rPr>
                    <w:t>300</w:t>
                  </w:r>
                </w:p>
              </w:tc>
              <w:tc>
                <w:tcPr>
                  <w:tcW w:w="715" w:type="pct"/>
                  <w:vAlign w:val="center"/>
                </w:tcPr>
                <w:p w14:paraId="1DAF2811">
                  <w:pPr>
                    <w:pStyle w:val="80"/>
                    <w:keepNext w:val="0"/>
                    <w:keepLines w:val="0"/>
                    <w:pageBreakBefore w:val="0"/>
                    <w:widowControl w:val="0"/>
                    <w:kinsoku/>
                    <w:wordWrap/>
                    <w:overflowPunct/>
                    <w:topLinePunct w:val="0"/>
                    <w:bidi w:val="0"/>
                    <w:spacing w:line="360" w:lineRule="auto"/>
                    <w:textAlignment w:val="auto"/>
                    <w:rPr>
                      <w:rFonts w:hint="default" w:eastAsia="宋体"/>
                      <w:color w:val="auto"/>
                      <w:lang w:val="en-US" w:eastAsia="zh-CN"/>
                    </w:rPr>
                  </w:pPr>
                  <w:r>
                    <w:rPr>
                      <w:rFonts w:hint="eastAsia"/>
                      <w:color w:val="auto"/>
                      <w:lang w:val="en-US" w:eastAsia="zh-CN"/>
                    </w:rPr>
                    <w:t>200</w:t>
                  </w:r>
                  <w:r>
                    <w:rPr>
                      <w:color w:val="auto"/>
                    </w:rPr>
                    <w:t>~</w:t>
                  </w:r>
                  <w:r>
                    <w:rPr>
                      <w:rFonts w:hint="eastAsia"/>
                      <w:color w:val="auto"/>
                      <w:lang w:val="en-US" w:eastAsia="zh-CN"/>
                    </w:rPr>
                    <w:t>225</w:t>
                  </w:r>
                </w:p>
              </w:tc>
              <w:tc>
                <w:tcPr>
                  <w:tcW w:w="613" w:type="pct"/>
                  <w:vAlign w:val="center"/>
                </w:tcPr>
                <w:p w14:paraId="675B6924">
                  <w:pPr>
                    <w:pStyle w:val="80"/>
                    <w:keepNext w:val="0"/>
                    <w:keepLines w:val="0"/>
                    <w:pageBreakBefore w:val="0"/>
                    <w:widowControl w:val="0"/>
                    <w:kinsoku/>
                    <w:wordWrap/>
                    <w:overflowPunct/>
                    <w:topLinePunct w:val="0"/>
                    <w:bidi w:val="0"/>
                    <w:spacing w:line="360" w:lineRule="auto"/>
                    <w:textAlignment w:val="auto"/>
                    <w:rPr>
                      <w:rFonts w:hint="default" w:eastAsia="宋体"/>
                      <w:color w:val="auto"/>
                      <w:lang w:val="en-US" w:eastAsia="zh-CN"/>
                    </w:rPr>
                  </w:pPr>
                  <w:r>
                    <w:rPr>
                      <w:rFonts w:hint="eastAsia"/>
                      <w:color w:val="auto"/>
                      <w:lang w:val="en-US" w:eastAsia="zh-CN"/>
                    </w:rPr>
                    <w:t>75</w:t>
                  </w:r>
                </w:p>
              </w:tc>
              <w:tc>
                <w:tcPr>
                  <w:tcW w:w="464" w:type="pct"/>
                  <w:vMerge w:val="restart"/>
                  <w:vAlign w:val="center"/>
                </w:tcPr>
                <w:p w14:paraId="717D042E">
                  <w:pPr>
                    <w:pStyle w:val="80"/>
                    <w:keepNext w:val="0"/>
                    <w:keepLines w:val="0"/>
                    <w:pageBreakBefore w:val="0"/>
                    <w:widowControl w:val="0"/>
                    <w:kinsoku/>
                    <w:wordWrap/>
                    <w:overflowPunct/>
                    <w:topLinePunct w:val="0"/>
                    <w:bidi w:val="0"/>
                    <w:spacing w:line="360" w:lineRule="auto"/>
                    <w:textAlignment w:val="auto"/>
                    <w:rPr>
                      <w:color w:val="auto"/>
                    </w:rPr>
                  </w:pPr>
                  <w:r>
                    <w:rPr>
                      <w:color w:val="auto"/>
                    </w:rPr>
                    <w:t>0</w:t>
                  </w:r>
                </w:p>
              </w:tc>
              <w:tc>
                <w:tcPr>
                  <w:tcW w:w="583" w:type="pct"/>
                  <w:vMerge w:val="restart"/>
                  <w:vAlign w:val="center"/>
                </w:tcPr>
                <w:p w14:paraId="06636F18">
                  <w:pPr>
                    <w:pStyle w:val="80"/>
                    <w:keepNext w:val="0"/>
                    <w:keepLines w:val="0"/>
                    <w:pageBreakBefore w:val="0"/>
                    <w:widowControl w:val="0"/>
                    <w:kinsoku/>
                    <w:wordWrap/>
                    <w:overflowPunct/>
                    <w:topLinePunct w:val="0"/>
                    <w:bidi w:val="0"/>
                    <w:spacing w:line="360" w:lineRule="auto"/>
                    <w:textAlignment w:val="auto"/>
                    <w:rPr>
                      <w:color w:val="auto"/>
                    </w:rPr>
                  </w:pPr>
                  <w:r>
                    <w:rPr>
                      <w:color w:val="auto"/>
                    </w:rPr>
                    <w:t>达标</w:t>
                  </w:r>
                </w:p>
              </w:tc>
            </w:tr>
            <w:tr w14:paraId="1ABEDA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56" w:type="pct"/>
                  <w:vMerge w:val="continue"/>
                  <w:vAlign w:val="center"/>
                </w:tcPr>
                <w:p w14:paraId="7F2A3377">
                  <w:pPr>
                    <w:pStyle w:val="80"/>
                    <w:keepNext w:val="0"/>
                    <w:keepLines w:val="0"/>
                    <w:pageBreakBefore w:val="0"/>
                    <w:widowControl w:val="0"/>
                    <w:kinsoku/>
                    <w:wordWrap/>
                    <w:overflowPunct/>
                    <w:topLinePunct w:val="0"/>
                    <w:bidi w:val="0"/>
                    <w:spacing w:line="360" w:lineRule="auto"/>
                    <w:textAlignment w:val="auto"/>
                    <w:rPr>
                      <w:color w:val="auto"/>
                    </w:rPr>
                  </w:pPr>
                  <w:bookmarkStart w:id="8" w:name="_Hlk84528908"/>
                </w:p>
              </w:tc>
              <w:tc>
                <w:tcPr>
                  <w:tcW w:w="833" w:type="pct"/>
                  <w:vAlign w:val="center"/>
                </w:tcPr>
                <w:p w14:paraId="2FC1D5A9">
                  <w:pPr>
                    <w:pStyle w:val="80"/>
                    <w:keepNext w:val="0"/>
                    <w:keepLines w:val="0"/>
                    <w:pageBreakBefore w:val="0"/>
                    <w:widowControl w:val="0"/>
                    <w:kinsoku/>
                    <w:wordWrap/>
                    <w:overflowPunct/>
                    <w:topLinePunct w:val="0"/>
                    <w:bidi w:val="0"/>
                    <w:spacing w:line="360" w:lineRule="auto"/>
                    <w:textAlignment w:val="auto"/>
                    <w:rPr>
                      <w:rFonts w:hint="eastAsia" w:eastAsia="宋体"/>
                      <w:color w:val="auto"/>
                      <w:kern w:val="0"/>
                      <w:szCs w:val="21"/>
                      <w:lang w:val="en-US" w:eastAsia="zh-CN"/>
                    </w:rPr>
                  </w:pPr>
                  <w:r>
                    <w:rPr>
                      <w:rFonts w:hint="eastAsia"/>
                      <w:color w:val="auto"/>
                      <w:kern w:val="0"/>
                      <w:szCs w:val="21"/>
                      <w:lang w:val="en-US" w:eastAsia="zh-CN"/>
                    </w:rPr>
                    <w:t>引用项目</w:t>
                  </w:r>
                  <w:r>
                    <w:rPr>
                      <w:color w:val="auto"/>
                      <w:kern w:val="0"/>
                    </w:rPr>
                    <w:t>○</w:t>
                  </w:r>
                  <w:r>
                    <w:rPr>
                      <w:rFonts w:hint="eastAsia"/>
                      <w:color w:val="auto"/>
                      <w:kern w:val="0"/>
                      <w:lang w:val="en-US" w:eastAsia="zh-CN"/>
                    </w:rPr>
                    <w:t>2</w:t>
                  </w:r>
                </w:p>
              </w:tc>
              <w:tc>
                <w:tcPr>
                  <w:tcW w:w="656" w:type="pct"/>
                  <w:vMerge w:val="continue"/>
                  <w:vAlign w:val="center"/>
                </w:tcPr>
                <w:p w14:paraId="3FA366D8">
                  <w:pPr>
                    <w:pStyle w:val="80"/>
                    <w:keepNext w:val="0"/>
                    <w:keepLines w:val="0"/>
                    <w:pageBreakBefore w:val="0"/>
                    <w:widowControl w:val="0"/>
                    <w:kinsoku/>
                    <w:wordWrap/>
                    <w:overflowPunct/>
                    <w:topLinePunct w:val="0"/>
                    <w:bidi w:val="0"/>
                    <w:spacing w:line="360" w:lineRule="auto"/>
                    <w:textAlignment w:val="auto"/>
                    <w:rPr>
                      <w:color w:val="auto"/>
                    </w:rPr>
                  </w:pPr>
                </w:p>
              </w:tc>
              <w:tc>
                <w:tcPr>
                  <w:tcW w:w="576" w:type="pct"/>
                  <w:vMerge w:val="continue"/>
                  <w:vAlign w:val="center"/>
                </w:tcPr>
                <w:p w14:paraId="7D607355">
                  <w:pPr>
                    <w:pStyle w:val="80"/>
                    <w:keepNext w:val="0"/>
                    <w:keepLines w:val="0"/>
                    <w:pageBreakBefore w:val="0"/>
                    <w:widowControl w:val="0"/>
                    <w:kinsoku/>
                    <w:wordWrap/>
                    <w:overflowPunct/>
                    <w:topLinePunct w:val="0"/>
                    <w:bidi w:val="0"/>
                    <w:spacing w:line="360" w:lineRule="auto"/>
                    <w:textAlignment w:val="auto"/>
                    <w:rPr>
                      <w:color w:val="auto"/>
                    </w:rPr>
                  </w:pPr>
                </w:p>
              </w:tc>
              <w:tc>
                <w:tcPr>
                  <w:tcW w:w="715" w:type="pct"/>
                  <w:vAlign w:val="center"/>
                </w:tcPr>
                <w:p w14:paraId="05CF49EB">
                  <w:pPr>
                    <w:pStyle w:val="80"/>
                    <w:keepNext w:val="0"/>
                    <w:keepLines w:val="0"/>
                    <w:pageBreakBefore w:val="0"/>
                    <w:widowControl w:val="0"/>
                    <w:kinsoku/>
                    <w:wordWrap/>
                    <w:overflowPunct/>
                    <w:topLinePunct w:val="0"/>
                    <w:bidi w:val="0"/>
                    <w:spacing w:line="360" w:lineRule="auto"/>
                    <w:textAlignment w:val="auto"/>
                    <w:rPr>
                      <w:rFonts w:hint="default"/>
                      <w:color w:val="auto"/>
                      <w:lang w:val="en-US" w:eastAsia="zh-CN"/>
                    </w:rPr>
                  </w:pPr>
                  <w:r>
                    <w:rPr>
                      <w:rFonts w:hint="eastAsia"/>
                      <w:color w:val="auto"/>
                      <w:lang w:val="en-US" w:eastAsia="zh-CN"/>
                    </w:rPr>
                    <w:t>204-221</w:t>
                  </w:r>
                </w:p>
              </w:tc>
              <w:tc>
                <w:tcPr>
                  <w:tcW w:w="613" w:type="pct"/>
                  <w:vAlign w:val="center"/>
                </w:tcPr>
                <w:p w14:paraId="42CB4A75">
                  <w:pPr>
                    <w:pStyle w:val="80"/>
                    <w:keepNext w:val="0"/>
                    <w:keepLines w:val="0"/>
                    <w:pageBreakBefore w:val="0"/>
                    <w:widowControl w:val="0"/>
                    <w:kinsoku/>
                    <w:wordWrap/>
                    <w:overflowPunct/>
                    <w:topLinePunct w:val="0"/>
                    <w:bidi w:val="0"/>
                    <w:spacing w:line="360" w:lineRule="auto"/>
                    <w:textAlignment w:val="auto"/>
                    <w:rPr>
                      <w:rFonts w:hint="default"/>
                      <w:color w:val="auto"/>
                      <w:lang w:val="en-US" w:eastAsia="zh-CN"/>
                    </w:rPr>
                  </w:pPr>
                  <w:r>
                    <w:rPr>
                      <w:rFonts w:hint="eastAsia"/>
                      <w:color w:val="auto"/>
                      <w:lang w:val="en-US" w:eastAsia="zh-CN"/>
                    </w:rPr>
                    <w:t>73.7</w:t>
                  </w:r>
                </w:p>
              </w:tc>
              <w:tc>
                <w:tcPr>
                  <w:tcW w:w="464" w:type="pct"/>
                  <w:vMerge w:val="continue"/>
                  <w:vAlign w:val="center"/>
                </w:tcPr>
                <w:p w14:paraId="59E33239">
                  <w:pPr>
                    <w:pStyle w:val="80"/>
                    <w:keepNext w:val="0"/>
                    <w:keepLines w:val="0"/>
                    <w:pageBreakBefore w:val="0"/>
                    <w:widowControl w:val="0"/>
                    <w:kinsoku/>
                    <w:wordWrap/>
                    <w:overflowPunct/>
                    <w:topLinePunct w:val="0"/>
                    <w:bidi w:val="0"/>
                    <w:spacing w:line="360" w:lineRule="auto"/>
                    <w:textAlignment w:val="auto"/>
                    <w:rPr>
                      <w:color w:val="auto"/>
                    </w:rPr>
                  </w:pPr>
                </w:p>
              </w:tc>
              <w:tc>
                <w:tcPr>
                  <w:tcW w:w="583" w:type="pct"/>
                  <w:vMerge w:val="continue"/>
                  <w:vAlign w:val="center"/>
                </w:tcPr>
                <w:p w14:paraId="752880EB">
                  <w:pPr>
                    <w:pStyle w:val="80"/>
                    <w:keepNext w:val="0"/>
                    <w:keepLines w:val="0"/>
                    <w:pageBreakBefore w:val="0"/>
                    <w:widowControl w:val="0"/>
                    <w:kinsoku/>
                    <w:wordWrap/>
                    <w:overflowPunct/>
                    <w:topLinePunct w:val="0"/>
                    <w:bidi w:val="0"/>
                    <w:spacing w:line="360" w:lineRule="auto"/>
                    <w:textAlignment w:val="auto"/>
                    <w:rPr>
                      <w:color w:val="auto"/>
                    </w:rPr>
                  </w:pPr>
                </w:p>
              </w:tc>
            </w:tr>
            <w:bookmarkEnd w:id="7"/>
          </w:tbl>
          <w:p w14:paraId="5806766D">
            <w:pPr>
              <w:pStyle w:val="77"/>
              <w:keepNext w:val="0"/>
              <w:keepLines w:val="0"/>
              <w:pageBreakBefore w:val="0"/>
              <w:widowControl w:val="0"/>
              <w:kinsoku/>
              <w:wordWrap/>
              <w:overflowPunct/>
              <w:topLinePunct w:val="0"/>
              <w:bidi w:val="0"/>
              <w:spacing w:line="360" w:lineRule="auto"/>
              <w:textAlignment w:val="auto"/>
              <w:rPr>
                <w:snapToGrid w:val="0"/>
                <w:color w:val="auto"/>
                <w:lang w:val="en-GB"/>
              </w:rPr>
            </w:pPr>
            <w:r>
              <w:rPr>
                <w:snapToGrid w:val="0"/>
                <w:color w:val="auto"/>
                <w:lang w:val="en-GB"/>
              </w:rPr>
              <w:t>根据表3-</w:t>
            </w:r>
            <w:r>
              <w:rPr>
                <w:rFonts w:hint="eastAsia"/>
                <w:snapToGrid w:val="0"/>
                <w:color w:val="auto"/>
                <w:lang w:val="en-US" w:eastAsia="zh-CN"/>
              </w:rPr>
              <w:t>2</w:t>
            </w:r>
            <w:r>
              <w:rPr>
                <w:snapToGrid w:val="0"/>
                <w:color w:val="auto"/>
                <w:lang w:val="en-GB"/>
              </w:rPr>
              <w:t>，本项目所在范围内TSP的环境空气质量现状均满足《环境空气质量标准》（GB3095-2012）及修改单中二级标准要求。</w:t>
            </w:r>
            <w:bookmarkStart w:id="9" w:name="_Hlk84854871"/>
          </w:p>
          <w:bookmarkEnd w:id="8"/>
          <w:bookmarkEnd w:id="9"/>
          <w:p w14:paraId="3CF40BF2">
            <w:pPr>
              <w:pStyle w:val="84"/>
              <w:keepNext w:val="0"/>
              <w:keepLines w:val="0"/>
              <w:pageBreakBefore w:val="0"/>
              <w:widowControl w:val="0"/>
              <w:kinsoku/>
              <w:wordWrap/>
              <w:overflowPunct/>
              <w:topLinePunct w:val="0"/>
              <w:bidi w:val="0"/>
              <w:spacing w:line="360" w:lineRule="auto"/>
              <w:textAlignment w:val="auto"/>
              <w:rPr>
                <w:color w:val="auto"/>
              </w:rPr>
            </w:pPr>
            <w:r>
              <w:rPr>
                <w:color w:val="auto"/>
              </w:rPr>
              <w:t>二、地表水环境质量现状</w:t>
            </w:r>
          </w:p>
          <w:p w14:paraId="2756E93A">
            <w:pPr>
              <w:pStyle w:val="84"/>
              <w:rPr>
                <w:rFonts w:hint="eastAsia"/>
                <w:b w:val="0"/>
                <w:bCs w:val="0"/>
                <w:color w:val="auto"/>
              </w:rPr>
            </w:pPr>
            <w:r>
              <w:rPr>
                <w:rFonts w:hint="eastAsia"/>
                <w:b w:val="0"/>
                <w:bCs w:val="0"/>
                <w:color w:val="auto"/>
              </w:rPr>
              <w:t>本项目所在区域地表水体属于松花江水系，根据《国务院关于全国重要江河湖泊水功能区划（2010-2030年）的批复》国函〔2011〕167号文件，本项目所在地地表水体为松花江干流“港务局—宏力村”断面，属于排污控制区，未划分水域环境功能。其上一断面为“汤旺河汇1入口上1km-佳木斯港务局”断面，水质目标为IV类，其下一断面为“宏力村-中和村”断面，水质目标为IV类，综合考虑上下断面水域环境功能，本次将“港务局—宏力村”断面定为IV类水功能区，地表水环境质量执行国家《地表水环境质量标准》（GB3838-2002）中的Ⅳ类标准。</w:t>
            </w:r>
          </w:p>
          <w:p w14:paraId="4B9AE7BD">
            <w:pPr>
              <w:pStyle w:val="84"/>
              <w:rPr>
                <w:b w:val="0"/>
                <w:bCs w:val="0"/>
                <w:color w:val="FF0000"/>
              </w:rPr>
            </w:pPr>
            <w:r>
              <w:rPr>
                <w:rFonts w:hint="eastAsia"/>
                <w:b w:val="0"/>
                <w:bCs w:val="0"/>
                <w:color w:val="FF0000"/>
              </w:rPr>
              <w:t>根据《佳木斯市生态环境质量简报（2023年）》，2023年松花江佳木斯江段干流及支流断面共6个，Ⅰ-Ⅲ类水质比例为100%，无劣Ⅴ类水质断面，水质状况为优。因此本项目所在区域地表水质量现状满足《地表水环境质量标准》（GB3838-2002）Ⅳ类标准要求。</w:t>
            </w:r>
          </w:p>
          <w:p w14:paraId="738048A6">
            <w:pPr>
              <w:pStyle w:val="84"/>
              <w:rPr>
                <w:color w:val="auto"/>
              </w:rPr>
            </w:pPr>
            <w:r>
              <w:rPr>
                <w:color w:val="auto"/>
              </w:rPr>
              <w:t>三、声环境质量现状</w:t>
            </w:r>
          </w:p>
          <w:p w14:paraId="380E2F1A">
            <w:pPr>
              <w:spacing w:line="500" w:lineRule="exact"/>
              <w:ind w:firstLine="480"/>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厂界外周边50米范围内存在声环境保护目标</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val="en-US" w:eastAsia="zh-CN"/>
              </w:rPr>
              <w:t>本项目</w:t>
            </w:r>
            <w:r>
              <w:rPr>
                <w:rFonts w:hint="default" w:ascii="Times New Roman" w:hAnsi="Times New Roman" w:cs="Times New Roman"/>
                <w:color w:val="auto"/>
                <w:sz w:val="24"/>
                <w:highlight w:val="none"/>
              </w:rPr>
              <w:t>于20</w:t>
            </w:r>
            <w:r>
              <w:rPr>
                <w:rFonts w:hint="default" w:ascii="Times New Roman" w:hAnsi="Times New Roman" w:cs="Times New Roman"/>
                <w:color w:val="auto"/>
                <w:sz w:val="24"/>
                <w:highlight w:val="none"/>
                <w:lang w:val="en-US" w:eastAsia="zh-CN"/>
              </w:rPr>
              <w:t>2</w:t>
            </w:r>
            <w:r>
              <w:rPr>
                <w:rFonts w:hint="eastAsia" w:ascii="Times New Roman" w:hAnsi="Times New Roman" w:cs="Times New Roman"/>
                <w:color w:val="auto"/>
                <w:sz w:val="24"/>
                <w:highlight w:val="none"/>
                <w:lang w:val="en-US" w:eastAsia="zh-CN"/>
              </w:rPr>
              <w:t>4</w:t>
            </w:r>
            <w:r>
              <w:rPr>
                <w:rFonts w:hint="default" w:ascii="Times New Roman" w:hAnsi="Times New Roman" w:cs="Times New Roman"/>
                <w:color w:val="auto"/>
                <w:sz w:val="24"/>
                <w:highlight w:val="none"/>
              </w:rPr>
              <w:t>年</w:t>
            </w:r>
            <w:r>
              <w:rPr>
                <w:rFonts w:hint="eastAsia" w:cs="Times New Roman"/>
                <w:color w:val="auto"/>
                <w:sz w:val="24"/>
                <w:highlight w:val="none"/>
                <w:lang w:val="en-US" w:eastAsia="zh-CN"/>
              </w:rPr>
              <w:t>7</w:t>
            </w:r>
            <w:r>
              <w:rPr>
                <w:rFonts w:hint="default" w:ascii="Times New Roman" w:hAnsi="Times New Roman" w:cs="Times New Roman"/>
                <w:color w:val="auto"/>
                <w:sz w:val="24"/>
                <w:highlight w:val="none"/>
              </w:rPr>
              <w:t>月</w:t>
            </w:r>
            <w:r>
              <w:rPr>
                <w:rFonts w:hint="eastAsia" w:cs="Times New Roman"/>
                <w:color w:val="auto"/>
                <w:sz w:val="24"/>
                <w:highlight w:val="none"/>
                <w:lang w:val="en-US" w:eastAsia="zh-CN"/>
              </w:rPr>
              <w:t>23</w:t>
            </w:r>
            <w:r>
              <w:rPr>
                <w:rFonts w:hint="eastAsia" w:ascii="Times New Roman" w:hAnsi="Times New Roman" w:cs="Times New Roman"/>
                <w:color w:val="auto"/>
                <w:sz w:val="24"/>
                <w:highlight w:val="none"/>
                <w:lang w:val="en-US" w:eastAsia="zh-CN"/>
              </w:rPr>
              <w:t>日</w:t>
            </w:r>
            <w:r>
              <w:rPr>
                <w:rFonts w:hint="default" w:ascii="Times New Roman" w:hAnsi="Times New Roman" w:cs="Times New Roman"/>
                <w:color w:val="auto"/>
                <w:sz w:val="24"/>
                <w:highlight w:val="none"/>
              </w:rPr>
              <w:t>对本项目</w:t>
            </w:r>
            <w:r>
              <w:rPr>
                <w:rFonts w:hint="default" w:ascii="Times New Roman" w:hAnsi="Times New Roman" w:cs="Times New Roman"/>
                <w:color w:val="auto"/>
                <w:sz w:val="24"/>
                <w:highlight w:val="none"/>
                <w:lang w:eastAsia="zh-CN"/>
              </w:rPr>
              <w:t>评价范围内环保目标</w:t>
            </w:r>
            <w:r>
              <w:rPr>
                <w:rFonts w:hint="default" w:ascii="Times New Roman" w:hAnsi="Times New Roman" w:cs="Times New Roman"/>
                <w:color w:val="auto"/>
                <w:sz w:val="24"/>
                <w:highlight w:val="none"/>
              </w:rPr>
              <w:t>噪声进行了监测，监测布点结果详见表</w:t>
            </w:r>
            <w:r>
              <w:rPr>
                <w:rFonts w:hint="eastAsia" w:ascii="Times New Roman" w:hAnsi="Times New Roman" w:cs="Times New Roman"/>
                <w:color w:val="auto"/>
                <w:sz w:val="24"/>
                <w:highlight w:val="none"/>
                <w:lang w:val="en-US" w:eastAsia="zh-CN"/>
              </w:rPr>
              <w:t>3-3</w:t>
            </w:r>
            <w:r>
              <w:rPr>
                <w:rFonts w:hint="default" w:ascii="Times New Roman" w:hAnsi="Times New Roman" w:cs="Times New Roman"/>
                <w:color w:val="auto"/>
                <w:sz w:val="24"/>
                <w:highlight w:val="none"/>
              </w:rPr>
              <w:t>，调查结果见表</w:t>
            </w:r>
            <w:r>
              <w:rPr>
                <w:rFonts w:hint="eastAsia" w:ascii="Times New Roman" w:hAnsi="Times New Roman" w:cs="Times New Roman"/>
                <w:color w:val="auto"/>
                <w:sz w:val="24"/>
                <w:highlight w:val="none"/>
                <w:lang w:val="en-US" w:eastAsia="zh-CN"/>
              </w:rPr>
              <w:t>3-4</w:t>
            </w:r>
            <w:r>
              <w:rPr>
                <w:rFonts w:hint="default" w:ascii="Times New Roman" w:hAnsi="Times New Roman" w:cs="Times New Roman"/>
                <w:color w:val="auto"/>
                <w:sz w:val="24"/>
                <w:highlight w:val="none"/>
              </w:rPr>
              <w:t>，监测点位图见图</w:t>
            </w:r>
            <w:r>
              <w:rPr>
                <w:rFonts w:hint="eastAsia" w:cs="Times New Roman"/>
                <w:color w:val="auto"/>
                <w:sz w:val="24"/>
                <w:highlight w:val="none"/>
                <w:lang w:val="en-US" w:eastAsia="zh-CN"/>
              </w:rPr>
              <w:t>3-1</w:t>
            </w:r>
            <w:r>
              <w:rPr>
                <w:rFonts w:hint="default" w:ascii="Times New Roman" w:hAnsi="Times New Roman" w:cs="Times New Roman"/>
                <w:color w:val="auto"/>
                <w:sz w:val="24"/>
                <w:highlight w:val="none"/>
              </w:rPr>
              <w:t>。</w:t>
            </w:r>
          </w:p>
          <w:p w14:paraId="57EE4E0D">
            <w:pPr>
              <w:pStyle w:val="110"/>
              <w:rPr>
                <w:rFonts w:hint="default" w:ascii="Times New Roman" w:hAnsi="Times New Roman" w:cs="Times New Roman"/>
                <w:color w:val="auto"/>
              </w:rPr>
            </w:pPr>
            <w:r>
              <w:rPr>
                <w:rFonts w:hint="default" w:ascii="Times New Roman" w:hAnsi="Times New Roman" w:cs="Times New Roman"/>
                <w:color w:val="auto"/>
              </w:rPr>
              <w:t>表</w:t>
            </w:r>
            <w:r>
              <w:rPr>
                <w:rFonts w:hint="eastAsia" w:ascii="Times New Roman" w:hAnsi="Times New Roman" w:cs="Times New Roman"/>
                <w:color w:val="auto"/>
                <w:lang w:val="en-US" w:eastAsia="zh-CN"/>
              </w:rPr>
              <w:t>3-</w:t>
            </w:r>
            <w:r>
              <w:rPr>
                <w:rFonts w:hint="eastAsia" w:cs="Times New Roman"/>
                <w:color w:val="auto"/>
                <w:lang w:val="en-US" w:eastAsia="zh-CN"/>
              </w:rPr>
              <w:t>3</w:t>
            </w:r>
            <w:r>
              <w:rPr>
                <w:rFonts w:hint="default" w:ascii="Times New Roman" w:hAnsi="Times New Roman" w:cs="Times New Roman"/>
                <w:color w:val="auto"/>
              </w:rPr>
              <w:t xml:space="preserve"> 噪声监测布点一览表</w:t>
            </w:r>
          </w:p>
          <w:tbl>
            <w:tblPr>
              <w:tblStyle w:val="19"/>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340"/>
              <w:gridCol w:w="7677"/>
            </w:tblGrid>
            <w:tr w14:paraId="4676714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jc w:val="center"/>
              </w:trPr>
              <w:tc>
                <w:tcPr>
                  <w:tcW w:w="1175" w:type="dxa"/>
                  <w:tcBorders>
                    <w:top w:val="single" w:color="auto" w:sz="4" w:space="0"/>
                    <w:left w:val="nil"/>
                    <w:bottom w:val="single" w:color="auto" w:sz="4" w:space="0"/>
                    <w:right w:val="single" w:color="auto" w:sz="4" w:space="0"/>
                  </w:tcBorders>
                  <w:noWrap w:val="0"/>
                  <w:vAlign w:val="center"/>
                </w:tcPr>
                <w:p w14:paraId="4ABF1021">
                  <w:pPr>
                    <w:spacing w:line="36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序号</w:t>
                  </w:r>
                </w:p>
              </w:tc>
              <w:tc>
                <w:tcPr>
                  <w:tcW w:w="6729" w:type="dxa"/>
                  <w:tcBorders>
                    <w:top w:val="single" w:color="auto" w:sz="4" w:space="0"/>
                    <w:left w:val="single" w:color="auto" w:sz="4" w:space="0"/>
                    <w:bottom w:val="single" w:color="auto" w:sz="4" w:space="0"/>
                    <w:right w:val="nil"/>
                  </w:tcBorders>
                  <w:noWrap w:val="0"/>
                  <w:vAlign w:val="center"/>
                </w:tcPr>
                <w:p w14:paraId="4ED3B2F8">
                  <w:pPr>
                    <w:spacing w:line="36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监测点名称</w:t>
                  </w:r>
                </w:p>
              </w:tc>
            </w:tr>
            <w:tr w14:paraId="6C30511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75" w:type="dxa"/>
                  <w:tcBorders>
                    <w:top w:val="single" w:color="auto" w:sz="4" w:space="0"/>
                    <w:left w:val="nil"/>
                    <w:bottom w:val="single" w:color="auto" w:sz="4" w:space="0"/>
                    <w:right w:val="single" w:color="auto" w:sz="4" w:space="0"/>
                  </w:tcBorders>
                  <w:noWrap w:val="0"/>
                  <w:vAlign w:val="center"/>
                </w:tcPr>
                <w:p w14:paraId="65CE9F50">
                  <w:pPr>
                    <w:spacing w:line="36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rPr>
                    <w:t>1#</w:t>
                  </w:r>
                </w:p>
              </w:tc>
              <w:tc>
                <w:tcPr>
                  <w:tcW w:w="6729" w:type="dxa"/>
                  <w:tcBorders>
                    <w:top w:val="single" w:color="auto" w:sz="4" w:space="0"/>
                    <w:left w:val="single" w:color="auto" w:sz="4" w:space="0"/>
                    <w:bottom w:val="single" w:color="auto" w:sz="4" w:space="0"/>
                    <w:right w:val="nil"/>
                  </w:tcBorders>
                  <w:noWrap w:val="0"/>
                  <w:vAlign w:val="center"/>
                </w:tcPr>
                <w:p w14:paraId="18B8C9FB">
                  <w:pPr>
                    <w:jc w:val="center"/>
                    <w:rPr>
                      <w:rFonts w:hint="default" w:ascii="Times New Roman" w:hAnsi="Times New Roman" w:eastAsia="宋体" w:cs="Times New Roman"/>
                      <w:color w:val="auto"/>
                      <w:kern w:val="0"/>
                      <w:szCs w:val="21"/>
                      <w:lang w:val="en-US" w:eastAsia="zh-CN"/>
                    </w:rPr>
                  </w:pPr>
                  <w:r>
                    <w:rPr>
                      <w:rFonts w:hint="eastAsia" w:ascii="Times New Roman" w:hAnsi="Times New Roman" w:cs="Times New Roman"/>
                      <w:color w:val="auto"/>
                      <w:kern w:val="0"/>
                      <w:szCs w:val="21"/>
                      <w:lang w:eastAsia="zh-CN"/>
                    </w:rPr>
                    <w:t>厂界</w:t>
                  </w:r>
                  <w:r>
                    <w:rPr>
                      <w:rFonts w:hint="eastAsia" w:cs="Times New Roman"/>
                      <w:color w:val="auto"/>
                      <w:kern w:val="0"/>
                      <w:szCs w:val="21"/>
                      <w:lang w:val="en-US" w:eastAsia="zh-CN"/>
                    </w:rPr>
                    <w:t>东6</w:t>
                  </w:r>
                  <w:r>
                    <w:rPr>
                      <w:rFonts w:hint="eastAsia" w:ascii="Times New Roman" w:hAnsi="Times New Roman" w:cs="Times New Roman"/>
                      <w:color w:val="auto"/>
                      <w:kern w:val="0"/>
                      <w:szCs w:val="21"/>
                      <w:lang w:val="en-US" w:eastAsia="zh-CN"/>
                    </w:rPr>
                    <w:t>m处居民</w:t>
                  </w:r>
                </w:p>
              </w:tc>
            </w:tr>
            <w:tr w14:paraId="79D349A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175" w:type="dxa"/>
                  <w:tcBorders>
                    <w:top w:val="single" w:color="auto" w:sz="4" w:space="0"/>
                    <w:left w:val="nil"/>
                    <w:bottom w:val="single" w:color="auto" w:sz="4" w:space="0"/>
                    <w:right w:val="single" w:color="auto" w:sz="4" w:space="0"/>
                  </w:tcBorders>
                  <w:noWrap w:val="0"/>
                  <w:vAlign w:val="center"/>
                </w:tcPr>
                <w:p w14:paraId="0CAD3F94">
                  <w:pPr>
                    <w:spacing w:line="360" w:lineRule="exact"/>
                    <w:jc w:val="center"/>
                    <w:rPr>
                      <w:rFonts w:hint="default" w:ascii="Times New Roman" w:hAnsi="Times New Roman" w:cs="Times New Roman"/>
                      <w:color w:val="auto"/>
                      <w:szCs w:val="21"/>
                    </w:rPr>
                  </w:pPr>
                  <w:r>
                    <w:rPr>
                      <w:rFonts w:hint="default" w:ascii="Times New Roman" w:hAnsi="Times New Roman" w:cs="Times New Roman"/>
                      <w:color w:val="auto"/>
                      <w:szCs w:val="21"/>
                      <w:lang w:val="en-US" w:eastAsia="zh-CN"/>
                    </w:rPr>
                    <w:t>2</w:t>
                  </w:r>
                  <w:r>
                    <w:rPr>
                      <w:rFonts w:hint="default" w:ascii="Times New Roman" w:hAnsi="Times New Roman" w:cs="Times New Roman"/>
                      <w:color w:val="auto"/>
                      <w:szCs w:val="21"/>
                    </w:rPr>
                    <w:t>#</w:t>
                  </w:r>
                </w:p>
              </w:tc>
              <w:tc>
                <w:tcPr>
                  <w:tcW w:w="6729" w:type="dxa"/>
                  <w:tcBorders>
                    <w:top w:val="single" w:color="auto" w:sz="4" w:space="0"/>
                    <w:left w:val="single" w:color="auto" w:sz="4" w:space="0"/>
                    <w:bottom w:val="single" w:color="auto" w:sz="4" w:space="0"/>
                    <w:right w:val="nil"/>
                  </w:tcBorders>
                  <w:noWrap w:val="0"/>
                  <w:vAlign w:val="center"/>
                </w:tcPr>
                <w:p w14:paraId="75AC201B">
                  <w:pPr>
                    <w:jc w:val="center"/>
                    <w:rPr>
                      <w:rFonts w:hint="default" w:ascii="Times New Roman" w:hAnsi="Times New Roman" w:cs="Times New Roman"/>
                      <w:color w:val="auto"/>
                      <w:sz w:val="21"/>
                      <w:lang w:val="en-US" w:eastAsia="zh-CN"/>
                    </w:rPr>
                  </w:pPr>
                  <w:r>
                    <w:rPr>
                      <w:rFonts w:hint="eastAsia" w:ascii="Times New Roman" w:hAnsi="Times New Roman" w:cs="Times New Roman"/>
                      <w:color w:val="auto"/>
                      <w:kern w:val="0"/>
                      <w:szCs w:val="21"/>
                      <w:lang w:eastAsia="zh-CN"/>
                    </w:rPr>
                    <w:t>厂界</w:t>
                  </w:r>
                  <w:r>
                    <w:rPr>
                      <w:rFonts w:hint="eastAsia" w:cs="Times New Roman"/>
                      <w:color w:val="auto"/>
                      <w:kern w:val="0"/>
                      <w:szCs w:val="21"/>
                      <w:lang w:val="en-US" w:eastAsia="zh-CN"/>
                    </w:rPr>
                    <w:t>西2</w:t>
                  </w:r>
                  <w:r>
                    <w:rPr>
                      <w:rFonts w:hint="eastAsia" w:ascii="Times New Roman" w:hAnsi="Times New Roman" w:cs="Times New Roman"/>
                      <w:color w:val="auto"/>
                      <w:kern w:val="0"/>
                      <w:szCs w:val="21"/>
                      <w:lang w:val="en-US" w:eastAsia="zh-CN"/>
                    </w:rPr>
                    <w:t>0m处居民</w:t>
                  </w:r>
                </w:p>
              </w:tc>
            </w:tr>
          </w:tbl>
          <w:p w14:paraId="6E75E2F3">
            <w:pPr>
              <w:pStyle w:val="110"/>
              <w:rPr>
                <w:rFonts w:hint="default" w:ascii="Times New Roman" w:hAnsi="Times New Roman" w:cs="Times New Roman"/>
                <w:color w:val="auto"/>
              </w:rPr>
            </w:pPr>
            <w:r>
              <w:rPr>
                <w:rFonts w:hint="default" w:ascii="Times New Roman" w:hAnsi="Times New Roman" w:cs="Times New Roman"/>
                <w:color w:val="auto"/>
              </w:rPr>
              <w:t>表</w:t>
            </w:r>
            <w:r>
              <w:rPr>
                <w:rFonts w:hint="eastAsia" w:ascii="Times New Roman" w:hAnsi="Times New Roman" w:cs="Times New Roman"/>
                <w:color w:val="auto"/>
                <w:lang w:val="en-US" w:eastAsia="zh-CN"/>
              </w:rPr>
              <w:t>3-</w:t>
            </w:r>
            <w:r>
              <w:rPr>
                <w:rFonts w:hint="eastAsia" w:cs="Times New Roman"/>
                <w:color w:val="auto"/>
                <w:lang w:val="en-US" w:eastAsia="zh-CN"/>
              </w:rPr>
              <w:t>4</w:t>
            </w:r>
            <w:r>
              <w:rPr>
                <w:rFonts w:hint="default" w:ascii="Times New Roman" w:hAnsi="Times New Roman" w:cs="Times New Roman"/>
                <w:color w:val="auto"/>
              </w:rPr>
              <w:t xml:space="preserve"> </w:t>
            </w:r>
            <w:r>
              <w:rPr>
                <w:rFonts w:hint="default" w:ascii="Times New Roman" w:hAnsi="Times New Roman" w:cs="Times New Roman"/>
                <w:color w:val="auto"/>
                <w:lang w:eastAsia="zh-CN"/>
              </w:rPr>
              <w:t>环境保护目标</w:t>
            </w:r>
            <w:r>
              <w:rPr>
                <w:rFonts w:hint="default" w:ascii="Times New Roman" w:hAnsi="Times New Roman" w:cs="Times New Roman"/>
                <w:color w:val="auto"/>
              </w:rPr>
              <w:t>声环境现状调查结果     单位：dB(A)</w:t>
            </w:r>
          </w:p>
          <w:tbl>
            <w:tblPr>
              <w:tblStyle w:val="19"/>
              <w:tblW w:w="900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72"/>
              <w:gridCol w:w="1664"/>
              <w:gridCol w:w="2155"/>
              <w:gridCol w:w="2416"/>
            </w:tblGrid>
            <w:tr w14:paraId="22186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4" w:hRule="atLeast"/>
                <w:jc w:val="center"/>
              </w:trPr>
              <w:tc>
                <w:tcPr>
                  <w:tcW w:w="2772" w:type="dxa"/>
                  <w:tcBorders>
                    <w:tl2br w:val="nil"/>
                    <w:tr2bl w:val="nil"/>
                  </w:tcBorders>
                  <w:noWrap w:val="0"/>
                  <w:vAlign w:val="center"/>
                </w:tcPr>
                <w:p w14:paraId="209A2838">
                  <w:pPr>
                    <w:jc w:val="center"/>
                    <w:rPr>
                      <w:rFonts w:hint="default" w:ascii="Times New Roman" w:hAnsi="Times New Roman" w:cs="Times New Roman"/>
                      <w:b w:val="0"/>
                      <w:bCs/>
                      <w:color w:val="auto"/>
                    </w:rPr>
                  </w:pPr>
                  <w:r>
                    <w:rPr>
                      <w:rFonts w:hint="default" w:ascii="Times New Roman" w:hAnsi="Times New Roman" w:cs="Times New Roman"/>
                      <w:b w:val="0"/>
                      <w:bCs/>
                      <w:color w:val="auto"/>
                    </w:rPr>
                    <w:t>采样地点</w:t>
                  </w:r>
                </w:p>
              </w:tc>
              <w:tc>
                <w:tcPr>
                  <w:tcW w:w="1664" w:type="dxa"/>
                  <w:tcBorders>
                    <w:tl2br w:val="nil"/>
                    <w:tr2bl w:val="nil"/>
                  </w:tcBorders>
                  <w:noWrap w:val="0"/>
                  <w:vAlign w:val="center"/>
                </w:tcPr>
                <w:p w14:paraId="1C0EC11A">
                  <w:pPr>
                    <w:jc w:val="center"/>
                    <w:rPr>
                      <w:rFonts w:hint="default" w:ascii="Times New Roman" w:hAnsi="Times New Roman" w:cs="Times New Roman"/>
                      <w:b w:val="0"/>
                      <w:bCs/>
                      <w:color w:val="auto"/>
                    </w:rPr>
                  </w:pPr>
                  <w:r>
                    <w:rPr>
                      <w:rFonts w:hint="default" w:ascii="Times New Roman" w:hAnsi="Times New Roman" w:cs="Times New Roman"/>
                      <w:b w:val="0"/>
                      <w:bCs/>
                      <w:color w:val="auto"/>
                    </w:rPr>
                    <w:t>采样日期</w:t>
                  </w:r>
                </w:p>
              </w:tc>
              <w:tc>
                <w:tcPr>
                  <w:tcW w:w="2155" w:type="dxa"/>
                  <w:tcBorders>
                    <w:tl2br w:val="nil"/>
                    <w:tr2bl w:val="nil"/>
                  </w:tcBorders>
                  <w:noWrap w:val="0"/>
                  <w:vAlign w:val="center"/>
                </w:tcPr>
                <w:p w14:paraId="4E79970F">
                  <w:pPr>
                    <w:widowControl/>
                    <w:jc w:val="center"/>
                    <w:rPr>
                      <w:rFonts w:hint="default" w:ascii="Times New Roman" w:hAnsi="Times New Roman" w:cs="Times New Roman"/>
                      <w:b w:val="0"/>
                      <w:bCs/>
                      <w:color w:val="auto"/>
                    </w:rPr>
                  </w:pPr>
                  <w:r>
                    <w:rPr>
                      <w:rFonts w:hint="default" w:ascii="Times New Roman" w:hAnsi="Times New Roman" w:cs="Times New Roman"/>
                      <w:b w:val="0"/>
                      <w:bCs/>
                      <w:color w:val="auto"/>
                    </w:rPr>
                    <w:t>昼L</w:t>
                  </w:r>
                  <w:r>
                    <w:rPr>
                      <w:rFonts w:hint="default" w:ascii="Times New Roman" w:hAnsi="Times New Roman" w:cs="Times New Roman"/>
                      <w:b w:val="0"/>
                      <w:bCs/>
                      <w:color w:val="auto"/>
                      <w:vertAlign w:val="subscript"/>
                    </w:rPr>
                    <w:t>eq</w:t>
                  </w:r>
                </w:p>
              </w:tc>
              <w:tc>
                <w:tcPr>
                  <w:tcW w:w="2416" w:type="dxa"/>
                  <w:tcBorders>
                    <w:tl2br w:val="nil"/>
                    <w:tr2bl w:val="nil"/>
                  </w:tcBorders>
                  <w:noWrap w:val="0"/>
                  <w:vAlign w:val="center"/>
                </w:tcPr>
                <w:p w14:paraId="22FAE2F2">
                  <w:pPr>
                    <w:jc w:val="center"/>
                    <w:rPr>
                      <w:rFonts w:hint="default" w:ascii="Times New Roman" w:hAnsi="Times New Roman" w:cs="Times New Roman"/>
                      <w:b w:val="0"/>
                      <w:bCs/>
                      <w:color w:val="auto"/>
                    </w:rPr>
                  </w:pPr>
                  <w:r>
                    <w:rPr>
                      <w:rFonts w:hint="default" w:ascii="Times New Roman" w:hAnsi="Times New Roman" w:cs="Times New Roman"/>
                      <w:b w:val="0"/>
                      <w:bCs/>
                      <w:color w:val="auto"/>
                    </w:rPr>
                    <w:t>夜L</w:t>
                  </w:r>
                  <w:r>
                    <w:rPr>
                      <w:rFonts w:hint="default" w:ascii="Times New Roman" w:hAnsi="Times New Roman" w:cs="Times New Roman"/>
                      <w:b w:val="0"/>
                      <w:bCs/>
                      <w:color w:val="auto"/>
                      <w:vertAlign w:val="subscript"/>
                    </w:rPr>
                    <w:t>eq</w:t>
                  </w:r>
                </w:p>
              </w:tc>
            </w:tr>
            <w:tr w14:paraId="73A5E4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72" w:type="dxa"/>
                  <w:tcBorders>
                    <w:tl2br w:val="nil"/>
                    <w:tr2bl w:val="nil"/>
                  </w:tcBorders>
                  <w:shd w:val="clear" w:color="auto" w:fill="auto"/>
                  <w:noWrap w:val="0"/>
                  <w:vAlign w:val="center"/>
                </w:tcPr>
                <w:p w14:paraId="3C84951C">
                  <w:pPr>
                    <w:pStyle w:val="59"/>
                    <w:autoSpaceDE w:val="0"/>
                    <w:autoSpaceDN w:val="0"/>
                    <w:spacing w:line="240" w:lineRule="auto"/>
                    <w:ind w:left="0" w:leftChars="0" w:firstLine="0" w:firstLineChars="0"/>
                    <w:jc w:val="center"/>
                    <w:textAlignment w:val="bottom"/>
                    <w:rPr>
                      <w:rFonts w:hint="default" w:ascii="Times New Roman" w:hAnsi="Times New Roman" w:cs="Times New Roman"/>
                      <w:b w:val="0"/>
                      <w:bCs/>
                      <w:color w:val="auto"/>
                      <w:lang w:val="en-US"/>
                    </w:rPr>
                  </w:pPr>
                  <w:r>
                    <w:rPr>
                      <w:rFonts w:hint="eastAsia" w:ascii="Times New Roman" w:hAnsi="Times New Roman" w:eastAsia="宋体" w:cs="宋体"/>
                      <w:b w:val="0"/>
                      <w:bCs w:val="0"/>
                      <w:color w:val="auto"/>
                      <w:spacing w:val="0"/>
                      <w:sz w:val="21"/>
                      <w:szCs w:val="21"/>
                      <w:lang w:val="en-US" w:eastAsia="zh-CN"/>
                    </w:rPr>
                    <w:t>▲</w:t>
                  </w:r>
                  <w:r>
                    <w:rPr>
                      <w:rFonts w:hint="default" w:ascii="Times New Roman" w:hAnsi="Times New Roman" w:eastAsia="宋体" w:cs="Times New Roman"/>
                      <w:b w:val="0"/>
                      <w:bCs w:val="0"/>
                      <w:color w:val="auto"/>
                      <w:spacing w:val="0"/>
                      <w:sz w:val="21"/>
                      <w:szCs w:val="21"/>
                      <w:lang w:val="en-US" w:eastAsia="zh-CN"/>
                    </w:rPr>
                    <w:t>1厂界</w:t>
                  </w:r>
                  <w:r>
                    <w:rPr>
                      <w:rFonts w:hint="eastAsia" w:ascii="Times New Roman" w:hAnsi="Times New Roman" w:eastAsia="宋体" w:cs="Times New Roman"/>
                      <w:b w:val="0"/>
                      <w:bCs w:val="0"/>
                      <w:color w:val="auto"/>
                      <w:spacing w:val="0"/>
                      <w:sz w:val="21"/>
                      <w:szCs w:val="21"/>
                      <w:lang w:val="en-US" w:eastAsia="zh-CN"/>
                    </w:rPr>
                    <w:t>东6m</w:t>
                  </w:r>
                  <w:r>
                    <w:rPr>
                      <w:rFonts w:hint="default" w:ascii="Times New Roman" w:hAnsi="Times New Roman" w:eastAsia="宋体" w:cs="Times New Roman"/>
                      <w:b w:val="0"/>
                      <w:bCs w:val="0"/>
                      <w:color w:val="auto"/>
                      <w:spacing w:val="0"/>
                      <w:sz w:val="21"/>
                      <w:szCs w:val="21"/>
                      <w:lang w:val="en-US" w:eastAsia="zh-CN"/>
                    </w:rPr>
                    <w:t>处居</w:t>
                  </w:r>
                  <w:r>
                    <w:rPr>
                      <w:rFonts w:hint="eastAsia" w:ascii="Times New Roman" w:hAnsi="Times New Roman" w:cs="Times New Roman"/>
                      <w:b w:val="0"/>
                      <w:bCs w:val="0"/>
                      <w:color w:val="auto"/>
                      <w:spacing w:val="0"/>
                      <w:sz w:val="21"/>
                      <w:szCs w:val="21"/>
                      <w:lang w:val="en-US" w:eastAsia="zh-CN"/>
                    </w:rPr>
                    <w:t>民</w:t>
                  </w:r>
                </w:p>
              </w:tc>
              <w:tc>
                <w:tcPr>
                  <w:tcW w:w="1664" w:type="dxa"/>
                  <w:tcBorders>
                    <w:tl2br w:val="nil"/>
                    <w:tr2bl w:val="nil"/>
                  </w:tcBorders>
                  <w:shd w:val="clear" w:color="auto" w:fill="auto"/>
                  <w:noWrap w:val="0"/>
                  <w:vAlign w:val="center"/>
                </w:tcPr>
                <w:p w14:paraId="410BD40D">
                  <w:pPr>
                    <w:jc w:val="center"/>
                    <w:rPr>
                      <w:rFonts w:hint="default" w:ascii="Times New Roman" w:hAnsi="Times New Roman" w:eastAsia="宋体" w:cs="Times New Roman"/>
                      <w:b w:val="0"/>
                      <w:bCs/>
                      <w:color w:val="auto"/>
                      <w:lang w:val="en-US" w:eastAsia="zh-CN"/>
                    </w:rPr>
                  </w:pPr>
                  <w:r>
                    <w:rPr>
                      <w:rFonts w:hint="default" w:ascii="Times New Roman" w:hAnsi="Times New Roman" w:cs="Times New Roman"/>
                      <w:b w:val="0"/>
                      <w:bCs/>
                      <w:color w:val="auto"/>
                    </w:rPr>
                    <w:t>20</w:t>
                  </w:r>
                  <w:r>
                    <w:rPr>
                      <w:rFonts w:hint="default" w:ascii="Times New Roman" w:hAnsi="Times New Roman" w:cs="Times New Roman"/>
                      <w:b w:val="0"/>
                      <w:bCs/>
                      <w:color w:val="auto"/>
                      <w:lang w:val="en-US" w:eastAsia="zh-CN"/>
                    </w:rPr>
                    <w:t>2</w:t>
                  </w:r>
                  <w:r>
                    <w:rPr>
                      <w:rFonts w:hint="eastAsia" w:ascii="Times New Roman" w:hAnsi="Times New Roman" w:cs="Times New Roman"/>
                      <w:b w:val="0"/>
                      <w:bCs/>
                      <w:color w:val="auto"/>
                      <w:lang w:val="en-US" w:eastAsia="zh-CN"/>
                    </w:rPr>
                    <w:t>4</w:t>
                  </w:r>
                  <w:r>
                    <w:rPr>
                      <w:rFonts w:hint="default" w:ascii="Times New Roman" w:hAnsi="Times New Roman" w:cs="Times New Roman"/>
                      <w:b w:val="0"/>
                      <w:bCs/>
                      <w:color w:val="auto"/>
                      <w:lang w:val="en-US" w:eastAsia="zh-CN"/>
                    </w:rPr>
                    <w:t>.</w:t>
                  </w:r>
                  <w:r>
                    <w:rPr>
                      <w:rFonts w:hint="eastAsia" w:cs="Times New Roman"/>
                      <w:b w:val="0"/>
                      <w:bCs/>
                      <w:color w:val="auto"/>
                      <w:lang w:val="en-US" w:eastAsia="zh-CN"/>
                    </w:rPr>
                    <w:t>7</w:t>
                  </w:r>
                  <w:r>
                    <w:rPr>
                      <w:rFonts w:hint="default" w:ascii="Times New Roman" w:hAnsi="Times New Roman" w:cs="Times New Roman"/>
                      <w:b w:val="0"/>
                      <w:bCs/>
                      <w:color w:val="auto"/>
                      <w:lang w:val="en-US" w:eastAsia="zh-CN"/>
                    </w:rPr>
                    <w:t>.</w:t>
                  </w:r>
                  <w:r>
                    <w:rPr>
                      <w:rFonts w:hint="eastAsia" w:cs="Times New Roman"/>
                      <w:b w:val="0"/>
                      <w:bCs/>
                      <w:color w:val="auto"/>
                      <w:lang w:val="en-US" w:eastAsia="zh-CN"/>
                    </w:rPr>
                    <w:t>23</w:t>
                  </w:r>
                </w:p>
              </w:tc>
              <w:tc>
                <w:tcPr>
                  <w:tcW w:w="2155" w:type="dxa"/>
                  <w:tcBorders>
                    <w:tl2br w:val="nil"/>
                    <w:tr2bl w:val="nil"/>
                  </w:tcBorders>
                  <w:shd w:val="clear" w:color="auto" w:fill="FFFFFF"/>
                  <w:noWrap w:val="0"/>
                  <w:vAlign w:val="center"/>
                </w:tcPr>
                <w:p w14:paraId="503BCF0D">
                  <w:pPr>
                    <w:keepNext w:val="0"/>
                    <w:keepLines w:val="0"/>
                    <w:widowControl/>
                    <w:suppressLineNumbers w:val="0"/>
                    <w:jc w:val="center"/>
                    <w:textAlignment w:val="center"/>
                    <w:rPr>
                      <w:rFonts w:hint="default" w:ascii="Times New Roman" w:hAnsi="Times New Roman" w:eastAsia="宋体" w:cs="Times New Roman"/>
                      <w:b w:val="0"/>
                      <w:bCs/>
                      <w:color w:val="auto"/>
                      <w:lang w:val="en-US" w:eastAsia="zh-CN"/>
                    </w:rPr>
                  </w:pPr>
                  <w:r>
                    <w:rPr>
                      <w:rFonts w:hint="eastAsia" w:cs="Times New Roman"/>
                      <w:i w:val="0"/>
                      <w:iCs w:val="0"/>
                      <w:color w:val="auto"/>
                      <w:kern w:val="0"/>
                      <w:sz w:val="21"/>
                      <w:szCs w:val="21"/>
                      <w:u w:val="none"/>
                      <w:lang w:val="en-US" w:eastAsia="zh-CN" w:bidi="ar"/>
                    </w:rPr>
                    <w:t>47</w:t>
                  </w:r>
                </w:p>
              </w:tc>
              <w:tc>
                <w:tcPr>
                  <w:tcW w:w="2416" w:type="dxa"/>
                  <w:tcBorders>
                    <w:tl2br w:val="nil"/>
                    <w:tr2bl w:val="nil"/>
                  </w:tcBorders>
                  <w:shd w:val="clear" w:color="auto" w:fill="FFFFFF"/>
                  <w:noWrap w:val="0"/>
                  <w:vAlign w:val="center"/>
                </w:tcPr>
                <w:p w14:paraId="329A377D">
                  <w:pPr>
                    <w:keepNext w:val="0"/>
                    <w:keepLines w:val="0"/>
                    <w:widowControl/>
                    <w:suppressLineNumbers w:val="0"/>
                    <w:jc w:val="center"/>
                    <w:textAlignment w:val="center"/>
                    <w:rPr>
                      <w:rFonts w:hint="default" w:ascii="Times New Roman" w:hAnsi="Times New Roman" w:eastAsia="宋体" w:cs="Times New Roman"/>
                      <w:b w:val="0"/>
                      <w:bCs/>
                      <w:color w:val="auto"/>
                      <w:lang w:val="en-US" w:eastAsia="zh-CN"/>
                    </w:rPr>
                  </w:pPr>
                  <w:r>
                    <w:rPr>
                      <w:rFonts w:hint="eastAsia" w:cs="Times New Roman"/>
                      <w:i w:val="0"/>
                      <w:iCs w:val="0"/>
                      <w:color w:val="auto"/>
                      <w:kern w:val="0"/>
                      <w:sz w:val="21"/>
                      <w:szCs w:val="21"/>
                      <w:u w:val="none"/>
                      <w:lang w:val="en-US" w:eastAsia="zh-CN" w:bidi="ar"/>
                    </w:rPr>
                    <w:t>37</w:t>
                  </w:r>
                </w:p>
              </w:tc>
            </w:tr>
            <w:tr w14:paraId="0C355E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772" w:type="dxa"/>
                  <w:tcBorders>
                    <w:tl2br w:val="nil"/>
                    <w:tr2bl w:val="nil"/>
                  </w:tcBorders>
                  <w:shd w:val="clear" w:color="auto" w:fill="auto"/>
                  <w:noWrap w:val="0"/>
                  <w:vAlign w:val="center"/>
                </w:tcPr>
                <w:p w14:paraId="3BC88FC3">
                  <w:pPr>
                    <w:pStyle w:val="59"/>
                    <w:autoSpaceDE w:val="0"/>
                    <w:autoSpaceDN w:val="0"/>
                    <w:spacing w:line="240" w:lineRule="auto"/>
                    <w:ind w:left="0" w:leftChars="0" w:firstLine="0" w:firstLineChars="0"/>
                    <w:jc w:val="center"/>
                    <w:textAlignment w:val="bottom"/>
                    <w:rPr>
                      <w:rFonts w:hint="default" w:ascii="Times New Roman" w:hAnsi="Times New Roman" w:cs="Times New Roman"/>
                      <w:b w:val="0"/>
                      <w:bCs/>
                      <w:color w:val="auto"/>
                    </w:rPr>
                  </w:pPr>
                  <w:r>
                    <w:rPr>
                      <w:rFonts w:hint="eastAsia" w:ascii="Times New Roman" w:hAnsi="Times New Roman" w:eastAsia="宋体" w:cs="宋体"/>
                      <w:b w:val="0"/>
                      <w:bCs w:val="0"/>
                      <w:color w:val="auto"/>
                      <w:spacing w:val="0"/>
                      <w:sz w:val="21"/>
                      <w:szCs w:val="21"/>
                      <w:lang w:val="en-US" w:eastAsia="zh-CN"/>
                    </w:rPr>
                    <w:t>▲</w:t>
                  </w:r>
                  <w:r>
                    <w:rPr>
                      <w:rFonts w:hint="eastAsia" w:ascii="Times New Roman" w:hAnsi="Times New Roman" w:eastAsia="宋体" w:cs="Times New Roman"/>
                      <w:b w:val="0"/>
                      <w:bCs w:val="0"/>
                      <w:color w:val="auto"/>
                      <w:spacing w:val="0"/>
                      <w:sz w:val="21"/>
                      <w:szCs w:val="21"/>
                      <w:lang w:val="en-US" w:eastAsia="zh-CN"/>
                    </w:rPr>
                    <w:t>2厂界西20m处居民</w:t>
                  </w:r>
                </w:p>
              </w:tc>
              <w:tc>
                <w:tcPr>
                  <w:tcW w:w="1664" w:type="dxa"/>
                  <w:tcBorders>
                    <w:tl2br w:val="nil"/>
                    <w:tr2bl w:val="nil"/>
                  </w:tcBorders>
                  <w:shd w:val="clear" w:color="auto" w:fill="auto"/>
                  <w:noWrap w:val="0"/>
                  <w:vAlign w:val="center"/>
                </w:tcPr>
                <w:p w14:paraId="1339C913">
                  <w:pPr>
                    <w:jc w:val="center"/>
                    <w:rPr>
                      <w:rFonts w:hint="default" w:ascii="Times New Roman" w:hAnsi="Times New Roman" w:cs="Times New Roman"/>
                      <w:b w:val="0"/>
                      <w:bCs/>
                      <w:color w:val="auto"/>
                      <w:lang w:val="en-US"/>
                    </w:rPr>
                  </w:pPr>
                  <w:r>
                    <w:rPr>
                      <w:rFonts w:hint="default" w:ascii="Times New Roman" w:hAnsi="Times New Roman" w:cs="Times New Roman"/>
                      <w:b w:val="0"/>
                      <w:bCs/>
                      <w:color w:val="auto"/>
                    </w:rPr>
                    <w:t>20</w:t>
                  </w:r>
                  <w:r>
                    <w:rPr>
                      <w:rFonts w:hint="default" w:ascii="Times New Roman" w:hAnsi="Times New Roman" w:cs="Times New Roman"/>
                      <w:b w:val="0"/>
                      <w:bCs/>
                      <w:color w:val="auto"/>
                      <w:lang w:val="en-US" w:eastAsia="zh-CN"/>
                    </w:rPr>
                    <w:t>2</w:t>
                  </w:r>
                  <w:r>
                    <w:rPr>
                      <w:rFonts w:hint="eastAsia" w:ascii="Times New Roman" w:hAnsi="Times New Roman" w:cs="Times New Roman"/>
                      <w:b w:val="0"/>
                      <w:bCs/>
                      <w:color w:val="auto"/>
                      <w:lang w:val="en-US" w:eastAsia="zh-CN"/>
                    </w:rPr>
                    <w:t>4</w:t>
                  </w:r>
                  <w:r>
                    <w:rPr>
                      <w:rFonts w:hint="default" w:ascii="Times New Roman" w:hAnsi="Times New Roman" w:cs="Times New Roman"/>
                      <w:b w:val="0"/>
                      <w:bCs/>
                      <w:color w:val="auto"/>
                      <w:lang w:val="en-US" w:eastAsia="zh-CN"/>
                    </w:rPr>
                    <w:t>.</w:t>
                  </w:r>
                  <w:r>
                    <w:rPr>
                      <w:rFonts w:hint="eastAsia" w:cs="Times New Roman"/>
                      <w:b w:val="0"/>
                      <w:bCs/>
                      <w:color w:val="auto"/>
                      <w:lang w:val="en-US" w:eastAsia="zh-CN"/>
                    </w:rPr>
                    <w:t>7</w:t>
                  </w:r>
                  <w:r>
                    <w:rPr>
                      <w:rFonts w:hint="default" w:ascii="Times New Roman" w:hAnsi="Times New Roman" w:cs="Times New Roman"/>
                      <w:b w:val="0"/>
                      <w:bCs/>
                      <w:color w:val="auto"/>
                      <w:lang w:val="en-US" w:eastAsia="zh-CN"/>
                    </w:rPr>
                    <w:t>.</w:t>
                  </w:r>
                  <w:r>
                    <w:rPr>
                      <w:rFonts w:hint="eastAsia" w:cs="Times New Roman"/>
                      <w:b w:val="0"/>
                      <w:bCs/>
                      <w:color w:val="auto"/>
                      <w:lang w:val="en-US" w:eastAsia="zh-CN"/>
                    </w:rPr>
                    <w:t>23</w:t>
                  </w:r>
                </w:p>
              </w:tc>
              <w:tc>
                <w:tcPr>
                  <w:tcW w:w="2155" w:type="dxa"/>
                  <w:tcBorders>
                    <w:tl2br w:val="nil"/>
                    <w:tr2bl w:val="nil"/>
                  </w:tcBorders>
                  <w:shd w:val="clear" w:color="auto" w:fill="FFFFFF"/>
                  <w:noWrap w:val="0"/>
                  <w:vAlign w:val="center"/>
                </w:tcPr>
                <w:p w14:paraId="2920AC3A">
                  <w:pPr>
                    <w:keepNext w:val="0"/>
                    <w:keepLines w:val="0"/>
                    <w:widowControl/>
                    <w:suppressLineNumbers w:val="0"/>
                    <w:jc w:val="center"/>
                    <w:textAlignment w:val="center"/>
                    <w:rPr>
                      <w:rFonts w:hint="default" w:ascii="Times New Roman" w:hAnsi="Times New Roman" w:eastAsia="宋体" w:cs="Times New Roman"/>
                      <w:b w:val="0"/>
                      <w:bCs/>
                      <w:color w:val="auto"/>
                      <w:lang w:val="en-US" w:eastAsia="zh-CN"/>
                    </w:rPr>
                  </w:pPr>
                  <w:r>
                    <w:rPr>
                      <w:rFonts w:hint="eastAsia" w:ascii="Times New Roman" w:hAnsi="Times New Roman" w:cs="Times New Roman"/>
                      <w:i w:val="0"/>
                      <w:iCs w:val="0"/>
                      <w:color w:val="auto"/>
                      <w:kern w:val="0"/>
                      <w:sz w:val="21"/>
                      <w:szCs w:val="21"/>
                      <w:u w:val="none"/>
                      <w:lang w:val="en-US" w:eastAsia="zh-CN" w:bidi="ar"/>
                    </w:rPr>
                    <w:t>4</w:t>
                  </w:r>
                  <w:r>
                    <w:rPr>
                      <w:rFonts w:hint="eastAsia" w:cs="Times New Roman"/>
                      <w:i w:val="0"/>
                      <w:iCs w:val="0"/>
                      <w:color w:val="auto"/>
                      <w:kern w:val="0"/>
                      <w:sz w:val="21"/>
                      <w:szCs w:val="21"/>
                      <w:u w:val="none"/>
                      <w:lang w:val="en-US" w:eastAsia="zh-CN" w:bidi="ar"/>
                    </w:rPr>
                    <w:t>7</w:t>
                  </w:r>
                </w:p>
              </w:tc>
              <w:tc>
                <w:tcPr>
                  <w:tcW w:w="2416" w:type="dxa"/>
                  <w:tcBorders>
                    <w:tl2br w:val="nil"/>
                    <w:tr2bl w:val="nil"/>
                  </w:tcBorders>
                  <w:shd w:val="clear" w:color="auto" w:fill="FFFFFF"/>
                  <w:noWrap w:val="0"/>
                  <w:vAlign w:val="center"/>
                </w:tcPr>
                <w:p w14:paraId="40BCE4FB">
                  <w:pPr>
                    <w:keepNext w:val="0"/>
                    <w:keepLines w:val="0"/>
                    <w:widowControl/>
                    <w:suppressLineNumbers w:val="0"/>
                    <w:jc w:val="center"/>
                    <w:textAlignment w:val="center"/>
                    <w:rPr>
                      <w:rFonts w:hint="default" w:ascii="Times New Roman" w:hAnsi="Times New Roman" w:eastAsia="宋体" w:cs="Times New Roman"/>
                      <w:b w:val="0"/>
                      <w:bCs/>
                      <w:color w:val="auto"/>
                      <w:lang w:val="en-US" w:eastAsia="zh-CN"/>
                    </w:rPr>
                  </w:pPr>
                  <w:r>
                    <w:rPr>
                      <w:rFonts w:hint="eastAsia" w:ascii="Times New Roman" w:hAnsi="Times New Roman" w:cs="Times New Roman"/>
                      <w:i w:val="0"/>
                      <w:iCs w:val="0"/>
                      <w:color w:val="auto"/>
                      <w:kern w:val="0"/>
                      <w:sz w:val="21"/>
                      <w:szCs w:val="21"/>
                      <w:u w:val="none"/>
                      <w:lang w:val="en-US" w:eastAsia="zh-CN" w:bidi="ar"/>
                    </w:rPr>
                    <w:t>39</w:t>
                  </w:r>
                </w:p>
              </w:tc>
            </w:tr>
          </w:tbl>
          <w:p w14:paraId="3F75B793">
            <w:pPr>
              <w:pStyle w:val="84"/>
              <w:rPr>
                <w:snapToGrid w:val="0"/>
                <w:color w:val="auto"/>
                <w:lang w:val="en-GB"/>
              </w:rPr>
            </w:pPr>
          </w:p>
        </w:tc>
      </w:tr>
      <w:tr w14:paraId="5DF5357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92" w:hRule="atLeast"/>
          <w:jc w:val="center"/>
        </w:trPr>
        <w:tc>
          <w:tcPr>
            <w:tcW w:w="699" w:type="dxa"/>
            <w:vAlign w:val="center"/>
          </w:tcPr>
          <w:p w14:paraId="27E0306A">
            <w:pPr>
              <w:jc w:val="center"/>
              <w:rPr>
                <w:b/>
                <w:bCs/>
                <w:color w:val="auto"/>
                <w:sz w:val="24"/>
              </w:rPr>
            </w:pPr>
            <w:r>
              <w:rPr>
                <w:b/>
                <w:bCs/>
                <w:color w:val="auto"/>
                <w:sz w:val="24"/>
              </w:rPr>
              <w:t>环</w:t>
            </w:r>
          </w:p>
          <w:p w14:paraId="0335D3B8">
            <w:pPr>
              <w:jc w:val="center"/>
              <w:rPr>
                <w:b/>
                <w:bCs/>
                <w:color w:val="auto"/>
                <w:sz w:val="24"/>
              </w:rPr>
            </w:pPr>
            <w:r>
              <w:rPr>
                <w:b/>
                <w:bCs/>
                <w:color w:val="auto"/>
                <w:sz w:val="24"/>
              </w:rPr>
              <w:t>境</w:t>
            </w:r>
          </w:p>
          <w:p w14:paraId="7BA9422B">
            <w:pPr>
              <w:jc w:val="center"/>
              <w:rPr>
                <w:b/>
                <w:bCs/>
                <w:color w:val="auto"/>
                <w:sz w:val="24"/>
              </w:rPr>
            </w:pPr>
            <w:r>
              <w:rPr>
                <w:b/>
                <w:bCs/>
                <w:color w:val="auto"/>
                <w:sz w:val="24"/>
              </w:rPr>
              <w:t>保</w:t>
            </w:r>
          </w:p>
          <w:p w14:paraId="3044A531">
            <w:pPr>
              <w:jc w:val="center"/>
              <w:rPr>
                <w:b/>
                <w:bCs/>
                <w:color w:val="auto"/>
                <w:sz w:val="24"/>
              </w:rPr>
            </w:pPr>
            <w:r>
              <w:rPr>
                <w:b/>
                <w:bCs/>
                <w:color w:val="auto"/>
                <w:sz w:val="24"/>
              </w:rPr>
              <w:t>护</w:t>
            </w:r>
          </w:p>
          <w:p w14:paraId="49801FEB">
            <w:pPr>
              <w:jc w:val="center"/>
              <w:rPr>
                <w:b/>
                <w:bCs/>
                <w:color w:val="auto"/>
                <w:sz w:val="24"/>
              </w:rPr>
            </w:pPr>
            <w:r>
              <w:rPr>
                <w:b/>
                <w:bCs/>
                <w:color w:val="auto"/>
                <w:sz w:val="24"/>
              </w:rPr>
              <w:t>目</w:t>
            </w:r>
          </w:p>
          <w:p w14:paraId="70472062">
            <w:pPr>
              <w:jc w:val="center"/>
              <w:rPr>
                <w:color w:val="auto"/>
              </w:rPr>
            </w:pPr>
            <w:r>
              <w:rPr>
                <w:b/>
                <w:bCs/>
                <w:color w:val="auto"/>
                <w:sz w:val="24"/>
              </w:rPr>
              <w:t>标</w:t>
            </w:r>
          </w:p>
        </w:tc>
        <w:tc>
          <w:tcPr>
            <w:tcW w:w="7588" w:type="dxa"/>
            <w:vAlign w:val="center"/>
          </w:tcPr>
          <w:p w14:paraId="5AD38994">
            <w:pPr>
              <w:pStyle w:val="84"/>
              <w:keepNext w:val="0"/>
              <w:keepLines w:val="0"/>
              <w:pageBreakBefore w:val="0"/>
              <w:widowControl w:val="0"/>
              <w:kinsoku/>
              <w:wordWrap/>
              <w:overflowPunct/>
              <w:topLinePunct w:val="0"/>
              <w:autoSpaceDE w:val="0"/>
              <w:autoSpaceDN w:val="0"/>
              <w:bidi w:val="0"/>
              <w:adjustRightInd w:val="0"/>
              <w:snapToGrid w:val="0"/>
              <w:spacing w:line="360" w:lineRule="auto"/>
              <w:ind w:left="0" w:leftChars="0" w:firstLine="0" w:firstLineChars="0"/>
              <w:textAlignment w:val="auto"/>
              <w:rPr>
                <w:rFonts w:hint="eastAsia" w:eastAsia="宋体"/>
                <w:color w:val="auto"/>
                <w:lang w:eastAsia="zh-CN"/>
              </w:rPr>
            </w:pPr>
            <w:bookmarkStart w:id="10" w:name="_Hlk72490597"/>
            <w:r>
              <w:rPr>
                <w:rFonts w:hint="eastAsia" w:eastAsia="宋体"/>
                <w:color w:val="auto"/>
                <w:lang w:eastAsia="zh-CN"/>
              </w:rPr>
              <w:drawing>
                <wp:inline distT="0" distB="0" distL="114300" distR="114300">
                  <wp:extent cx="5016500" cy="3375025"/>
                  <wp:effectExtent l="0" t="0" r="12700" b="15875"/>
                  <wp:docPr id="27" name="图片 27" descr="34752b9bc51f91a66876495eab3a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34752b9bc51f91a66876495eab3a349"/>
                          <pic:cNvPicPr>
                            <a:picLocks noChangeAspect="1"/>
                          </pic:cNvPicPr>
                        </pic:nvPicPr>
                        <pic:blipFill>
                          <a:blip r:embed="rId17"/>
                          <a:stretch>
                            <a:fillRect/>
                          </a:stretch>
                        </pic:blipFill>
                        <pic:spPr>
                          <a:xfrm>
                            <a:off x="0" y="0"/>
                            <a:ext cx="5016500" cy="3375025"/>
                          </a:xfrm>
                          <a:prstGeom prst="rect">
                            <a:avLst/>
                          </a:prstGeom>
                        </pic:spPr>
                      </pic:pic>
                    </a:graphicData>
                  </a:graphic>
                </wp:inline>
              </w:drawing>
            </w:r>
          </w:p>
          <w:p w14:paraId="2A8F4EE8">
            <w:pPr>
              <w:pStyle w:val="58"/>
              <w:keepNext w:val="0"/>
              <w:keepLines w:val="0"/>
              <w:suppressLineNumbers w:val="0"/>
              <w:spacing w:before="0" w:beforeAutospacing="0" w:after="0" w:afterAutospacing="0"/>
              <w:ind w:left="0" w:right="0" w:firstLine="400"/>
              <w:rPr>
                <w:rFonts w:hint="default" w:ascii="Times New Roman" w:hAnsi="Times New Roman" w:cs="Times New Roman"/>
                <w:color w:val="auto"/>
                <w:sz w:val="24"/>
              </w:rPr>
            </w:pPr>
            <w:r>
              <w:rPr>
                <w:rFonts w:hint="default" w:ascii="Times New Roman" w:hAnsi="Times New Roman" w:cs="Times New Roman"/>
                <w:color w:val="auto"/>
              </w:rPr>
              <w:t>图</w:t>
            </w:r>
            <w:r>
              <w:rPr>
                <w:rFonts w:hint="eastAsia" w:cs="Times New Roman"/>
                <w:color w:val="auto"/>
                <w:lang w:val="en-US" w:eastAsia="zh-CN"/>
              </w:rPr>
              <w:t>3-2</w:t>
            </w:r>
            <w:r>
              <w:rPr>
                <w:rFonts w:hint="eastAsia" w:ascii="Times New Roman" w:hAnsi="Times New Roman" w:cs="Times New Roman"/>
                <w:color w:val="auto"/>
                <w:lang w:val="en-US" w:eastAsia="zh-CN"/>
              </w:rPr>
              <w:t xml:space="preserve"> 监测点位</w:t>
            </w:r>
            <w:r>
              <w:rPr>
                <w:rFonts w:hint="default" w:ascii="Times New Roman" w:hAnsi="Times New Roman" w:cs="Times New Roman"/>
                <w:color w:val="auto"/>
                <w:lang w:val="en-US" w:eastAsia="zh-CN"/>
              </w:rPr>
              <w:t>图</w:t>
            </w:r>
          </w:p>
          <w:p w14:paraId="1C143565">
            <w:pPr>
              <w:pStyle w:val="84"/>
              <w:rPr>
                <w:rFonts w:hint="default" w:ascii="Times New Roman" w:hAnsi="Times New Roman" w:eastAsia="宋体" w:cs="Times New Roman"/>
                <w:b w:val="0"/>
                <w:bCs w:val="0"/>
                <w:snapToGrid w:val="0"/>
                <w:color w:val="auto"/>
                <w:kern w:val="0"/>
                <w:sz w:val="24"/>
                <w:szCs w:val="24"/>
                <w:lang w:val="en-GB" w:eastAsia="zh-CN" w:bidi="ar-SA"/>
              </w:rPr>
            </w:pPr>
            <w:r>
              <w:rPr>
                <w:rFonts w:hint="default" w:ascii="Times New Roman" w:hAnsi="Times New Roman" w:eastAsia="宋体" w:cs="Times New Roman"/>
                <w:b w:val="0"/>
                <w:bCs w:val="0"/>
                <w:snapToGrid w:val="0"/>
                <w:color w:val="auto"/>
                <w:kern w:val="0"/>
                <w:sz w:val="24"/>
                <w:szCs w:val="24"/>
                <w:lang w:val="en-GB" w:eastAsia="zh-CN" w:bidi="ar-SA"/>
              </w:rPr>
              <w:t>从上表可知，评价区环境保护目标声环境质量能满足《声环境质量标准》（GB3096-2008）规定的</w:t>
            </w:r>
            <w:r>
              <w:rPr>
                <w:rFonts w:hint="eastAsia" w:ascii="Times New Roman" w:hAnsi="Times New Roman" w:eastAsia="宋体" w:cs="Times New Roman"/>
                <w:b w:val="0"/>
                <w:bCs w:val="0"/>
                <w:snapToGrid w:val="0"/>
                <w:color w:val="auto"/>
                <w:kern w:val="0"/>
                <w:sz w:val="24"/>
                <w:szCs w:val="24"/>
                <w:lang w:val="en-US" w:eastAsia="zh-CN" w:bidi="ar-SA"/>
              </w:rPr>
              <w:t>2类</w:t>
            </w:r>
            <w:r>
              <w:rPr>
                <w:rFonts w:hint="default" w:ascii="Times New Roman" w:hAnsi="Times New Roman" w:eastAsia="宋体" w:cs="Times New Roman"/>
                <w:b w:val="0"/>
                <w:bCs w:val="0"/>
                <w:snapToGrid w:val="0"/>
                <w:color w:val="auto"/>
                <w:kern w:val="0"/>
                <w:sz w:val="24"/>
                <w:szCs w:val="24"/>
                <w:lang w:val="en-GB" w:eastAsia="zh-CN" w:bidi="ar-SA"/>
              </w:rPr>
              <w:t>标准的要求，声环境质量现状较好。</w:t>
            </w:r>
          </w:p>
          <w:p w14:paraId="3E011E34">
            <w:pPr>
              <w:pStyle w:val="84"/>
              <w:rPr>
                <w:color w:val="auto"/>
              </w:rPr>
            </w:pPr>
            <w:r>
              <w:rPr>
                <w:color w:val="auto"/>
              </w:rPr>
              <w:t>一、大气环境保护目标</w:t>
            </w:r>
          </w:p>
          <w:p w14:paraId="183E459A">
            <w:pPr>
              <w:pStyle w:val="77"/>
              <w:rPr>
                <w:snapToGrid w:val="0"/>
                <w:color w:val="auto"/>
                <w:lang w:val="en-GB"/>
              </w:rPr>
            </w:pPr>
            <w:r>
              <w:rPr>
                <w:snapToGrid w:val="0"/>
                <w:color w:val="auto"/>
                <w:lang w:val="en-GB"/>
              </w:rPr>
              <w:t>本项目评价范围内无自然保护区、风景名胜区等保护目标，根据项目特点及周边环境状况，大气环境保护目标</w:t>
            </w:r>
            <w:r>
              <w:rPr>
                <w:rFonts w:hint="eastAsia"/>
                <w:snapToGrid w:val="0"/>
                <w:color w:val="auto"/>
                <w:lang w:val="en-US" w:eastAsia="zh-CN"/>
              </w:rPr>
              <w:t>情况如下表所示</w:t>
            </w:r>
            <w:r>
              <w:rPr>
                <w:snapToGrid w:val="0"/>
                <w:color w:val="auto"/>
                <w:lang w:val="en-GB"/>
              </w:rPr>
              <w:t>。</w:t>
            </w:r>
          </w:p>
          <w:p w14:paraId="4A9876FF">
            <w:pPr>
              <w:pStyle w:val="78"/>
              <w:rPr>
                <w:color w:val="auto"/>
              </w:rPr>
            </w:pPr>
            <w:r>
              <w:rPr>
                <w:color w:val="auto"/>
              </w:rPr>
              <w:t>表3-</w:t>
            </w:r>
            <w:r>
              <w:rPr>
                <w:rFonts w:hint="eastAsia"/>
                <w:color w:val="auto"/>
                <w:lang w:val="en-US" w:eastAsia="zh-CN"/>
              </w:rPr>
              <w:t>5</w:t>
            </w:r>
            <w:r>
              <w:rPr>
                <w:color w:val="auto"/>
              </w:rPr>
              <w:t xml:space="preserve"> </w:t>
            </w:r>
            <w:r>
              <w:rPr>
                <w:rFonts w:hint="eastAsia"/>
                <w:color w:val="auto"/>
              </w:rPr>
              <w:t>环境空气保护目标一览表</w:t>
            </w:r>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828"/>
              <w:gridCol w:w="900"/>
              <w:gridCol w:w="1424"/>
              <w:gridCol w:w="1319"/>
              <w:gridCol w:w="1125"/>
              <w:gridCol w:w="725"/>
              <w:gridCol w:w="976"/>
              <w:gridCol w:w="724"/>
              <w:gridCol w:w="996"/>
            </w:tblGrid>
            <w:tr w14:paraId="0256E836">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540" w:hRule="atLeast"/>
                <w:tblHeader/>
              </w:trPr>
              <w:tc>
                <w:tcPr>
                  <w:tcW w:w="467" w:type="pct"/>
                  <w:vMerge w:val="restart"/>
                  <w:noWrap w:val="0"/>
                  <w:vAlign w:val="center"/>
                </w:tcPr>
                <w:p w14:paraId="489E5EDB">
                  <w:pPr>
                    <w:adjustRightInd w:val="0"/>
                    <w:snapToGrid w:val="0"/>
                    <w:jc w:val="center"/>
                    <w:rPr>
                      <w:color w:val="auto"/>
                    </w:rPr>
                  </w:pPr>
                  <w:r>
                    <w:rPr>
                      <w:color w:val="auto"/>
                    </w:rPr>
                    <w:t>环境</w:t>
                  </w:r>
                </w:p>
                <w:p w14:paraId="643A1F6A">
                  <w:pPr>
                    <w:adjustRightInd w:val="0"/>
                    <w:snapToGrid w:val="0"/>
                    <w:jc w:val="center"/>
                    <w:rPr>
                      <w:color w:val="auto"/>
                    </w:rPr>
                  </w:pPr>
                  <w:r>
                    <w:rPr>
                      <w:color w:val="auto"/>
                    </w:rPr>
                    <w:t>要素</w:t>
                  </w:r>
                </w:p>
              </w:tc>
              <w:tc>
                <w:tcPr>
                  <w:tcW w:w="507" w:type="pct"/>
                  <w:vMerge w:val="restart"/>
                  <w:noWrap w:val="0"/>
                  <w:vAlign w:val="center"/>
                </w:tcPr>
                <w:p w14:paraId="3B646CF4">
                  <w:pPr>
                    <w:adjustRightInd w:val="0"/>
                    <w:snapToGrid w:val="0"/>
                    <w:jc w:val="center"/>
                    <w:rPr>
                      <w:color w:val="auto"/>
                    </w:rPr>
                  </w:pPr>
                  <w:r>
                    <w:rPr>
                      <w:color w:val="auto"/>
                    </w:rPr>
                    <w:t>名称</w:t>
                  </w:r>
                </w:p>
              </w:tc>
              <w:tc>
                <w:tcPr>
                  <w:tcW w:w="1463" w:type="pct"/>
                  <w:gridSpan w:val="2"/>
                  <w:tcBorders>
                    <w:bottom w:val="single" w:color="auto" w:sz="4" w:space="0"/>
                  </w:tcBorders>
                  <w:noWrap w:val="0"/>
                  <w:vAlign w:val="center"/>
                </w:tcPr>
                <w:p w14:paraId="31E85890">
                  <w:pPr>
                    <w:adjustRightInd w:val="0"/>
                    <w:snapToGrid w:val="0"/>
                    <w:jc w:val="center"/>
                    <w:rPr>
                      <w:color w:val="auto"/>
                    </w:rPr>
                  </w:pPr>
                  <w:r>
                    <w:rPr>
                      <w:color w:val="auto"/>
                    </w:rPr>
                    <w:t>坐标</w:t>
                  </w:r>
                </w:p>
              </w:tc>
              <w:tc>
                <w:tcPr>
                  <w:tcW w:w="632" w:type="pct"/>
                  <w:vMerge w:val="restart"/>
                  <w:noWrap w:val="0"/>
                  <w:vAlign w:val="center"/>
                </w:tcPr>
                <w:p w14:paraId="783027F0">
                  <w:pPr>
                    <w:adjustRightInd w:val="0"/>
                    <w:snapToGrid w:val="0"/>
                    <w:jc w:val="center"/>
                    <w:rPr>
                      <w:color w:val="auto"/>
                    </w:rPr>
                  </w:pPr>
                  <w:r>
                    <w:rPr>
                      <w:color w:val="auto"/>
                    </w:rPr>
                    <w:t>保护</w:t>
                  </w:r>
                </w:p>
                <w:p w14:paraId="3D7BE637">
                  <w:pPr>
                    <w:adjustRightInd w:val="0"/>
                    <w:snapToGrid w:val="0"/>
                    <w:jc w:val="center"/>
                    <w:rPr>
                      <w:color w:val="auto"/>
                    </w:rPr>
                  </w:pPr>
                  <w:r>
                    <w:rPr>
                      <w:color w:val="auto"/>
                    </w:rPr>
                    <w:t>对象</w:t>
                  </w:r>
                </w:p>
              </w:tc>
              <w:tc>
                <w:tcPr>
                  <w:tcW w:w="410" w:type="pct"/>
                  <w:vMerge w:val="restart"/>
                  <w:noWrap w:val="0"/>
                  <w:vAlign w:val="center"/>
                </w:tcPr>
                <w:p w14:paraId="3092606D">
                  <w:pPr>
                    <w:adjustRightInd w:val="0"/>
                    <w:snapToGrid w:val="0"/>
                    <w:jc w:val="center"/>
                    <w:rPr>
                      <w:color w:val="auto"/>
                    </w:rPr>
                  </w:pPr>
                  <w:r>
                    <w:rPr>
                      <w:color w:val="auto"/>
                    </w:rPr>
                    <w:t>保护</w:t>
                  </w:r>
                </w:p>
                <w:p w14:paraId="6D5F27B9">
                  <w:pPr>
                    <w:adjustRightInd w:val="0"/>
                    <w:snapToGrid w:val="0"/>
                    <w:jc w:val="center"/>
                    <w:rPr>
                      <w:color w:val="auto"/>
                    </w:rPr>
                  </w:pPr>
                  <w:r>
                    <w:rPr>
                      <w:color w:val="auto"/>
                    </w:rPr>
                    <w:t>内容</w:t>
                  </w:r>
                </w:p>
              </w:tc>
              <w:tc>
                <w:tcPr>
                  <w:tcW w:w="549" w:type="pct"/>
                  <w:vMerge w:val="restart"/>
                  <w:noWrap w:val="0"/>
                  <w:vAlign w:val="center"/>
                </w:tcPr>
                <w:p w14:paraId="7D976CD8">
                  <w:pPr>
                    <w:adjustRightInd w:val="0"/>
                    <w:snapToGrid w:val="0"/>
                    <w:jc w:val="center"/>
                    <w:rPr>
                      <w:color w:val="auto"/>
                    </w:rPr>
                  </w:pPr>
                  <w:r>
                    <w:rPr>
                      <w:color w:val="auto"/>
                    </w:rPr>
                    <w:t>环境</w:t>
                  </w:r>
                </w:p>
                <w:p w14:paraId="5F8AE85E">
                  <w:pPr>
                    <w:adjustRightInd w:val="0"/>
                    <w:snapToGrid w:val="0"/>
                    <w:jc w:val="center"/>
                    <w:rPr>
                      <w:color w:val="auto"/>
                    </w:rPr>
                  </w:pPr>
                  <w:r>
                    <w:rPr>
                      <w:color w:val="auto"/>
                    </w:rPr>
                    <w:t>功能区</w:t>
                  </w:r>
                </w:p>
              </w:tc>
              <w:tc>
                <w:tcPr>
                  <w:tcW w:w="409" w:type="pct"/>
                  <w:vMerge w:val="restart"/>
                  <w:noWrap w:val="0"/>
                  <w:vAlign w:val="center"/>
                </w:tcPr>
                <w:p w14:paraId="2B5DFE01">
                  <w:pPr>
                    <w:adjustRightInd w:val="0"/>
                    <w:snapToGrid w:val="0"/>
                    <w:jc w:val="center"/>
                    <w:rPr>
                      <w:color w:val="auto"/>
                    </w:rPr>
                  </w:pPr>
                  <w:r>
                    <w:rPr>
                      <w:color w:val="auto"/>
                    </w:rPr>
                    <w:t>相对厂址方位</w:t>
                  </w:r>
                </w:p>
              </w:tc>
              <w:tc>
                <w:tcPr>
                  <w:tcW w:w="560" w:type="pct"/>
                  <w:vMerge w:val="restart"/>
                  <w:noWrap w:val="0"/>
                  <w:vAlign w:val="center"/>
                </w:tcPr>
                <w:p w14:paraId="00B3015E">
                  <w:pPr>
                    <w:adjustRightInd w:val="0"/>
                    <w:snapToGrid w:val="0"/>
                    <w:jc w:val="center"/>
                    <w:rPr>
                      <w:color w:val="auto"/>
                    </w:rPr>
                  </w:pPr>
                  <w:r>
                    <w:rPr>
                      <w:color w:val="auto"/>
                    </w:rPr>
                    <w:t>距厂界距离(m)</w:t>
                  </w:r>
                </w:p>
              </w:tc>
            </w:tr>
            <w:tr w14:paraId="0A6CEB94">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07" w:hRule="atLeast"/>
                <w:tblHeader/>
              </w:trPr>
              <w:tc>
                <w:tcPr>
                  <w:tcW w:w="467" w:type="pct"/>
                  <w:vMerge w:val="continue"/>
                  <w:noWrap w:val="0"/>
                  <w:vAlign w:val="center"/>
                </w:tcPr>
                <w:p w14:paraId="78BE7665">
                  <w:pPr>
                    <w:adjustRightInd w:val="0"/>
                    <w:snapToGrid w:val="0"/>
                    <w:jc w:val="center"/>
                    <w:rPr>
                      <w:color w:val="auto"/>
                    </w:rPr>
                  </w:pPr>
                </w:p>
              </w:tc>
              <w:tc>
                <w:tcPr>
                  <w:tcW w:w="507" w:type="pct"/>
                  <w:vMerge w:val="continue"/>
                  <w:noWrap w:val="0"/>
                  <w:vAlign w:val="center"/>
                </w:tcPr>
                <w:p w14:paraId="4EE08084">
                  <w:pPr>
                    <w:adjustRightInd w:val="0"/>
                    <w:snapToGrid w:val="0"/>
                    <w:jc w:val="center"/>
                    <w:rPr>
                      <w:color w:val="auto"/>
                    </w:rPr>
                  </w:pPr>
                </w:p>
              </w:tc>
              <w:tc>
                <w:tcPr>
                  <w:tcW w:w="763" w:type="pct"/>
                  <w:tcBorders>
                    <w:top w:val="single" w:color="auto" w:sz="4" w:space="0"/>
                  </w:tcBorders>
                  <w:noWrap w:val="0"/>
                  <w:vAlign w:val="center"/>
                </w:tcPr>
                <w:p w14:paraId="66FACBE2">
                  <w:pPr>
                    <w:adjustRightInd w:val="0"/>
                    <w:snapToGrid w:val="0"/>
                    <w:jc w:val="center"/>
                    <w:rPr>
                      <w:color w:val="auto"/>
                    </w:rPr>
                  </w:pPr>
                  <w:r>
                    <w:rPr>
                      <w:rFonts w:hint="eastAsia"/>
                      <w:color w:val="auto"/>
                    </w:rPr>
                    <w:t>东经/°</w:t>
                  </w:r>
                </w:p>
              </w:tc>
              <w:tc>
                <w:tcPr>
                  <w:tcW w:w="699" w:type="pct"/>
                  <w:tcBorders>
                    <w:top w:val="single" w:color="auto" w:sz="4" w:space="0"/>
                  </w:tcBorders>
                  <w:noWrap w:val="0"/>
                  <w:vAlign w:val="center"/>
                </w:tcPr>
                <w:p w14:paraId="52752391">
                  <w:pPr>
                    <w:adjustRightInd w:val="0"/>
                    <w:snapToGrid w:val="0"/>
                    <w:jc w:val="center"/>
                    <w:rPr>
                      <w:color w:val="auto"/>
                    </w:rPr>
                  </w:pPr>
                  <w:r>
                    <w:rPr>
                      <w:rFonts w:hint="eastAsia"/>
                      <w:color w:val="auto"/>
                    </w:rPr>
                    <w:t>北纬/°</w:t>
                  </w:r>
                </w:p>
              </w:tc>
              <w:tc>
                <w:tcPr>
                  <w:tcW w:w="632" w:type="pct"/>
                  <w:vMerge w:val="continue"/>
                  <w:noWrap w:val="0"/>
                  <w:vAlign w:val="center"/>
                </w:tcPr>
                <w:p w14:paraId="05FE3EBE">
                  <w:pPr>
                    <w:adjustRightInd w:val="0"/>
                    <w:snapToGrid w:val="0"/>
                    <w:jc w:val="center"/>
                    <w:rPr>
                      <w:color w:val="auto"/>
                    </w:rPr>
                  </w:pPr>
                </w:p>
              </w:tc>
              <w:tc>
                <w:tcPr>
                  <w:tcW w:w="410" w:type="pct"/>
                  <w:vMerge w:val="continue"/>
                  <w:noWrap w:val="0"/>
                  <w:vAlign w:val="center"/>
                </w:tcPr>
                <w:p w14:paraId="46A66EC4">
                  <w:pPr>
                    <w:adjustRightInd w:val="0"/>
                    <w:snapToGrid w:val="0"/>
                    <w:jc w:val="center"/>
                    <w:rPr>
                      <w:color w:val="auto"/>
                    </w:rPr>
                  </w:pPr>
                </w:p>
              </w:tc>
              <w:tc>
                <w:tcPr>
                  <w:tcW w:w="549" w:type="pct"/>
                  <w:vMerge w:val="continue"/>
                  <w:noWrap w:val="0"/>
                  <w:vAlign w:val="center"/>
                </w:tcPr>
                <w:p w14:paraId="73207864">
                  <w:pPr>
                    <w:adjustRightInd w:val="0"/>
                    <w:snapToGrid w:val="0"/>
                    <w:jc w:val="center"/>
                    <w:rPr>
                      <w:color w:val="auto"/>
                    </w:rPr>
                  </w:pPr>
                </w:p>
              </w:tc>
              <w:tc>
                <w:tcPr>
                  <w:tcW w:w="409" w:type="pct"/>
                  <w:vMerge w:val="continue"/>
                  <w:noWrap w:val="0"/>
                  <w:vAlign w:val="center"/>
                </w:tcPr>
                <w:p w14:paraId="2D5AD843">
                  <w:pPr>
                    <w:adjustRightInd w:val="0"/>
                    <w:snapToGrid w:val="0"/>
                    <w:jc w:val="center"/>
                    <w:rPr>
                      <w:color w:val="auto"/>
                    </w:rPr>
                  </w:pPr>
                </w:p>
              </w:tc>
              <w:tc>
                <w:tcPr>
                  <w:tcW w:w="560" w:type="pct"/>
                  <w:vMerge w:val="continue"/>
                  <w:noWrap w:val="0"/>
                  <w:vAlign w:val="center"/>
                </w:tcPr>
                <w:p w14:paraId="6278691E">
                  <w:pPr>
                    <w:adjustRightInd w:val="0"/>
                    <w:snapToGrid w:val="0"/>
                    <w:jc w:val="center"/>
                    <w:rPr>
                      <w:color w:val="auto"/>
                    </w:rPr>
                  </w:pPr>
                </w:p>
              </w:tc>
            </w:tr>
            <w:tr w14:paraId="06ABBD7A">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blHeader/>
              </w:trPr>
              <w:tc>
                <w:tcPr>
                  <w:tcW w:w="467" w:type="pct"/>
                  <w:noWrap w:val="0"/>
                  <w:vAlign w:val="center"/>
                </w:tcPr>
                <w:p w14:paraId="4A154890">
                  <w:pPr>
                    <w:adjustRightInd w:val="0"/>
                    <w:snapToGrid w:val="0"/>
                    <w:jc w:val="center"/>
                    <w:rPr>
                      <w:color w:val="auto"/>
                    </w:rPr>
                  </w:pPr>
                  <w:r>
                    <w:rPr>
                      <w:color w:val="auto"/>
                    </w:rPr>
                    <w:t>环境</w:t>
                  </w:r>
                </w:p>
                <w:p w14:paraId="74F78C16">
                  <w:pPr>
                    <w:adjustRightInd w:val="0"/>
                    <w:snapToGrid w:val="0"/>
                    <w:jc w:val="center"/>
                    <w:rPr>
                      <w:color w:val="auto"/>
                    </w:rPr>
                  </w:pPr>
                  <w:r>
                    <w:rPr>
                      <w:color w:val="auto"/>
                    </w:rPr>
                    <w:t>空气</w:t>
                  </w:r>
                </w:p>
              </w:tc>
              <w:tc>
                <w:tcPr>
                  <w:tcW w:w="507" w:type="pct"/>
                  <w:noWrap w:val="0"/>
                  <w:vAlign w:val="center"/>
                </w:tcPr>
                <w:p w14:paraId="3BDCFF2C">
                  <w:pPr>
                    <w:adjustRightInd w:val="0"/>
                    <w:snapToGrid w:val="0"/>
                    <w:jc w:val="center"/>
                    <w:rPr>
                      <w:rFonts w:hint="default" w:eastAsia="宋体"/>
                      <w:color w:val="auto"/>
                      <w:lang w:val="en-US" w:eastAsia="zh-CN"/>
                    </w:rPr>
                  </w:pPr>
                  <w:r>
                    <w:rPr>
                      <w:rFonts w:hint="eastAsia"/>
                      <w:color w:val="auto"/>
                      <w:lang w:val="en-US" w:eastAsia="zh-CN"/>
                    </w:rPr>
                    <w:t>桦南县曙光农场十五队</w:t>
                  </w:r>
                </w:p>
              </w:tc>
              <w:tc>
                <w:tcPr>
                  <w:tcW w:w="763" w:type="pct"/>
                  <w:noWrap w:val="0"/>
                  <w:vAlign w:val="center"/>
                </w:tcPr>
                <w:p w14:paraId="7C260DC5">
                  <w:pPr>
                    <w:adjustRightInd w:val="0"/>
                    <w:snapToGrid w:val="0"/>
                    <w:jc w:val="center"/>
                    <w:rPr>
                      <w:color w:val="auto"/>
                    </w:rPr>
                  </w:pPr>
                  <w:r>
                    <w:rPr>
                      <w:rFonts w:hint="eastAsia"/>
                      <w:color w:val="auto"/>
                    </w:rPr>
                    <w:t>130.25373384</w:t>
                  </w:r>
                </w:p>
              </w:tc>
              <w:tc>
                <w:tcPr>
                  <w:tcW w:w="699" w:type="pct"/>
                  <w:noWrap w:val="0"/>
                  <w:vAlign w:val="center"/>
                </w:tcPr>
                <w:p w14:paraId="2F9B70C1">
                  <w:pPr>
                    <w:adjustRightInd w:val="0"/>
                    <w:snapToGrid w:val="0"/>
                    <w:jc w:val="center"/>
                    <w:rPr>
                      <w:rFonts w:hint="eastAsia"/>
                      <w:color w:val="auto"/>
                    </w:rPr>
                  </w:pPr>
                  <w:r>
                    <w:rPr>
                      <w:rFonts w:hint="eastAsia"/>
                      <w:color w:val="auto"/>
                    </w:rPr>
                    <w:t>46.76980428</w:t>
                  </w:r>
                </w:p>
              </w:tc>
              <w:tc>
                <w:tcPr>
                  <w:tcW w:w="632" w:type="pct"/>
                  <w:noWrap w:val="0"/>
                  <w:vAlign w:val="center"/>
                </w:tcPr>
                <w:p w14:paraId="70640BC7">
                  <w:pPr>
                    <w:adjustRightInd w:val="0"/>
                    <w:snapToGrid w:val="0"/>
                    <w:jc w:val="center"/>
                    <w:rPr>
                      <w:rFonts w:hint="eastAsia" w:eastAsia="宋体"/>
                      <w:color w:val="auto"/>
                      <w:lang w:val="en-US" w:eastAsia="zh-CN"/>
                    </w:rPr>
                  </w:pPr>
                  <w:r>
                    <w:rPr>
                      <w:color w:val="auto"/>
                    </w:rPr>
                    <w:t>农村地区中人群较集中的区域</w:t>
                  </w:r>
                </w:p>
              </w:tc>
              <w:tc>
                <w:tcPr>
                  <w:tcW w:w="410" w:type="pct"/>
                  <w:noWrap w:val="0"/>
                  <w:vAlign w:val="center"/>
                </w:tcPr>
                <w:p w14:paraId="7447C99D">
                  <w:pPr>
                    <w:adjustRightInd w:val="0"/>
                    <w:snapToGrid w:val="0"/>
                    <w:jc w:val="center"/>
                    <w:rPr>
                      <w:color w:val="auto"/>
                    </w:rPr>
                  </w:pPr>
                  <w:r>
                    <w:rPr>
                      <w:color w:val="auto"/>
                    </w:rPr>
                    <w:t>人群</w:t>
                  </w:r>
                </w:p>
              </w:tc>
              <w:tc>
                <w:tcPr>
                  <w:tcW w:w="549" w:type="pct"/>
                  <w:noWrap w:val="0"/>
                  <w:vAlign w:val="center"/>
                </w:tcPr>
                <w:p w14:paraId="72B67613">
                  <w:pPr>
                    <w:adjustRightInd w:val="0"/>
                    <w:snapToGrid w:val="0"/>
                    <w:jc w:val="center"/>
                    <w:rPr>
                      <w:color w:val="auto"/>
                    </w:rPr>
                  </w:pPr>
                  <w:r>
                    <w:rPr>
                      <w:color w:val="auto"/>
                    </w:rPr>
                    <w:t>二类</w:t>
                  </w:r>
                </w:p>
              </w:tc>
              <w:tc>
                <w:tcPr>
                  <w:tcW w:w="409" w:type="pct"/>
                  <w:noWrap w:val="0"/>
                  <w:vAlign w:val="center"/>
                </w:tcPr>
                <w:p w14:paraId="4CA453C3">
                  <w:pPr>
                    <w:adjustRightInd w:val="0"/>
                    <w:snapToGrid w:val="0"/>
                    <w:jc w:val="center"/>
                    <w:rPr>
                      <w:rFonts w:hint="default" w:eastAsia="宋体"/>
                      <w:color w:val="auto"/>
                      <w:lang w:val="en-US" w:eastAsia="zh-CN"/>
                    </w:rPr>
                  </w:pPr>
                  <w:r>
                    <w:rPr>
                      <w:rFonts w:hint="eastAsia"/>
                      <w:color w:val="auto"/>
                      <w:lang w:val="en-US" w:eastAsia="zh-CN"/>
                    </w:rPr>
                    <w:t>NW</w:t>
                  </w:r>
                </w:p>
              </w:tc>
              <w:tc>
                <w:tcPr>
                  <w:tcW w:w="560" w:type="pct"/>
                  <w:noWrap w:val="0"/>
                  <w:vAlign w:val="center"/>
                </w:tcPr>
                <w:p w14:paraId="046324F3">
                  <w:pPr>
                    <w:adjustRightInd w:val="0"/>
                    <w:snapToGrid w:val="0"/>
                    <w:jc w:val="center"/>
                    <w:rPr>
                      <w:rFonts w:hint="eastAsia" w:eastAsia="宋体"/>
                      <w:color w:val="auto"/>
                      <w:lang w:val="en-US" w:eastAsia="zh-CN"/>
                    </w:rPr>
                  </w:pPr>
                  <w:r>
                    <w:rPr>
                      <w:rFonts w:hint="eastAsia"/>
                      <w:color w:val="auto"/>
                      <w:lang w:eastAsia="zh-CN"/>
                    </w:rPr>
                    <w:t>218.75</w:t>
                  </w:r>
                </w:p>
              </w:tc>
            </w:tr>
          </w:tbl>
          <w:p w14:paraId="1AD7392B">
            <w:pPr>
              <w:pStyle w:val="84"/>
              <w:rPr>
                <w:color w:val="auto"/>
              </w:rPr>
            </w:pPr>
            <w:r>
              <w:rPr>
                <w:color w:val="auto"/>
              </w:rPr>
              <w:t>二、声环境保护目标</w:t>
            </w:r>
          </w:p>
          <w:p w14:paraId="57C2D829">
            <w:pPr>
              <w:pStyle w:val="84"/>
              <w:rPr>
                <w:rFonts w:hint="eastAsia" w:ascii="Times New Roman" w:hAnsi="Times New Roman" w:eastAsia="宋体" w:cs="Times New Roman"/>
                <w:b w:val="0"/>
                <w:bCs w:val="0"/>
                <w:snapToGrid w:val="0"/>
                <w:color w:val="auto"/>
                <w:kern w:val="0"/>
                <w:sz w:val="24"/>
                <w:szCs w:val="24"/>
                <w:lang w:val="en-US" w:eastAsia="zh-CN" w:bidi="ar-SA"/>
              </w:rPr>
            </w:pPr>
            <w:r>
              <w:rPr>
                <w:rFonts w:hint="eastAsia" w:ascii="Times New Roman" w:hAnsi="Times New Roman" w:eastAsia="宋体" w:cs="Times New Roman"/>
                <w:b w:val="0"/>
                <w:bCs w:val="0"/>
                <w:snapToGrid w:val="0"/>
                <w:color w:val="auto"/>
                <w:kern w:val="0"/>
                <w:sz w:val="24"/>
                <w:szCs w:val="24"/>
                <w:lang w:val="en-US" w:eastAsia="zh-CN" w:bidi="ar-SA"/>
              </w:rPr>
              <w:t>本项目厂界50m范围内声</w:t>
            </w:r>
            <w:r>
              <w:rPr>
                <w:rFonts w:hint="eastAsia" w:ascii="Times New Roman" w:hAnsi="Times New Roman" w:eastAsia="宋体" w:cs="Times New Roman"/>
                <w:b w:val="0"/>
                <w:bCs w:val="0"/>
                <w:snapToGrid w:val="0"/>
                <w:color w:val="auto"/>
                <w:kern w:val="0"/>
                <w:sz w:val="24"/>
                <w:szCs w:val="24"/>
                <w:lang w:val="en-GB" w:eastAsia="zh-CN" w:bidi="ar-SA"/>
              </w:rPr>
              <w:t>环境保护目标</w:t>
            </w:r>
            <w:r>
              <w:rPr>
                <w:rFonts w:hint="eastAsia" w:ascii="Times New Roman" w:hAnsi="Times New Roman" w:eastAsia="宋体" w:cs="Times New Roman"/>
                <w:b w:val="0"/>
                <w:bCs w:val="0"/>
                <w:snapToGrid w:val="0"/>
                <w:color w:val="auto"/>
                <w:kern w:val="0"/>
                <w:sz w:val="24"/>
                <w:szCs w:val="24"/>
                <w:lang w:val="en-US" w:eastAsia="zh-CN" w:bidi="ar-SA"/>
              </w:rPr>
              <w:t>情况如下表所示</w:t>
            </w:r>
            <w:r>
              <w:rPr>
                <w:rFonts w:hint="eastAsia" w:ascii="Times New Roman" w:hAnsi="Times New Roman" w:eastAsia="宋体" w:cs="Times New Roman"/>
                <w:b w:val="0"/>
                <w:bCs w:val="0"/>
                <w:snapToGrid w:val="0"/>
                <w:color w:val="auto"/>
                <w:kern w:val="0"/>
                <w:sz w:val="24"/>
                <w:szCs w:val="24"/>
                <w:lang w:val="en-GB" w:eastAsia="zh-CN" w:bidi="ar-SA"/>
              </w:rPr>
              <w:t>。</w:t>
            </w:r>
          </w:p>
          <w:p w14:paraId="606AB388">
            <w:pPr>
              <w:pStyle w:val="78"/>
              <w:rPr>
                <w:color w:val="auto"/>
              </w:rPr>
            </w:pPr>
            <w:r>
              <w:rPr>
                <w:color w:val="auto"/>
              </w:rPr>
              <w:t>表3-</w:t>
            </w:r>
            <w:r>
              <w:rPr>
                <w:rFonts w:hint="eastAsia"/>
                <w:color w:val="auto"/>
                <w:lang w:val="en-US" w:eastAsia="zh-CN"/>
              </w:rPr>
              <w:t>6</w:t>
            </w:r>
            <w:r>
              <w:rPr>
                <w:color w:val="auto"/>
              </w:rPr>
              <w:t xml:space="preserve"> </w:t>
            </w:r>
            <w:r>
              <w:rPr>
                <w:rFonts w:hint="eastAsia"/>
                <w:color w:val="auto"/>
                <w:lang w:val="en-US" w:eastAsia="zh-CN"/>
              </w:rPr>
              <w:t>声环境</w:t>
            </w:r>
            <w:r>
              <w:rPr>
                <w:rFonts w:hint="eastAsia"/>
                <w:color w:val="auto"/>
              </w:rPr>
              <w:t>保护目标一览表</w:t>
            </w:r>
            <w:r>
              <w:commentReference w:id="1"/>
            </w:r>
          </w:p>
          <w:tbl>
            <w:tblPr>
              <w:tblStyle w:val="19"/>
              <w:tblW w:w="8087" w:type="dxa"/>
              <w:tblInd w:w="0" w:type="dxa"/>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Layout w:type="autofit"/>
              <w:tblCellMar>
                <w:top w:w="0" w:type="dxa"/>
                <w:left w:w="108" w:type="dxa"/>
                <w:bottom w:w="0" w:type="dxa"/>
                <w:right w:w="108" w:type="dxa"/>
              </w:tblCellMar>
            </w:tblPr>
            <w:tblGrid>
              <w:gridCol w:w="503"/>
              <w:gridCol w:w="1195"/>
              <w:gridCol w:w="1638"/>
              <w:gridCol w:w="1643"/>
              <w:gridCol w:w="426"/>
              <w:gridCol w:w="730"/>
              <w:gridCol w:w="1224"/>
              <w:gridCol w:w="728"/>
            </w:tblGrid>
            <w:tr w14:paraId="10CF6C85">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540" w:hRule="atLeast"/>
                <w:tblHeader/>
              </w:trPr>
              <w:tc>
                <w:tcPr>
                  <w:tcW w:w="311" w:type="pct"/>
                  <w:vMerge w:val="restart"/>
                  <w:noWrap w:val="0"/>
                  <w:vAlign w:val="center"/>
                </w:tcPr>
                <w:p w14:paraId="3A64EDD4">
                  <w:pPr>
                    <w:adjustRightInd w:val="0"/>
                    <w:snapToGrid w:val="0"/>
                    <w:jc w:val="center"/>
                    <w:rPr>
                      <w:color w:val="auto"/>
                    </w:rPr>
                  </w:pPr>
                  <w:r>
                    <w:rPr>
                      <w:color w:val="auto"/>
                    </w:rPr>
                    <w:t>环境</w:t>
                  </w:r>
                </w:p>
                <w:p w14:paraId="12932B41">
                  <w:pPr>
                    <w:adjustRightInd w:val="0"/>
                    <w:snapToGrid w:val="0"/>
                    <w:jc w:val="center"/>
                    <w:rPr>
                      <w:color w:val="auto"/>
                    </w:rPr>
                  </w:pPr>
                  <w:r>
                    <w:rPr>
                      <w:color w:val="auto"/>
                    </w:rPr>
                    <w:t>要素</w:t>
                  </w:r>
                </w:p>
              </w:tc>
              <w:tc>
                <w:tcPr>
                  <w:tcW w:w="738" w:type="pct"/>
                  <w:vMerge w:val="restart"/>
                  <w:noWrap w:val="0"/>
                  <w:vAlign w:val="center"/>
                </w:tcPr>
                <w:p w14:paraId="1847ECA8">
                  <w:pPr>
                    <w:adjustRightInd w:val="0"/>
                    <w:snapToGrid w:val="0"/>
                    <w:jc w:val="center"/>
                    <w:rPr>
                      <w:color w:val="auto"/>
                    </w:rPr>
                  </w:pPr>
                  <w:r>
                    <w:rPr>
                      <w:color w:val="auto"/>
                    </w:rPr>
                    <w:t>名称</w:t>
                  </w:r>
                </w:p>
              </w:tc>
              <w:tc>
                <w:tcPr>
                  <w:tcW w:w="2027" w:type="pct"/>
                  <w:gridSpan w:val="2"/>
                  <w:tcBorders>
                    <w:bottom w:val="single" w:color="auto" w:sz="4" w:space="0"/>
                  </w:tcBorders>
                  <w:noWrap w:val="0"/>
                  <w:vAlign w:val="center"/>
                </w:tcPr>
                <w:p w14:paraId="264EAC41">
                  <w:pPr>
                    <w:adjustRightInd w:val="0"/>
                    <w:snapToGrid w:val="0"/>
                    <w:jc w:val="center"/>
                    <w:rPr>
                      <w:color w:val="auto"/>
                    </w:rPr>
                  </w:pPr>
                  <w:r>
                    <w:rPr>
                      <w:color w:val="auto"/>
                    </w:rPr>
                    <w:t>坐标</w:t>
                  </w:r>
                </w:p>
              </w:tc>
              <w:tc>
                <w:tcPr>
                  <w:tcW w:w="263" w:type="pct"/>
                  <w:vMerge w:val="restart"/>
                  <w:noWrap w:val="0"/>
                  <w:vAlign w:val="center"/>
                </w:tcPr>
                <w:p w14:paraId="3D288DF8">
                  <w:pPr>
                    <w:adjustRightInd w:val="0"/>
                    <w:snapToGrid w:val="0"/>
                    <w:jc w:val="center"/>
                    <w:rPr>
                      <w:color w:val="auto"/>
                    </w:rPr>
                  </w:pPr>
                  <w:r>
                    <w:rPr>
                      <w:color w:val="auto"/>
                    </w:rPr>
                    <w:t>保护</w:t>
                  </w:r>
                </w:p>
                <w:p w14:paraId="2D29DAB9">
                  <w:pPr>
                    <w:adjustRightInd w:val="0"/>
                    <w:snapToGrid w:val="0"/>
                    <w:jc w:val="center"/>
                    <w:rPr>
                      <w:color w:val="auto"/>
                    </w:rPr>
                  </w:pPr>
                  <w:r>
                    <w:rPr>
                      <w:color w:val="auto"/>
                    </w:rPr>
                    <w:t>内容</w:t>
                  </w:r>
                </w:p>
              </w:tc>
              <w:tc>
                <w:tcPr>
                  <w:tcW w:w="451" w:type="pct"/>
                  <w:vMerge w:val="restart"/>
                  <w:noWrap w:val="0"/>
                  <w:vAlign w:val="center"/>
                </w:tcPr>
                <w:p w14:paraId="4CBD315E">
                  <w:pPr>
                    <w:adjustRightInd w:val="0"/>
                    <w:snapToGrid w:val="0"/>
                    <w:jc w:val="center"/>
                    <w:rPr>
                      <w:color w:val="auto"/>
                    </w:rPr>
                  </w:pPr>
                  <w:r>
                    <w:rPr>
                      <w:color w:val="auto"/>
                    </w:rPr>
                    <w:t>环境</w:t>
                  </w:r>
                </w:p>
                <w:p w14:paraId="6973413E">
                  <w:pPr>
                    <w:adjustRightInd w:val="0"/>
                    <w:snapToGrid w:val="0"/>
                    <w:jc w:val="center"/>
                    <w:rPr>
                      <w:color w:val="auto"/>
                    </w:rPr>
                  </w:pPr>
                  <w:r>
                    <w:rPr>
                      <w:color w:val="auto"/>
                    </w:rPr>
                    <w:t>功能区</w:t>
                  </w:r>
                </w:p>
              </w:tc>
              <w:tc>
                <w:tcPr>
                  <w:tcW w:w="756" w:type="pct"/>
                  <w:vMerge w:val="restart"/>
                  <w:noWrap w:val="0"/>
                  <w:vAlign w:val="center"/>
                </w:tcPr>
                <w:p w14:paraId="004138E3">
                  <w:pPr>
                    <w:adjustRightInd w:val="0"/>
                    <w:snapToGrid w:val="0"/>
                    <w:jc w:val="center"/>
                    <w:rPr>
                      <w:color w:val="auto"/>
                    </w:rPr>
                  </w:pPr>
                  <w:r>
                    <w:rPr>
                      <w:color w:val="auto"/>
                    </w:rPr>
                    <w:t>相对厂址方位</w:t>
                  </w:r>
                </w:p>
              </w:tc>
              <w:tc>
                <w:tcPr>
                  <w:tcW w:w="450" w:type="pct"/>
                  <w:vMerge w:val="restart"/>
                  <w:noWrap w:val="0"/>
                  <w:vAlign w:val="center"/>
                </w:tcPr>
                <w:p w14:paraId="1FCE8C6B">
                  <w:pPr>
                    <w:adjustRightInd w:val="0"/>
                    <w:snapToGrid w:val="0"/>
                    <w:jc w:val="center"/>
                    <w:rPr>
                      <w:color w:val="auto"/>
                    </w:rPr>
                  </w:pPr>
                  <w:r>
                    <w:rPr>
                      <w:color w:val="auto"/>
                    </w:rPr>
                    <w:t>距厂界距离(m)</w:t>
                  </w:r>
                </w:p>
              </w:tc>
            </w:tr>
            <w:tr w14:paraId="0B3DC4FE">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07" w:hRule="atLeast"/>
                <w:tblHeader/>
              </w:trPr>
              <w:tc>
                <w:tcPr>
                  <w:tcW w:w="311" w:type="pct"/>
                  <w:vMerge w:val="continue"/>
                  <w:noWrap w:val="0"/>
                  <w:vAlign w:val="center"/>
                </w:tcPr>
                <w:p w14:paraId="00D36D19">
                  <w:pPr>
                    <w:adjustRightInd w:val="0"/>
                    <w:snapToGrid w:val="0"/>
                    <w:jc w:val="center"/>
                    <w:rPr>
                      <w:color w:val="auto"/>
                    </w:rPr>
                  </w:pPr>
                </w:p>
              </w:tc>
              <w:tc>
                <w:tcPr>
                  <w:tcW w:w="738" w:type="pct"/>
                  <w:vMerge w:val="continue"/>
                  <w:noWrap w:val="0"/>
                  <w:vAlign w:val="center"/>
                </w:tcPr>
                <w:p w14:paraId="37FD9A4A">
                  <w:pPr>
                    <w:adjustRightInd w:val="0"/>
                    <w:snapToGrid w:val="0"/>
                    <w:jc w:val="center"/>
                    <w:rPr>
                      <w:color w:val="auto"/>
                    </w:rPr>
                  </w:pPr>
                </w:p>
              </w:tc>
              <w:tc>
                <w:tcPr>
                  <w:tcW w:w="1012" w:type="pct"/>
                  <w:tcBorders>
                    <w:top w:val="single" w:color="auto" w:sz="4" w:space="0"/>
                  </w:tcBorders>
                  <w:noWrap w:val="0"/>
                  <w:vAlign w:val="center"/>
                </w:tcPr>
                <w:p w14:paraId="6FB44196">
                  <w:pPr>
                    <w:adjustRightInd w:val="0"/>
                    <w:snapToGrid w:val="0"/>
                    <w:jc w:val="center"/>
                    <w:rPr>
                      <w:color w:val="auto"/>
                    </w:rPr>
                  </w:pPr>
                  <w:r>
                    <w:rPr>
                      <w:rFonts w:hint="eastAsia"/>
                      <w:color w:val="auto"/>
                    </w:rPr>
                    <w:t>东经/°</w:t>
                  </w:r>
                </w:p>
              </w:tc>
              <w:tc>
                <w:tcPr>
                  <w:tcW w:w="1015" w:type="pct"/>
                  <w:tcBorders>
                    <w:top w:val="single" w:color="auto" w:sz="4" w:space="0"/>
                  </w:tcBorders>
                  <w:noWrap w:val="0"/>
                  <w:vAlign w:val="center"/>
                </w:tcPr>
                <w:p w14:paraId="315CC0BC">
                  <w:pPr>
                    <w:adjustRightInd w:val="0"/>
                    <w:snapToGrid w:val="0"/>
                    <w:jc w:val="center"/>
                    <w:rPr>
                      <w:color w:val="auto"/>
                    </w:rPr>
                  </w:pPr>
                  <w:r>
                    <w:rPr>
                      <w:rFonts w:hint="eastAsia"/>
                      <w:color w:val="auto"/>
                    </w:rPr>
                    <w:t>北纬/°</w:t>
                  </w:r>
                </w:p>
              </w:tc>
              <w:tc>
                <w:tcPr>
                  <w:tcW w:w="263" w:type="pct"/>
                  <w:vMerge w:val="continue"/>
                  <w:noWrap w:val="0"/>
                  <w:vAlign w:val="center"/>
                </w:tcPr>
                <w:p w14:paraId="7EFB6222">
                  <w:pPr>
                    <w:adjustRightInd w:val="0"/>
                    <w:snapToGrid w:val="0"/>
                    <w:jc w:val="center"/>
                    <w:rPr>
                      <w:color w:val="auto"/>
                    </w:rPr>
                  </w:pPr>
                </w:p>
              </w:tc>
              <w:tc>
                <w:tcPr>
                  <w:tcW w:w="451" w:type="pct"/>
                  <w:vMerge w:val="continue"/>
                  <w:noWrap w:val="0"/>
                  <w:vAlign w:val="center"/>
                </w:tcPr>
                <w:p w14:paraId="0859E7D4">
                  <w:pPr>
                    <w:adjustRightInd w:val="0"/>
                    <w:snapToGrid w:val="0"/>
                    <w:jc w:val="center"/>
                    <w:rPr>
                      <w:color w:val="auto"/>
                    </w:rPr>
                  </w:pPr>
                </w:p>
              </w:tc>
              <w:tc>
                <w:tcPr>
                  <w:tcW w:w="756" w:type="pct"/>
                  <w:vMerge w:val="continue"/>
                  <w:noWrap w:val="0"/>
                  <w:vAlign w:val="center"/>
                </w:tcPr>
                <w:p w14:paraId="59730FED">
                  <w:pPr>
                    <w:adjustRightInd w:val="0"/>
                    <w:snapToGrid w:val="0"/>
                    <w:jc w:val="center"/>
                    <w:rPr>
                      <w:color w:val="auto"/>
                    </w:rPr>
                  </w:pPr>
                </w:p>
              </w:tc>
              <w:tc>
                <w:tcPr>
                  <w:tcW w:w="450" w:type="pct"/>
                  <w:vMerge w:val="continue"/>
                  <w:noWrap w:val="0"/>
                  <w:vAlign w:val="center"/>
                </w:tcPr>
                <w:p w14:paraId="677CE7D2">
                  <w:pPr>
                    <w:adjustRightInd w:val="0"/>
                    <w:snapToGrid w:val="0"/>
                    <w:jc w:val="center"/>
                    <w:rPr>
                      <w:color w:val="auto"/>
                    </w:rPr>
                  </w:pPr>
                </w:p>
              </w:tc>
            </w:tr>
            <w:tr w14:paraId="270C99CB">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blHeader/>
              </w:trPr>
              <w:tc>
                <w:tcPr>
                  <w:tcW w:w="311" w:type="pct"/>
                  <w:vMerge w:val="restart"/>
                  <w:noWrap w:val="0"/>
                  <w:vAlign w:val="center"/>
                </w:tcPr>
                <w:p w14:paraId="31CD0C51">
                  <w:pPr>
                    <w:adjustRightInd w:val="0"/>
                    <w:snapToGrid w:val="0"/>
                    <w:jc w:val="center"/>
                    <w:rPr>
                      <w:rFonts w:hint="eastAsia" w:eastAsia="宋体"/>
                      <w:color w:val="auto"/>
                      <w:lang w:eastAsia="zh-CN"/>
                    </w:rPr>
                  </w:pPr>
                  <w:r>
                    <w:rPr>
                      <w:rFonts w:hint="eastAsia"/>
                      <w:color w:val="auto"/>
                      <w:lang w:val="en-US" w:eastAsia="zh-CN"/>
                    </w:rPr>
                    <w:t>声环境</w:t>
                  </w:r>
                </w:p>
              </w:tc>
              <w:tc>
                <w:tcPr>
                  <w:tcW w:w="738" w:type="pct"/>
                  <w:noWrap w:val="0"/>
                  <w:vAlign w:val="center"/>
                </w:tcPr>
                <w:p w14:paraId="5B50AE99">
                  <w:pPr>
                    <w:adjustRightInd w:val="0"/>
                    <w:snapToGrid w:val="0"/>
                    <w:jc w:val="center"/>
                    <w:rPr>
                      <w:rFonts w:hint="default" w:eastAsia="宋体"/>
                      <w:color w:val="auto"/>
                      <w:lang w:val="en-US" w:eastAsia="zh-CN"/>
                    </w:rPr>
                  </w:pPr>
                  <w:r>
                    <w:rPr>
                      <w:rFonts w:hint="eastAsia"/>
                      <w:color w:val="auto"/>
                      <w:lang w:val="en-US" w:eastAsia="zh-CN"/>
                    </w:rPr>
                    <w:t>东侧居民</w:t>
                  </w:r>
                </w:p>
              </w:tc>
              <w:tc>
                <w:tcPr>
                  <w:tcW w:w="1012" w:type="pct"/>
                  <w:noWrap w:val="0"/>
                  <w:vAlign w:val="center"/>
                </w:tcPr>
                <w:p w14:paraId="70803856">
                  <w:pPr>
                    <w:adjustRightInd w:val="0"/>
                    <w:snapToGrid w:val="0"/>
                    <w:jc w:val="center"/>
                    <w:rPr>
                      <w:color w:val="auto"/>
                    </w:rPr>
                  </w:pPr>
                  <w:r>
                    <w:rPr>
                      <w:rFonts w:hint="eastAsia"/>
                      <w:color w:val="auto"/>
                    </w:rPr>
                    <w:t>130.53489067</w:t>
                  </w:r>
                </w:p>
              </w:tc>
              <w:tc>
                <w:tcPr>
                  <w:tcW w:w="1015" w:type="pct"/>
                  <w:noWrap w:val="0"/>
                  <w:vAlign w:val="center"/>
                </w:tcPr>
                <w:p w14:paraId="6B712BE8">
                  <w:pPr>
                    <w:adjustRightInd w:val="0"/>
                    <w:snapToGrid w:val="0"/>
                    <w:jc w:val="center"/>
                    <w:rPr>
                      <w:rFonts w:hint="eastAsia"/>
                      <w:color w:val="auto"/>
                    </w:rPr>
                  </w:pPr>
                  <w:r>
                    <w:rPr>
                      <w:rFonts w:hint="eastAsia"/>
                      <w:color w:val="auto"/>
                    </w:rPr>
                    <w:t>46.29548978</w:t>
                  </w:r>
                </w:p>
              </w:tc>
              <w:tc>
                <w:tcPr>
                  <w:tcW w:w="263" w:type="pct"/>
                  <w:vMerge w:val="restart"/>
                  <w:noWrap w:val="0"/>
                  <w:vAlign w:val="center"/>
                </w:tcPr>
                <w:p w14:paraId="3742251D">
                  <w:pPr>
                    <w:adjustRightInd w:val="0"/>
                    <w:snapToGrid w:val="0"/>
                    <w:jc w:val="center"/>
                    <w:rPr>
                      <w:rFonts w:hint="eastAsia" w:eastAsia="宋体"/>
                      <w:color w:val="auto"/>
                      <w:lang w:eastAsia="zh-CN"/>
                    </w:rPr>
                  </w:pPr>
                  <w:r>
                    <w:rPr>
                      <w:rFonts w:hint="eastAsia"/>
                      <w:color w:val="auto"/>
                      <w:lang w:val="en-US" w:eastAsia="zh-CN"/>
                    </w:rPr>
                    <w:t>居民</w:t>
                  </w:r>
                </w:p>
              </w:tc>
              <w:tc>
                <w:tcPr>
                  <w:tcW w:w="451" w:type="pct"/>
                  <w:vMerge w:val="restart"/>
                  <w:noWrap w:val="0"/>
                  <w:vAlign w:val="center"/>
                </w:tcPr>
                <w:p w14:paraId="6EF10210">
                  <w:pPr>
                    <w:adjustRightInd w:val="0"/>
                    <w:snapToGrid w:val="0"/>
                    <w:jc w:val="center"/>
                    <w:rPr>
                      <w:rFonts w:hint="default" w:eastAsia="宋体"/>
                      <w:color w:val="auto"/>
                      <w:lang w:val="en-US" w:eastAsia="zh-CN"/>
                    </w:rPr>
                  </w:pPr>
                  <w:r>
                    <w:rPr>
                      <w:rFonts w:hint="eastAsia"/>
                      <w:color w:val="auto"/>
                      <w:lang w:val="en-US" w:eastAsia="zh-CN"/>
                    </w:rPr>
                    <w:t>2类</w:t>
                  </w:r>
                </w:p>
              </w:tc>
              <w:tc>
                <w:tcPr>
                  <w:tcW w:w="756" w:type="pct"/>
                  <w:noWrap w:val="0"/>
                  <w:vAlign w:val="center"/>
                </w:tcPr>
                <w:p w14:paraId="3EA304B7">
                  <w:pPr>
                    <w:adjustRightInd w:val="0"/>
                    <w:snapToGrid w:val="0"/>
                    <w:jc w:val="center"/>
                    <w:rPr>
                      <w:rFonts w:hint="default" w:eastAsia="宋体"/>
                      <w:color w:val="auto"/>
                      <w:lang w:val="en-US" w:eastAsia="zh-CN"/>
                    </w:rPr>
                  </w:pPr>
                  <w:r>
                    <w:rPr>
                      <w:rFonts w:hint="eastAsia"/>
                      <w:color w:val="auto"/>
                      <w:lang w:val="en-US" w:eastAsia="zh-CN"/>
                    </w:rPr>
                    <w:t>W</w:t>
                  </w:r>
                </w:p>
              </w:tc>
              <w:tc>
                <w:tcPr>
                  <w:tcW w:w="450" w:type="pct"/>
                  <w:noWrap w:val="0"/>
                  <w:vAlign w:val="center"/>
                </w:tcPr>
                <w:p w14:paraId="6F5B55A9">
                  <w:pPr>
                    <w:adjustRightInd w:val="0"/>
                    <w:snapToGrid w:val="0"/>
                    <w:jc w:val="center"/>
                    <w:rPr>
                      <w:rFonts w:hint="default" w:eastAsia="宋体"/>
                      <w:color w:val="auto"/>
                      <w:lang w:val="en-US" w:eastAsia="zh-CN"/>
                    </w:rPr>
                  </w:pPr>
                  <w:r>
                    <w:rPr>
                      <w:rFonts w:hint="eastAsia"/>
                      <w:color w:val="auto"/>
                      <w:lang w:val="en-US" w:eastAsia="zh-CN"/>
                    </w:rPr>
                    <w:t>6</w:t>
                  </w:r>
                </w:p>
              </w:tc>
            </w:tr>
            <w:tr w14:paraId="0A0BE9C5">
              <w:tblPrEx>
                <w:tblBorders>
                  <w:top w:val="single" w:color="auto" w:sz="12" w:space="0"/>
                  <w:left w:val="none" w:color="auto" w:sz="0" w:space="0"/>
                  <w:bottom w:val="single" w:color="auto" w:sz="12" w:space="0"/>
                  <w:right w:val="none" w:color="auto" w:sz="0" w:space="0"/>
                  <w:insideH w:val="single" w:color="auto" w:sz="6" w:space="0"/>
                  <w:insideV w:val="single" w:color="auto" w:sz="4" w:space="0"/>
                </w:tblBorders>
                <w:tblCellMar>
                  <w:top w:w="0" w:type="dxa"/>
                  <w:left w:w="108" w:type="dxa"/>
                  <w:bottom w:w="0" w:type="dxa"/>
                  <w:right w:w="108" w:type="dxa"/>
                </w:tblCellMar>
              </w:tblPrEx>
              <w:trPr>
                <w:tblHeader/>
              </w:trPr>
              <w:tc>
                <w:tcPr>
                  <w:tcW w:w="311" w:type="pct"/>
                  <w:vMerge w:val="continue"/>
                  <w:noWrap w:val="0"/>
                  <w:vAlign w:val="center"/>
                </w:tcPr>
                <w:p w14:paraId="0D605280">
                  <w:pPr>
                    <w:adjustRightInd w:val="0"/>
                    <w:snapToGrid w:val="0"/>
                    <w:jc w:val="center"/>
                    <w:rPr>
                      <w:color w:val="auto"/>
                    </w:rPr>
                  </w:pPr>
                </w:p>
              </w:tc>
              <w:tc>
                <w:tcPr>
                  <w:tcW w:w="738" w:type="pct"/>
                  <w:noWrap w:val="0"/>
                  <w:vAlign w:val="center"/>
                </w:tcPr>
                <w:p w14:paraId="63A79734">
                  <w:pPr>
                    <w:adjustRightInd w:val="0"/>
                    <w:snapToGrid w:val="0"/>
                    <w:jc w:val="center"/>
                    <w:rPr>
                      <w:rFonts w:hint="default"/>
                      <w:color w:val="auto"/>
                      <w:lang w:val="en-US" w:eastAsia="zh-CN"/>
                    </w:rPr>
                  </w:pPr>
                  <w:r>
                    <w:rPr>
                      <w:rFonts w:hint="eastAsia"/>
                      <w:color w:val="auto"/>
                      <w:lang w:val="en-US" w:eastAsia="zh-CN"/>
                    </w:rPr>
                    <w:t>西侧居民</w:t>
                  </w:r>
                </w:p>
              </w:tc>
              <w:tc>
                <w:tcPr>
                  <w:tcW w:w="1012" w:type="pct"/>
                  <w:noWrap w:val="0"/>
                  <w:vAlign w:val="center"/>
                </w:tcPr>
                <w:p w14:paraId="6E175DF4">
                  <w:pPr>
                    <w:adjustRightInd w:val="0"/>
                    <w:snapToGrid w:val="0"/>
                    <w:jc w:val="center"/>
                    <w:rPr>
                      <w:rFonts w:hint="eastAsia"/>
                      <w:color w:val="auto"/>
                    </w:rPr>
                  </w:pPr>
                  <w:r>
                    <w:rPr>
                      <w:rFonts w:hint="eastAsia"/>
                      <w:color w:val="auto"/>
                    </w:rPr>
                    <w:t>130.5</w:t>
                  </w:r>
                  <w:r>
                    <w:rPr>
                      <w:rFonts w:hint="eastAsia"/>
                      <w:color w:val="auto"/>
                      <w:lang w:eastAsia="zh-CN"/>
                    </w:rPr>
                    <w:t>970</w:t>
                  </w:r>
                  <w:r>
                    <w:rPr>
                      <w:rFonts w:hint="eastAsia"/>
                      <w:color w:val="auto"/>
                    </w:rPr>
                    <w:t>6834</w:t>
                  </w:r>
                </w:p>
              </w:tc>
              <w:tc>
                <w:tcPr>
                  <w:tcW w:w="1015" w:type="pct"/>
                  <w:noWrap w:val="0"/>
                  <w:vAlign w:val="center"/>
                </w:tcPr>
                <w:p w14:paraId="3A81AB68">
                  <w:pPr>
                    <w:adjustRightInd w:val="0"/>
                    <w:snapToGrid w:val="0"/>
                    <w:jc w:val="center"/>
                    <w:rPr>
                      <w:rFonts w:hint="eastAsia"/>
                      <w:color w:val="auto"/>
                    </w:rPr>
                  </w:pPr>
                  <w:r>
                    <w:rPr>
                      <w:rFonts w:hint="eastAsia"/>
                      <w:color w:val="auto"/>
                    </w:rPr>
                    <w:t>46.29598393</w:t>
                  </w:r>
                </w:p>
              </w:tc>
              <w:tc>
                <w:tcPr>
                  <w:tcW w:w="263" w:type="pct"/>
                  <w:vMerge w:val="continue"/>
                  <w:noWrap w:val="0"/>
                  <w:vAlign w:val="center"/>
                </w:tcPr>
                <w:p w14:paraId="3AE2DC72">
                  <w:pPr>
                    <w:adjustRightInd w:val="0"/>
                    <w:snapToGrid w:val="0"/>
                    <w:jc w:val="center"/>
                    <w:rPr>
                      <w:color w:val="auto"/>
                    </w:rPr>
                  </w:pPr>
                </w:p>
              </w:tc>
              <w:tc>
                <w:tcPr>
                  <w:tcW w:w="451" w:type="pct"/>
                  <w:vMerge w:val="continue"/>
                  <w:noWrap w:val="0"/>
                  <w:vAlign w:val="center"/>
                </w:tcPr>
                <w:p w14:paraId="4A4B6F74">
                  <w:pPr>
                    <w:adjustRightInd w:val="0"/>
                    <w:snapToGrid w:val="0"/>
                    <w:jc w:val="center"/>
                    <w:rPr>
                      <w:color w:val="auto"/>
                    </w:rPr>
                  </w:pPr>
                </w:p>
              </w:tc>
              <w:tc>
                <w:tcPr>
                  <w:tcW w:w="756" w:type="pct"/>
                  <w:noWrap w:val="0"/>
                  <w:vAlign w:val="center"/>
                </w:tcPr>
                <w:p w14:paraId="3DB74848">
                  <w:pPr>
                    <w:adjustRightInd w:val="0"/>
                    <w:snapToGrid w:val="0"/>
                    <w:jc w:val="center"/>
                    <w:rPr>
                      <w:rFonts w:hint="default"/>
                      <w:color w:val="auto"/>
                      <w:lang w:val="en-US" w:eastAsia="zh-CN"/>
                    </w:rPr>
                  </w:pPr>
                  <w:r>
                    <w:rPr>
                      <w:rFonts w:hint="eastAsia"/>
                      <w:color w:val="auto"/>
                      <w:lang w:val="en-US" w:eastAsia="zh-CN"/>
                    </w:rPr>
                    <w:t>S</w:t>
                  </w:r>
                </w:p>
              </w:tc>
              <w:tc>
                <w:tcPr>
                  <w:tcW w:w="450" w:type="pct"/>
                  <w:noWrap w:val="0"/>
                  <w:vAlign w:val="center"/>
                </w:tcPr>
                <w:p w14:paraId="4BD5A249">
                  <w:pPr>
                    <w:adjustRightInd w:val="0"/>
                    <w:snapToGrid w:val="0"/>
                    <w:jc w:val="center"/>
                    <w:rPr>
                      <w:rFonts w:hint="default" w:eastAsia="宋体"/>
                      <w:color w:val="auto"/>
                      <w:lang w:val="en-US" w:eastAsia="zh-CN"/>
                    </w:rPr>
                  </w:pPr>
                  <w:r>
                    <w:rPr>
                      <w:rFonts w:hint="eastAsia"/>
                      <w:color w:val="auto"/>
                      <w:lang w:val="en-US" w:eastAsia="zh-CN"/>
                    </w:rPr>
                    <w:t>20</w:t>
                  </w:r>
                </w:p>
              </w:tc>
            </w:tr>
          </w:tbl>
          <w:p w14:paraId="622F38ED">
            <w:pPr>
              <w:pStyle w:val="84"/>
              <w:ind w:left="0" w:leftChars="0" w:firstLine="241" w:firstLineChars="100"/>
              <w:rPr>
                <w:color w:val="auto"/>
              </w:rPr>
            </w:pPr>
            <w:r>
              <w:rPr>
                <w:color w:val="auto"/>
              </w:rPr>
              <w:t>三、地下水环境保护目标</w:t>
            </w:r>
          </w:p>
          <w:p w14:paraId="659F25AA">
            <w:pPr>
              <w:pStyle w:val="77"/>
              <w:rPr>
                <w:snapToGrid w:val="0"/>
                <w:color w:val="auto"/>
              </w:rPr>
            </w:pPr>
            <w:r>
              <w:rPr>
                <w:rFonts w:hint="eastAsia"/>
                <w:snapToGrid w:val="0"/>
                <w:color w:val="auto"/>
              </w:rPr>
              <w:t>本项目厂界外500m范围内无地下水集中式饮用水水源和热水、矿泉水、温泉等特殊地下水资源。</w:t>
            </w:r>
          </w:p>
          <w:p w14:paraId="337C3D9E">
            <w:pPr>
              <w:pStyle w:val="84"/>
              <w:rPr>
                <w:color w:val="auto"/>
              </w:rPr>
            </w:pPr>
            <w:r>
              <w:rPr>
                <w:color w:val="auto"/>
              </w:rPr>
              <w:t>四、生态环境保护目标</w:t>
            </w:r>
          </w:p>
          <w:p w14:paraId="6506B2C2">
            <w:pPr>
              <w:pStyle w:val="77"/>
              <w:rPr>
                <w:color w:val="auto"/>
              </w:rPr>
            </w:pPr>
            <w:r>
              <w:rPr>
                <w:snapToGrid w:val="0"/>
                <w:color w:val="auto"/>
              </w:rPr>
              <w:t>本项目占地范围内无特殊生态敏感区及重要生态敏感区等生态环境保护目标，项目所在地无国家级、省、市级自然保护区、风景名胜区、文物保护对象。</w:t>
            </w:r>
            <w:bookmarkEnd w:id="10"/>
          </w:p>
        </w:tc>
      </w:tr>
      <w:tr w14:paraId="24355E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699" w:type="dxa"/>
            <w:tcMar>
              <w:left w:w="28" w:type="dxa"/>
              <w:right w:w="28" w:type="dxa"/>
            </w:tcMar>
            <w:vAlign w:val="center"/>
          </w:tcPr>
          <w:p w14:paraId="056EAE7E">
            <w:pPr>
              <w:jc w:val="center"/>
              <w:rPr>
                <w:b/>
                <w:bCs/>
                <w:color w:val="auto"/>
                <w:sz w:val="24"/>
              </w:rPr>
            </w:pPr>
            <w:r>
              <w:rPr>
                <w:b/>
                <w:bCs/>
                <w:color w:val="auto"/>
                <w:sz w:val="24"/>
              </w:rPr>
              <w:t>污</w:t>
            </w:r>
          </w:p>
          <w:p w14:paraId="09D84A8F">
            <w:pPr>
              <w:jc w:val="center"/>
              <w:rPr>
                <w:b/>
                <w:bCs/>
                <w:color w:val="auto"/>
                <w:sz w:val="24"/>
              </w:rPr>
            </w:pPr>
            <w:r>
              <w:rPr>
                <w:b/>
                <w:bCs/>
                <w:color w:val="auto"/>
                <w:sz w:val="24"/>
              </w:rPr>
              <w:t>染</w:t>
            </w:r>
          </w:p>
          <w:p w14:paraId="7E6360D9">
            <w:pPr>
              <w:jc w:val="center"/>
              <w:rPr>
                <w:b/>
                <w:bCs/>
                <w:color w:val="auto"/>
                <w:sz w:val="24"/>
              </w:rPr>
            </w:pPr>
            <w:r>
              <w:rPr>
                <w:b/>
                <w:bCs/>
                <w:color w:val="auto"/>
                <w:sz w:val="24"/>
              </w:rPr>
              <w:t>物</w:t>
            </w:r>
          </w:p>
          <w:p w14:paraId="34116654">
            <w:pPr>
              <w:jc w:val="center"/>
              <w:rPr>
                <w:b/>
                <w:bCs/>
                <w:color w:val="auto"/>
                <w:sz w:val="24"/>
              </w:rPr>
            </w:pPr>
            <w:r>
              <w:rPr>
                <w:b/>
                <w:bCs/>
                <w:color w:val="auto"/>
                <w:sz w:val="24"/>
              </w:rPr>
              <w:t>排</w:t>
            </w:r>
          </w:p>
          <w:p w14:paraId="6CA7B449">
            <w:pPr>
              <w:jc w:val="center"/>
              <w:rPr>
                <w:b/>
                <w:bCs/>
                <w:color w:val="auto"/>
                <w:sz w:val="24"/>
              </w:rPr>
            </w:pPr>
            <w:r>
              <w:rPr>
                <w:b/>
                <w:bCs/>
                <w:color w:val="auto"/>
                <w:sz w:val="24"/>
              </w:rPr>
              <w:t>放</w:t>
            </w:r>
          </w:p>
          <w:p w14:paraId="040DD2D9">
            <w:pPr>
              <w:jc w:val="center"/>
              <w:rPr>
                <w:b/>
                <w:bCs/>
                <w:color w:val="auto"/>
                <w:sz w:val="24"/>
              </w:rPr>
            </w:pPr>
            <w:r>
              <w:rPr>
                <w:b/>
                <w:bCs/>
                <w:color w:val="auto"/>
                <w:sz w:val="24"/>
              </w:rPr>
              <w:t>控</w:t>
            </w:r>
          </w:p>
          <w:p w14:paraId="79B207FA">
            <w:pPr>
              <w:jc w:val="center"/>
              <w:rPr>
                <w:b/>
                <w:bCs/>
                <w:color w:val="auto"/>
                <w:sz w:val="24"/>
              </w:rPr>
            </w:pPr>
            <w:r>
              <w:rPr>
                <w:b/>
                <w:bCs/>
                <w:color w:val="auto"/>
                <w:sz w:val="24"/>
              </w:rPr>
              <w:t>制</w:t>
            </w:r>
          </w:p>
          <w:p w14:paraId="745A8959">
            <w:pPr>
              <w:jc w:val="center"/>
              <w:rPr>
                <w:b/>
                <w:bCs/>
                <w:color w:val="auto"/>
                <w:sz w:val="24"/>
              </w:rPr>
            </w:pPr>
            <w:r>
              <w:rPr>
                <w:b/>
                <w:bCs/>
                <w:color w:val="auto"/>
                <w:sz w:val="24"/>
              </w:rPr>
              <w:t>标</w:t>
            </w:r>
          </w:p>
          <w:p w14:paraId="7F57C241">
            <w:pPr>
              <w:jc w:val="center"/>
              <w:rPr>
                <w:color w:val="auto"/>
              </w:rPr>
            </w:pPr>
            <w:r>
              <w:rPr>
                <w:b/>
                <w:bCs/>
                <w:color w:val="auto"/>
                <w:sz w:val="24"/>
              </w:rPr>
              <w:t>准</w:t>
            </w:r>
          </w:p>
        </w:tc>
        <w:tc>
          <w:tcPr>
            <w:tcW w:w="7588" w:type="dxa"/>
            <w:vAlign w:val="center"/>
          </w:tcPr>
          <w:p w14:paraId="6FC74B5F">
            <w:pPr>
              <w:pStyle w:val="84"/>
              <w:rPr>
                <w:color w:val="auto"/>
              </w:rPr>
            </w:pPr>
            <w:r>
              <w:rPr>
                <w:color w:val="auto"/>
              </w:rPr>
              <w:t>一、废气</w:t>
            </w:r>
          </w:p>
          <w:p w14:paraId="4742B137">
            <w:pPr>
              <w:pStyle w:val="77"/>
              <w:rPr>
                <w:color w:val="auto"/>
              </w:rPr>
            </w:pPr>
            <w:r>
              <w:rPr>
                <w:color w:val="auto"/>
              </w:rPr>
              <w:t>拆解工段无组织颗粒物排放浓度执行《大气污染物综合排放标准》（GB16297-1996）表2中无组织排放监控浓度限值要求；</w:t>
            </w:r>
          </w:p>
          <w:p w14:paraId="77DF36E2">
            <w:pPr>
              <w:pStyle w:val="77"/>
              <w:rPr>
                <w:color w:val="auto"/>
              </w:rPr>
            </w:pPr>
            <w:r>
              <w:rPr>
                <w:color w:val="auto"/>
              </w:rPr>
              <w:t>拆解工段非甲烷总烃排放浓度执行《大气污染物综合排放标准》（GB16297-1996）非甲烷总烃无组织排放监控浓度限值；</w:t>
            </w:r>
          </w:p>
          <w:p w14:paraId="14C19FD0">
            <w:pPr>
              <w:pStyle w:val="77"/>
              <w:rPr>
                <w:color w:val="auto"/>
              </w:rPr>
            </w:pPr>
            <w:r>
              <w:rPr>
                <w:rFonts w:hint="eastAsia"/>
                <w:color w:val="auto"/>
                <w:lang w:val="en-US" w:eastAsia="zh-CN"/>
              </w:rPr>
              <w:t>危废贮存库的非甲烷总烃</w:t>
            </w:r>
            <w:r>
              <w:rPr>
                <w:color w:val="auto"/>
              </w:rPr>
              <w:t>排放浓度执行《大气污染物综合排放标准》（GB16297-1996）表2中排放限值要求；</w:t>
            </w:r>
          </w:p>
          <w:p w14:paraId="04DA60C5">
            <w:pPr>
              <w:pStyle w:val="77"/>
              <w:rPr>
                <w:color w:val="auto"/>
              </w:rPr>
            </w:pPr>
            <w:r>
              <w:rPr>
                <w:color w:val="auto"/>
              </w:rPr>
              <w:t>厂区内非甲烷总烃满足《挥发性有机物无组织排放控制标准》（GB37822-2019）中表A.1无组织排放限值（1h平均浓度＜10mg/m</w:t>
            </w:r>
            <w:r>
              <w:rPr>
                <w:color w:val="auto"/>
                <w:vertAlign w:val="superscript"/>
              </w:rPr>
              <w:t>3</w:t>
            </w:r>
            <w:r>
              <w:rPr>
                <w:color w:val="auto"/>
              </w:rPr>
              <w:t>，任意一次浓度值＜30mg/m</w:t>
            </w:r>
            <w:r>
              <w:rPr>
                <w:color w:val="auto"/>
                <w:vertAlign w:val="superscript"/>
              </w:rPr>
              <w:t>3</w:t>
            </w:r>
            <w:r>
              <w:rPr>
                <w:color w:val="auto"/>
              </w:rPr>
              <w:t>）。</w:t>
            </w:r>
          </w:p>
          <w:p w14:paraId="259E035D">
            <w:pPr>
              <w:pStyle w:val="78"/>
              <w:rPr>
                <w:color w:val="auto"/>
              </w:rPr>
            </w:pPr>
            <w:r>
              <w:rPr>
                <w:color w:val="auto"/>
              </w:rPr>
              <w:t>表3-</w:t>
            </w:r>
            <w:r>
              <w:rPr>
                <w:rFonts w:hint="eastAsia"/>
                <w:color w:val="auto"/>
                <w:lang w:val="en-US" w:eastAsia="zh-CN"/>
              </w:rPr>
              <w:t>7</w:t>
            </w:r>
            <w:r>
              <w:rPr>
                <w:color w:val="auto"/>
              </w:rPr>
              <w:t xml:space="preserve"> 《大气污染物综合排放标准》（GB16297-1996）</w:t>
            </w:r>
          </w:p>
          <w:tbl>
            <w:tblPr>
              <w:tblStyle w:val="19"/>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68"/>
              <w:gridCol w:w="2921"/>
              <w:gridCol w:w="1457"/>
              <w:gridCol w:w="1466"/>
            </w:tblGrid>
            <w:tr w14:paraId="661F5D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58" w:type="pct"/>
                  <w:vAlign w:val="center"/>
                </w:tcPr>
                <w:p w14:paraId="01C1ADEF">
                  <w:pPr>
                    <w:pStyle w:val="80"/>
                    <w:rPr>
                      <w:color w:val="auto"/>
                    </w:rPr>
                  </w:pPr>
                  <w:r>
                    <w:rPr>
                      <w:color w:val="auto"/>
                    </w:rPr>
                    <w:t>污染物</w:t>
                  </w:r>
                </w:p>
              </w:tc>
              <w:tc>
                <w:tcPr>
                  <w:tcW w:w="1620" w:type="pct"/>
                  <w:vAlign w:val="center"/>
                </w:tcPr>
                <w:p w14:paraId="711A8742">
                  <w:pPr>
                    <w:pStyle w:val="80"/>
                    <w:rPr>
                      <w:color w:val="auto"/>
                    </w:rPr>
                  </w:pPr>
                  <w:r>
                    <w:rPr>
                      <w:rFonts w:hint="eastAsia"/>
                      <w:color w:val="auto"/>
                    </w:rPr>
                    <w:t>最高允许排放浓度</w:t>
                  </w:r>
                  <w:r>
                    <w:rPr>
                      <w:rFonts w:hint="eastAsia"/>
                      <w:color w:val="auto"/>
                      <w:lang w:val="en-US" w:eastAsia="zh-CN"/>
                    </w:rPr>
                    <w:t>（</w:t>
                  </w:r>
                  <w:r>
                    <w:rPr>
                      <w:color w:val="auto"/>
                    </w:rPr>
                    <w:t>mg/m</w:t>
                  </w:r>
                  <w:r>
                    <w:rPr>
                      <w:color w:val="auto"/>
                      <w:vertAlign w:val="superscript"/>
                    </w:rPr>
                    <w:t>3</w:t>
                  </w:r>
                  <w:r>
                    <w:rPr>
                      <w:rFonts w:hint="eastAsia"/>
                      <w:color w:val="auto"/>
                      <w:lang w:val="en-US" w:eastAsia="zh-CN"/>
                    </w:rPr>
                    <w:t>）</w:t>
                  </w:r>
                </w:p>
              </w:tc>
              <w:tc>
                <w:tcPr>
                  <w:tcW w:w="808" w:type="pct"/>
                  <w:vAlign w:val="center"/>
                </w:tcPr>
                <w:p w14:paraId="13D6CD14">
                  <w:pPr>
                    <w:pStyle w:val="80"/>
                    <w:rPr>
                      <w:color w:val="auto"/>
                    </w:rPr>
                  </w:pPr>
                  <w:r>
                    <w:rPr>
                      <w:rFonts w:hint="eastAsia"/>
                      <w:color w:val="auto"/>
                      <w:lang w:val="en-US" w:eastAsia="zh-CN"/>
                    </w:rPr>
                    <w:t>排放速率（kg/h）</w:t>
                  </w:r>
                </w:p>
              </w:tc>
              <w:tc>
                <w:tcPr>
                  <w:tcW w:w="812" w:type="pct"/>
                  <w:vAlign w:val="center"/>
                </w:tcPr>
                <w:p w14:paraId="7E7BE001">
                  <w:pPr>
                    <w:pStyle w:val="80"/>
                    <w:rPr>
                      <w:rFonts w:hint="eastAsia"/>
                      <w:color w:val="auto"/>
                      <w:lang w:val="en-US" w:eastAsia="zh-CN"/>
                    </w:rPr>
                  </w:pPr>
                  <w:r>
                    <w:rPr>
                      <w:color w:val="auto"/>
                    </w:rPr>
                    <w:t>周界外浓度最高点(mg/m</w:t>
                  </w:r>
                  <w:r>
                    <w:rPr>
                      <w:color w:val="auto"/>
                      <w:vertAlign w:val="superscript"/>
                    </w:rPr>
                    <w:t>3</w:t>
                  </w:r>
                  <w:r>
                    <w:rPr>
                      <w:color w:val="auto"/>
                    </w:rPr>
                    <w:t>)</w:t>
                  </w:r>
                </w:p>
              </w:tc>
            </w:tr>
            <w:tr w14:paraId="430AF3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58" w:type="pct"/>
                  <w:vAlign w:val="center"/>
                </w:tcPr>
                <w:p w14:paraId="511FE5FE">
                  <w:pPr>
                    <w:pStyle w:val="80"/>
                    <w:rPr>
                      <w:color w:val="auto"/>
                    </w:rPr>
                  </w:pPr>
                  <w:r>
                    <w:rPr>
                      <w:rFonts w:hint="eastAsia"/>
                      <w:color w:val="auto"/>
                      <w:lang w:val="en-US" w:eastAsia="zh-CN"/>
                    </w:rPr>
                    <w:t>非甲烷总烃</w:t>
                  </w:r>
                </w:p>
              </w:tc>
              <w:tc>
                <w:tcPr>
                  <w:tcW w:w="1620" w:type="pct"/>
                  <w:vAlign w:val="center"/>
                </w:tcPr>
                <w:p w14:paraId="6473C0AC">
                  <w:pPr>
                    <w:pStyle w:val="80"/>
                    <w:rPr>
                      <w:color w:val="auto"/>
                    </w:rPr>
                  </w:pPr>
                  <w:r>
                    <w:rPr>
                      <w:rFonts w:hint="eastAsia"/>
                      <w:color w:val="auto"/>
                      <w:lang w:val="en-US" w:eastAsia="zh-CN"/>
                    </w:rPr>
                    <w:t>120</w:t>
                  </w:r>
                </w:p>
              </w:tc>
              <w:tc>
                <w:tcPr>
                  <w:tcW w:w="808" w:type="pct"/>
                  <w:vAlign w:val="center"/>
                </w:tcPr>
                <w:p w14:paraId="7CAFD49D">
                  <w:pPr>
                    <w:pStyle w:val="80"/>
                    <w:rPr>
                      <w:rFonts w:hint="default" w:eastAsia="宋体"/>
                      <w:color w:val="auto"/>
                      <w:lang w:val="en-US" w:eastAsia="zh-CN"/>
                    </w:rPr>
                  </w:pPr>
                  <w:r>
                    <w:rPr>
                      <w:rFonts w:hint="eastAsia"/>
                      <w:color w:val="auto"/>
                      <w:lang w:val="en-US" w:eastAsia="zh-CN"/>
                    </w:rPr>
                    <w:t>10</w:t>
                  </w:r>
                </w:p>
              </w:tc>
              <w:tc>
                <w:tcPr>
                  <w:tcW w:w="812" w:type="pct"/>
                  <w:vAlign w:val="center"/>
                </w:tcPr>
                <w:p w14:paraId="7D5FB2CA">
                  <w:pPr>
                    <w:pStyle w:val="80"/>
                    <w:rPr>
                      <w:rFonts w:hint="eastAsia"/>
                      <w:color w:val="auto"/>
                      <w:lang w:val="en-US" w:eastAsia="zh-CN"/>
                    </w:rPr>
                  </w:pPr>
                  <w:r>
                    <w:rPr>
                      <w:color w:val="auto"/>
                    </w:rPr>
                    <w:t>4.0</w:t>
                  </w:r>
                </w:p>
              </w:tc>
            </w:tr>
            <w:tr w14:paraId="7D80C9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58" w:type="pct"/>
                  <w:vAlign w:val="center"/>
                </w:tcPr>
                <w:p w14:paraId="5635EFEF">
                  <w:pPr>
                    <w:pStyle w:val="80"/>
                    <w:rPr>
                      <w:rFonts w:hint="eastAsia"/>
                      <w:color w:val="auto"/>
                      <w:lang w:val="en-US" w:eastAsia="zh-CN"/>
                    </w:rPr>
                  </w:pPr>
                  <w:r>
                    <w:rPr>
                      <w:color w:val="auto"/>
                    </w:rPr>
                    <w:t>污染物</w:t>
                  </w:r>
                </w:p>
              </w:tc>
              <w:tc>
                <w:tcPr>
                  <w:tcW w:w="3241" w:type="pct"/>
                  <w:gridSpan w:val="3"/>
                  <w:vAlign w:val="center"/>
                </w:tcPr>
                <w:p w14:paraId="14B0507C">
                  <w:pPr>
                    <w:pStyle w:val="80"/>
                    <w:rPr>
                      <w:rFonts w:hint="eastAsia" w:eastAsia="宋体"/>
                      <w:color w:val="auto"/>
                      <w:lang w:val="en-US" w:eastAsia="zh-CN"/>
                    </w:rPr>
                  </w:pPr>
                  <w:r>
                    <w:rPr>
                      <w:color w:val="auto"/>
                    </w:rPr>
                    <w:t>周界外浓度最高点(mg/m</w:t>
                  </w:r>
                  <w:r>
                    <w:rPr>
                      <w:color w:val="auto"/>
                      <w:vertAlign w:val="superscript"/>
                    </w:rPr>
                    <w:t>3</w:t>
                  </w:r>
                  <w:r>
                    <w:rPr>
                      <w:color w:val="auto"/>
                    </w:rPr>
                    <w:t>)</w:t>
                  </w:r>
                </w:p>
              </w:tc>
            </w:tr>
            <w:tr w14:paraId="59E086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58" w:type="pct"/>
                  <w:vAlign w:val="center"/>
                </w:tcPr>
                <w:p w14:paraId="3D161D7B">
                  <w:pPr>
                    <w:pStyle w:val="80"/>
                    <w:rPr>
                      <w:color w:val="auto"/>
                    </w:rPr>
                  </w:pPr>
                  <w:r>
                    <w:rPr>
                      <w:rFonts w:hint="eastAsia"/>
                      <w:color w:val="auto"/>
                      <w:lang w:val="en-US" w:eastAsia="zh-CN"/>
                    </w:rPr>
                    <w:t>颗粒物</w:t>
                  </w:r>
                </w:p>
              </w:tc>
              <w:tc>
                <w:tcPr>
                  <w:tcW w:w="3241" w:type="pct"/>
                  <w:gridSpan w:val="3"/>
                  <w:vAlign w:val="center"/>
                </w:tcPr>
                <w:p w14:paraId="3DCE07E2">
                  <w:pPr>
                    <w:pStyle w:val="80"/>
                    <w:rPr>
                      <w:rFonts w:hint="default"/>
                      <w:color w:val="auto"/>
                      <w:lang w:val="en-US" w:eastAsia="zh-CN"/>
                    </w:rPr>
                  </w:pPr>
                  <w:r>
                    <w:rPr>
                      <w:rFonts w:hint="eastAsia"/>
                      <w:color w:val="auto"/>
                      <w:lang w:val="en-US" w:eastAsia="zh-CN"/>
                    </w:rPr>
                    <w:t>1.0</w:t>
                  </w:r>
                </w:p>
              </w:tc>
            </w:tr>
          </w:tbl>
          <w:p w14:paraId="4B63C6E4">
            <w:pPr>
              <w:pStyle w:val="78"/>
              <w:jc w:val="center"/>
              <w:rPr>
                <w:color w:val="auto"/>
              </w:rPr>
            </w:pPr>
            <w:r>
              <w:rPr>
                <w:color w:val="auto"/>
              </w:rPr>
              <w:t>表3-</w:t>
            </w:r>
            <w:r>
              <w:rPr>
                <w:rFonts w:hint="eastAsia"/>
                <w:color w:val="auto"/>
                <w:lang w:val="en-US" w:eastAsia="zh-CN"/>
              </w:rPr>
              <w:t>8</w:t>
            </w:r>
            <w:r>
              <w:rPr>
                <w:color w:val="auto"/>
              </w:rPr>
              <w:t xml:space="preserve"> 《挥发性有机物无组织排放控制标准》（GB37822-2019）附录A</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57" w:type="dxa"/>
                <w:bottom w:w="0" w:type="dxa"/>
                <w:right w:w="57" w:type="dxa"/>
              </w:tblCellMar>
            </w:tblPr>
            <w:tblGrid>
              <w:gridCol w:w="1495"/>
              <w:gridCol w:w="3645"/>
              <w:gridCol w:w="3877"/>
            </w:tblGrid>
            <w:tr w14:paraId="581AE8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143" w:hRule="atLeast"/>
                <w:jc w:val="center"/>
              </w:trPr>
              <w:tc>
                <w:tcPr>
                  <w:tcW w:w="829" w:type="pct"/>
                  <w:vAlign w:val="center"/>
                </w:tcPr>
                <w:p w14:paraId="4B93DF1D">
                  <w:pPr>
                    <w:pStyle w:val="80"/>
                    <w:rPr>
                      <w:color w:val="auto"/>
                    </w:rPr>
                  </w:pPr>
                  <w:r>
                    <w:rPr>
                      <w:color w:val="auto"/>
                    </w:rPr>
                    <w:t>污染物项目</w:t>
                  </w:r>
                </w:p>
              </w:tc>
              <w:tc>
                <w:tcPr>
                  <w:tcW w:w="2021" w:type="pct"/>
                  <w:vAlign w:val="center"/>
                </w:tcPr>
                <w:p w14:paraId="5361D427">
                  <w:pPr>
                    <w:pStyle w:val="80"/>
                    <w:rPr>
                      <w:color w:val="auto"/>
                    </w:rPr>
                  </w:pPr>
                  <w:r>
                    <w:rPr>
                      <w:color w:val="auto"/>
                    </w:rPr>
                    <w:t>排放限值</w:t>
                  </w:r>
                </w:p>
              </w:tc>
              <w:tc>
                <w:tcPr>
                  <w:tcW w:w="2150" w:type="pct"/>
                  <w:vAlign w:val="center"/>
                </w:tcPr>
                <w:p w14:paraId="5B44554D">
                  <w:pPr>
                    <w:pStyle w:val="80"/>
                    <w:rPr>
                      <w:color w:val="auto"/>
                    </w:rPr>
                  </w:pPr>
                  <w:r>
                    <w:rPr>
                      <w:color w:val="auto"/>
                    </w:rPr>
                    <w:t>限值含义</w:t>
                  </w:r>
                </w:p>
              </w:tc>
            </w:tr>
            <w:tr w14:paraId="26CB740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49" w:hRule="atLeast"/>
                <w:jc w:val="center"/>
              </w:trPr>
              <w:tc>
                <w:tcPr>
                  <w:tcW w:w="829" w:type="pct"/>
                  <w:vMerge w:val="restart"/>
                  <w:vAlign w:val="center"/>
                </w:tcPr>
                <w:p w14:paraId="748FD389">
                  <w:pPr>
                    <w:pStyle w:val="80"/>
                    <w:rPr>
                      <w:color w:val="auto"/>
                    </w:rPr>
                  </w:pPr>
                  <w:r>
                    <w:rPr>
                      <w:color w:val="auto"/>
                    </w:rPr>
                    <w:t>非甲烷总烃</w:t>
                  </w:r>
                </w:p>
              </w:tc>
              <w:tc>
                <w:tcPr>
                  <w:tcW w:w="2021" w:type="pct"/>
                  <w:vAlign w:val="center"/>
                </w:tcPr>
                <w:p w14:paraId="5E942AE5">
                  <w:pPr>
                    <w:pStyle w:val="80"/>
                    <w:rPr>
                      <w:color w:val="auto"/>
                    </w:rPr>
                  </w:pPr>
                  <w:r>
                    <w:rPr>
                      <w:color w:val="auto"/>
                    </w:rPr>
                    <w:t>10mg/m</w:t>
                  </w:r>
                  <w:r>
                    <w:rPr>
                      <w:color w:val="auto"/>
                      <w:vertAlign w:val="superscript"/>
                    </w:rPr>
                    <w:t>3</w:t>
                  </w:r>
                </w:p>
              </w:tc>
              <w:tc>
                <w:tcPr>
                  <w:tcW w:w="2150" w:type="pct"/>
                  <w:vAlign w:val="center"/>
                </w:tcPr>
                <w:p w14:paraId="28ABF633">
                  <w:pPr>
                    <w:pStyle w:val="80"/>
                    <w:rPr>
                      <w:color w:val="auto"/>
                    </w:rPr>
                  </w:pPr>
                  <w:r>
                    <w:rPr>
                      <w:color w:val="auto"/>
                    </w:rPr>
                    <w:t>监控点处1h平均浓度值</w:t>
                  </w:r>
                </w:p>
              </w:tc>
            </w:tr>
            <w:tr w14:paraId="16127A8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49" w:hRule="atLeast"/>
                <w:jc w:val="center"/>
              </w:trPr>
              <w:tc>
                <w:tcPr>
                  <w:tcW w:w="829" w:type="pct"/>
                  <w:vMerge w:val="continue"/>
                  <w:vAlign w:val="center"/>
                </w:tcPr>
                <w:p w14:paraId="627866B3">
                  <w:pPr>
                    <w:pStyle w:val="80"/>
                    <w:rPr>
                      <w:color w:val="auto"/>
                    </w:rPr>
                  </w:pPr>
                </w:p>
              </w:tc>
              <w:tc>
                <w:tcPr>
                  <w:tcW w:w="2021" w:type="pct"/>
                  <w:vAlign w:val="center"/>
                </w:tcPr>
                <w:p w14:paraId="2DCA2264">
                  <w:pPr>
                    <w:pStyle w:val="80"/>
                    <w:rPr>
                      <w:color w:val="auto"/>
                    </w:rPr>
                  </w:pPr>
                  <w:r>
                    <w:rPr>
                      <w:color w:val="auto"/>
                    </w:rPr>
                    <w:t>30mg/m</w:t>
                  </w:r>
                  <w:r>
                    <w:rPr>
                      <w:color w:val="auto"/>
                      <w:vertAlign w:val="superscript"/>
                    </w:rPr>
                    <w:t>3</w:t>
                  </w:r>
                </w:p>
              </w:tc>
              <w:tc>
                <w:tcPr>
                  <w:tcW w:w="2150" w:type="pct"/>
                  <w:vAlign w:val="center"/>
                </w:tcPr>
                <w:p w14:paraId="32EF466A">
                  <w:pPr>
                    <w:pStyle w:val="80"/>
                    <w:rPr>
                      <w:color w:val="auto"/>
                    </w:rPr>
                  </w:pPr>
                  <w:r>
                    <w:rPr>
                      <w:color w:val="auto"/>
                    </w:rPr>
                    <w:t>监控点处任意一次浓度值</w:t>
                  </w:r>
                </w:p>
              </w:tc>
            </w:tr>
          </w:tbl>
          <w:p w14:paraId="033483F0">
            <w:pPr>
              <w:pStyle w:val="84"/>
              <w:rPr>
                <w:color w:val="auto"/>
              </w:rPr>
            </w:pPr>
            <w:r>
              <w:rPr>
                <w:color w:val="auto"/>
              </w:rPr>
              <w:t>二、废水</w:t>
            </w:r>
          </w:p>
          <w:p w14:paraId="2AF41942">
            <w:pPr>
              <w:pStyle w:val="77"/>
              <w:rPr>
                <w:rFonts w:hint="default" w:eastAsia="宋体"/>
                <w:color w:val="auto"/>
                <w:lang w:val="en-US" w:eastAsia="zh-CN"/>
              </w:rPr>
            </w:pPr>
            <w:r>
              <w:rPr>
                <w:color w:val="auto"/>
              </w:rPr>
              <w:t>本项目废水主要为生活污水</w:t>
            </w:r>
            <w:r>
              <w:rPr>
                <w:rFonts w:hint="eastAsia"/>
                <w:color w:val="auto"/>
                <w:lang w:val="en-US" w:eastAsia="zh-CN"/>
              </w:rPr>
              <w:t>和初期雨水</w:t>
            </w:r>
            <w:r>
              <w:rPr>
                <w:rFonts w:hint="eastAsia"/>
                <w:color w:val="auto"/>
                <w:lang w:eastAsia="zh-CN"/>
              </w:rPr>
              <w:t>，</w:t>
            </w:r>
            <w:r>
              <w:rPr>
                <w:color w:val="auto"/>
              </w:rPr>
              <w:t>生活污水</w:t>
            </w:r>
            <w:r>
              <w:rPr>
                <w:rFonts w:hint="eastAsia"/>
                <w:color w:val="auto"/>
                <w:lang w:val="en-US" w:eastAsia="zh-CN"/>
              </w:rPr>
              <w:t>排入防渗旱厕，定期清掏</w:t>
            </w:r>
            <w:r>
              <w:rPr>
                <w:color w:val="auto"/>
              </w:rPr>
              <w:t>。</w:t>
            </w:r>
            <w:r>
              <w:rPr>
                <w:rFonts w:hint="eastAsia"/>
                <w:color w:val="auto"/>
                <w:lang w:val="en-US" w:eastAsia="zh-CN"/>
              </w:rPr>
              <w:t>初期雨水经油水分离器处理后用于厂区洒扫降尘。</w:t>
            </w:r>
          </w:p>
          <w:p w14:paraId="3E84E876">
            <w:pPr>
              <w:pStyle w:val="84"/>
              <w:ind w:left="0" w:leftChars="0" w:firstLine="482" w:firstLineChars="200"/>
              <w:rPr>
                <w:color w:val="auto"/>
              </w:rPr>
            </w:pPr>
            <w:r>
              <w:rPr>
                <w:color w:val="auto"/>
              </w:rPr>
              <w:t>三、噪声</w:t>
            </w:r>
          </w:p>
          <w:p w14:paraId="507E07BC">
            <w:pPr>
              <w:pStyle w:val="77"/>
              <w:rPr>
                <w:rFonts w:hint="default" w:ascii="Times New Roman" w:hAnsi="Times New Roman" w:eastAsia="宋体" w:cs="Times New Roman"/>
                <w:color w:val="auto"/>
              </w:rPr>
            </w:pPr>
            <w:r>
              <w:rPr>
                <w:rFonts w:hint="default" w:ascii="Times New Roman" w:hAnsi="Times New Roman" w:eastAsia="宋体" w:cs="Times New Roman"/>
                <w:color w:val="auto"/>
              </w:rPr>
              <w:t>运营期厂界噪声执行《工业企业厂界环境噪声排放标准》（GB12348-2008）</w:t>
            </w:r>
            <w:r>
              <w:rPr>
                <w:rFonts w:hint="eastAsia" w:ascii="Times New Roman" w:hAnsi="Times New Roman" w:eastAsia="宋体" w:cs="Times New Roman"/>
                <w:color w:val="auto"/>
                <w:lang w:val="en-US" w:eastAsia="zh-CN"/>
              </w:rPr>
              <w:t>2类</w:t>
            </w:r>
            <w:r>
              <w:rPr>
                <w:rFonts w:hint="default" w:ascii="Times New Roman" w:hAnsi="Times New Roman" w:eastAsia="宋体" w:cs="Times New Roman"/>
                <w:color w:val="auto"/>
              </w:rPr>
              <w:t>标准</w:t>
            </w:r>
            <w:r>
              <w:rPr>
                <w:rFonts w:hint="eastAsia" w:ascii="Times New Roman" w:hAnsi="Times New Roman" w:eastAsia="宋体" w:cs="Times New Roman"/>
                <w:color w:val="auto"/>
                <w:lang w:eastAsia="zh-CN"/>
              </w:rPr>
              <w:t>限值</w:t>
            </w:r>
            <w:r>
              <w:rPr>
                <w:rFonts w:hint="default" w:ascii="Times New Roman" w:hAnsi="Times New Roman" w:eastAsia="宋体" w:cs="Times New Roman"/>
                <w:color w:val="auto"/>
              </w:rPr>
              <w:t>。</w:t>
            </w:r>
          </w:p>
          <w:p w14:paraId="0D54AAF2">
            <w:pPr>
              <w:pStyle w:val="78"/>
              <w:rPr>
                <w:color w:val="auto"/>
                <w:szCs w:val="28"/>
              </w:rPr>
            </w:pPr>
            <w:r>
              <w:rPr>
                <w:color w:val="auto"/>
              </w:rPr>
              <w:t>表3-</w:t>
            </w:r>
            <w:r>
              <w:rPr>
                <w:rFonts w:hint="eastAsia"/>
                <w:color w:val="auto"/>
                <w:lang w:val="en-US" w:eastAsia="zh-CN"/>
              </w:rPr>
              <w:t>9</w:t>
            </w:r>
            <w:r>
              <w:rPr>
                <w:color w:val="auto"/>
              </w:rPr>
              <w:t xml:space="preserve"> 工业企业厂界环境噪声排放标准</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57" w:type="dxa"/>
                <w:bottom w:w="0" w:type="dxa"/>
                <w:right w:w="57" w:type="dxa"/>
              </w:tblCellMar>
            </w:tblPr>
            <w:tblGrid>
              <w:gridCol w:w="1741"/>
              <w:gridCol w:w="3636"/>
              <w:gridCol w:w="3640"/>
            </w:tblGrid>
            <w:tr w14:paraId="4C201B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965" w:type="pct"/>
                  <w:vMerge w:val="restart"/>
                  <w:vAlign w:val="center"/>
                </w:tcPr>
                <w:p w14:paraId="7A585E76">
                  <w:pPr>
                    <w:pStyle w:val="80"/>
                    <w:rPr>
                      <w:color w:val="auto"/>
                    </w:rPr>
                  </w:pPr>
                  <w:r>
                    <w:rPr>
                      <w:color w:val="auto"/>
                    </w:rPr>
                    <w:t>类别</w:t>
                  </w:r>
                </w:p>
              </w:tc>
              <w:tc>
                <w:tcPr>
                  <w:tcW w:w="4034" w:type="pct"/>
                  <w:gridSpan w:val="2"/>
                  <w:vAlign w:val="center"/>
                </w:tcPr>
                <w:p w14:paraId="567F7DC9">
                  <w:pPr>
                    <w:pStyle w:val="80"/>
                    <w:rPr>
                      <w:color w:val="auto"/>
                    </w:rPr>
                  </w:pPr>
                  <w:r>
                    <w:rPr>
                      <w:color w:val="auto"/>
                    </w:rPr>
                    <w:t>环境噪声标准值（dB（A））</w:t>
                  </w:r>
                </w:p>
              </w:tc>
            </w:tr>
            <w:tr w14:paraId="21DF7C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965" w:type="pct"/>
                  <w:vMerge w:val="continue"/>
                  <w:vAlign w:val="center"/>
                </w:tcPr>
                <w:p w14:paraId="15750D92">
                  <w:pPr>
                    <w:pStyle w:val="80"/>
                    <w:rPr>
                      <w:color w:val="auto"/>
                    </w:rPr>
                  </w:pPr>
                </w:p>
              </w:tc>
              <w:tc>
                <w:tcPr>
                  <w:tcW w:w="2016" w:type="pct"/>
                  <w:vAlign w:val="center"/>
                </w:tcPr>
                <w:p w14:paraId="10C5CE88">
                  <w:pPr>
                    <w:pStyle w:val="80"/>
                    <w:rPr>
                      <w:color w:val="auto"/>
                    </w:rPr>
                  </w:pPr>
                  <w:r>
                    <w:rPr>
                      <w:color w:val="auto"/>
                    </w:rPr>
                    <w:t>昼间</w:t>
                  </w:r>
                </w:p>
              </w:tc>
              <w:tc>
                <w:tcPr>
                  <w:tcW w:w="2017" w:type="pct"/>
                  <w:vAlign w:val="center"/>
                </w:tcPr>
                <w:p w14:paraId="522F6501">
                  <w:pPr>
                    <w:pStyle w:val="80"/>
                    <w:rPr>
                      <w:color w:val="auto"/>
                    </w:rPr>
                  </w:pPr>
                  <w:r>
                    <w:rPr>
                      <w:color w:val="auto"/>
                    </w:rPr>
                    <w:t>夜间</w:t>
                  </w:r>
                </w:p>
              </w:tc>
            </w:tr>
            <w:tr w14:paraId="4A304C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jc w:val="center"/>
              </w:trPr>
              <w:tc>
                <w:tcPr>
                  <w:tcW w:w="965" w:type="pct"/>
                  <w:vAlign w:val="center"/>
                </w:tcPr>
                <w:p w14:paraId="794689A9">
                  <w:pPr>
                    <w:pStyle w:val="80"/>
                    <w:rPr>
                      <w:color w:val="auto"/>
                    </w:rPr>
                  </w:pPr>
                  <w:r>
                    <w:rPr>
                      <w:color w:val="auto"/>
                    </w:rPr>
                    <w:t>2类</w:t>
                  </w:r>
                </w:p>
              </w:tc>
              <w:tc>
                <w:tcPr>
                  <w:tcW w:w="2016" w:type="pct"/>
                  <w:vAlign w:val="center"/>
                </w:tcPr>
                <w:p w14:paraId="3B791BE3">
                  <w:pPr>
                    <w:pStyle w:val="80"/>
                    <w:rPr>
                      <w:color w:val="auto"/>
                    </w:rPr>
                  </w:pPr>
                  <w:r>
                    <w:rPr>
                      <w:color w:val="auto"/>
                    </w:rPr>
                    <w:t>60</w:t>
                  </w:r>
                </w:p>
              </w:tc>
              <w:tc>
                <w:tcPr>
                  <w:tcW w:w="2017" w:type="pct"/>
                  <w:vAlign w:val="center"/>
                </w:tcPr>
                <w:p w14:paraId="10C16AE5">
                  <w:pPr>
                    <w:pStyle w:val="80"/>
                    <w:rPr>
                      <w:color w:val="auto"/>
                    </w:rPr>
                  </w:pPr>
                  <w:r>
                    <w:rPr>
                      <w:color w:val="auto"/>
                    </w:rPr>
                    <w:t>50</w:t>
                  </w:r>
                </w:p>
              </w:tc>
            </w:tr>
          </w:tbl>
          <w:p w14:paraId="438B2DD0">
            <w:pPr>
              <w:pStyle w:val="84"/>
              <w:rPr>
                <w:color w:val="auto"/>
              </w:rPr>
            </w:pPr>
            <w:r>
              <w:rPr>
                <w:color w:val="auto"/>
              </w:rPr>
              <w:t>四、固体废物</w:t>
            </w:r>
          </w:p>
          <w:p w14:paraId="46A56771">
            <w:pPr>
              <w:pStyle w:val="77"/>
              <w:rPr>
                <w:color w:val="auto"/>
              </w:rPr>
            </w:pPr>
            <w:r>
              <w:rPr>
                <w:color w:val="auto"/>
              </w:rPr>
              <w:t>《一般工业固体废物贮存和填埋污染控制标准》（GB18599-2020）；</w:t>
            </w:r>
          </w:p>
          <w:p w14:paraId="27F79CF6">
            <w:pPr>
              <w:pStyle w:val="77"/>
              <w:rPr>
                <w:rFonts w:hint="eastAsia"/>
                <w:color w:val="auto"/>
                <w:lang w:eastAsia="zh-CN"/>
              </w:rPr>
            </w:pPr>
            <w:r>
              <w:rPr>
                <w:color w:val="auto"/>
              </w:rPr>
              <w:t>《固体废物分类与代码</w:t>
            </w:r>
            <w:r>
              <w:rPr>
                <w:rFonts w:hint="eastAsia"/>
                <w:color w:val="auto"/>
                <w:lang w:val="en-US" w:eastAsia="zh-CN"/>
              </w:rPr>
              <w:t>目录</w:t>
            </w:r>
            <w:r>
              <w:rPr>
                <w:color w:val="auto"/>
              </w:rPr>
              <w:t>》</w:t>
            </w:r>
            <w:r>
              <w:rPr>
                <w:rFonts w:hint="eastAsia"/>
                <w:color w:val="auto"/>
                <w:lang w:eastAsia="zh-CN"/>
              </w:rPr>
              <w:t>（</w:t>
            </w:r>
            <w:r>
              <w:rPr>
                <w:rFonts w:hint="eastAsia"/>
                <w:color w:val="auto"/>
                <w:lang w:val="en-US" w:eastAsia="zh-CN"/>
              </w:rPr>
              <w:t>公告2024年第4号</w:t>
            </w:r>
            <w:r>
              <w:rPr>
                <w:rFonts w:hint="eastAsia"/>
                <w:color w:val="auto"/>
                <w:lang w:eastAsia="zh-CN"/>
              </w:rPr>
              <w:t>）；</w:t>
            </w:r>
          </w:p>
          <w:p w14:paraId="339AF316">
            <w:pPr>
              <w:pStyle w:val="77"/>
              <w:rPr>
                <w:color w:val="auto"/>
              </w:rPr>
            </w:pPr>
            <w:r>
              <w:rPr>
                <w:color w:val="auto"/>
              </w:rPr>
              <w:t>《危险废物贮存污染控制标准》（GB18597-20</w:t>
            </w:r>
            <w:r>
              <w:rPr>
                <w:rFonts w:hint="eastAsia"/>
                <w:color w:val="auto"/>
                <w:lang w:val="en-US" w:eastAsia="zh-CN"/>
              </w:rPr>
              <w:t>23</w:t>
            </w:r>
            <w:r>
              <w:rPr>
                <w:color w:val="auto"/>
              </w:rPr>
              <w:t>）。</w:t>
            </w:r>
          </w:p>
        </w:tc>
      </w:tr>
      <w:tr w14:paraId="6A2F61B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740" w:hRule="atLeast"/>
          <w:jc w:val="center"/>
        </w:trPr>
        <w:tc>
          <w:tcPr>
            <w:tcW w:w="699" w:type="dxa"/>
            <w:vAlign w:val="center"/>
          </w:tcPr>
          <w:p w14:paraId="086ACAD2">
            <w:pPr>
              <w:jc w:val="center"/>
              <w:rPr>
                <w:b/>
                <w:bCs/>
                <w:color w:val="auto"/>
                <w:sz w:val="24"/>
              </w:rPr>
            </w:pPr>
            <w:r>
              <w:rPr>
                <w:b/>
                <w:bCs/>
                <w:color w:val="auto"/>
                <w:sz w:val="24"/>
              </w:rPr>
              <w:t>总量控制指标</w:t>
            </w:r>
          </w:p>
        </w:tc>
        <w:tc>
          <w:tcPr>
            <w:tcW w:w="7588" w:type="dxa"/>
            <w:vAlign w:val="center"/>
          </w:tcPr>
          <w:p w14:paraId="0251031C">
            <w:pPr>
              <w:pStyle w:val="78"/>
              <w:rPr>
                <w:color w:val="auto"/>
              </w:rPr>
            </w:pPr>
            <w:r>
              <w:rPr>
                <w:color w:val="auto"/>
              </w:rPr>
              <w:t>表3-</w:t>
            </w:r>
            <w:r>
              <w:rPr>
                <w:rFonts w:hint="eastAsia"/>
                <w:color w:val="auto"/>
                <w:lang w:val="en-US" w:eastAsia="zh-CN"/>
              </w:rPr>
              <w:t>10</w:t>
            </w:r>
            <w:r>
              <w:rPr>
                <w:color w:val="auto"/>
              </w:rPr>
              <w:t xml:space="preserve"> 本项目污染物排放情况</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54"/>
              <w:gridCol w:w="3209"/>
              <w:gridCol w:w="2327"/>
              <w:gridCol w:w="2327"/>
            </w:tblGrid>
            <w:tr w14:paraId="370AC4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jc w:val="center"/>
              </w:trPr>
              <w:tc>
                <w:tcPr>
                  <w:tcW w:w="2419" w:type="pct"/>
                  <w:gridSpan w:val="2"/>
                  <w:vAlign w:val="center"/>
                </w:tcPr>
                <w:p w14:paraId="5CE70C58">
                  <w:pPr>
                    <w:pStyle w:val="54"/>
                    <w:rPr>
                      <w:rFonts w:cs="Times New Roman"/>
                      <w:b/>
                      <w:bCs/>
                      <w:color w:val="auto"/>
                      <w:szCs w:val="21"/>
                    </w:rPr>
                  </w:pPr>
                  <w:r>
                    <w:rPr>
                      <w:rFonts w:cs="Times New Roman"/>
                      <w:b/>
                      <w:bCs/>
                      <w:color w:val="auto"/>
                      <w:szCs w:val="21"/>
                    </w:rPr>
                    <w:t>污染物名称</w:t>
                  </w:r>
                </w:p>
              </w:tc>
              <w:tc>
                <w:tcPr>
                  <w:tcW w:w="1290" w:type="pct"/>
                  <w:vAlign w:val="center"/>
                </w:tcPr>
                <w:p w14:paraId="40DEB02E">
                  <w:pPr>
                    <w:pStyle w:val="54"/>
                    <w:rPr>
                      <w:rFonts w:cs="Times New Roman"/>
                      <w:b/>
                      <w:bCs/>
                      <w:color w:val="auto"/>
                      <w:szCs w:val="21"/>
                    </w:rPr>
                  </w:pPr>
                  <w:r>
                    <w:rPr>
                      <w:rFonts w:cs="Times New Roman"/>
                      <w:b/>
                      <w:bCs/>
                      <w:color w:val="auto"/>
                      <w:szCs w:val="21"/>
                    </w:rPr>
                    <w:t>预测排放量（t/a）</w:t>
                  </w:r>
                </w:p>
              </w:tc>
              <w:tc>
                <w:tcPr>
                  <w:tcW w:w="1290" w:type="pct"/>
                  <w:vAlign w:val="center"/>
                </w:tcPr>
                <w:p w14:paraId="65586ED8">
                  <w:pPr>
                    <w:pStyle w:val="54"/>
                    <w:rPr>
                      <w:rFonts w:cs="Times New Roman"/>
                      <w:b/>
                      <w:bCs/>
                      <w:color w:val="auto"/>
                      <w:szCs w:val="21"/>
                    </w:rPr>
                  </w:pPr>
                  <w:r>
                    <w:rPr>
                      <w:rFonts w:cs="Times New Roman"/>
                      <w:b/>
                      <w:bCs/>
                      <w:color w:val="auto"/>
                      <w:szCs w:val="21"/>
                    </w:rPr>
                    <w:t>核定排放量（t/a）</w:t>
                  </w:r>
                </w:p>
              </w:tc>
            </w:tr>
            <w:tr w14:paraId="149FD5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0" w:hRule="atLeast"/>
                <w:jc w:val="center"/>
              </w:trPr>
              <w:tc>
                <w:tcPr>
                  <w:tcW w:w="640" w:type="pct"/>
                  <w:vMerge w:val="restart"/>
                  <w:vAlign w:val="center"/>
                </w:tcPr>
                <w:p w14:paraId="0F21D213">
                  <w:pPr>
                    <w:pStyle w:val="54"/>
                    <w:rPr>
                      <w:rFonts w:cs="Times New Roman"/>
                      <w:color w:val="auto"/>
                      <w:szCs w:val="21"/>
                    </w:rPr>
                  </w:pPr>
                  <w:r>
                    <w:rPr>
                      <w:rFonts w:cs="Times New Roman"/>
                      <w:color w:val="auto"/>
                      <w:szCs w:val="21"/>
                    </w:rPr>
                    <w:t>废气</w:t>
                  </w:r>
                </w:p>
              </w:tc>
              <w:tc>
                <w:tcPr>
                  <w:tcW w:w="1778" w:type="pct"/>
                  <w:vAlign w:val="center"/>
                </w:tcPr>
                <w:p w14:paraId="3AC9C73F">
                  <w:pPr>
                    <w:pStyle w:val="54"/>
                    <w:rPr>
                      <w:rFonts w:cs="Times New Roman"/>
                      <w:color w:val="auto"/>
                      <w:szCs w:val="21"/>
                    </w:rPr>
                  </w:pPr>
                  <w:r>
                    <w:rPr>
                      <w:rFonts w:cs="Times New Roman"/>
                      <w:color w:val="auto"/>
                      <w:szCs w:val="21"/>
                    </w:rPr>
                    <w:t>颗粒物</w:t>
                  </w:r>
                </w:p>
              </w:tc>
              <w:tc>
                <w:tcPr>
                  <w:tcW w:w="1290" w:type="pct"/>
                  <w:vAlign w:val="center"/>
                </w:tcPr>
                <w:p w14:paraId="4A3C1F1A">
                  <w:pPr>
                    <w:jc w:val="center"/>
                    <w:rPr>
                      <w:rFonts w:hint="default" w:eastAsia="宋体"/>
                      <w:color w:val="auto"/>
                      <w:kern w:val="0"/>
                      <w:szCs w:val="21"/>
                      <w:lang w:val="en-US" w:eastAsia="zh-CN"/>
                    </w:rPr>
                  </w:pPr>
                  <w:r>
                    <w:rPr>
                      <w:color w:val="auto"/>
                      <w:kern w:val="0"/>
                      <w:szCs w:val="20"/>
                    </w:rPr>
                    <w:t>0.00</w:t>
                  </w:r>
                  <w:r>
                    <w:rPr>
                      <w:rFonts w:hint="eastAsia"/>
                      <w:color w:val="auto"/>
                      <w:kern w:val="0"/>
                      <w:szCs w:val="20"/>
                      <w:lang w:val="en-US" w:eastAsia="zh-CN"/>
                    </w:rPr>
                    <w:t>01</w:t>
                  </w:r>
                </w:p>
              </w:tc>
              <w:tc>
                <w:tcPr>
                  <w:tcW w:w="2040" w:type="dxa"/>
                  <w:vAlign w:val="center"/>
                </w:tcPr>
                <w:p w14:paraId="734D0470">
                  <w:pPr>
                    <w:jc w:val="center"/>
                    <w:rPr>
                      <w:rFonts w:hint="eastAsia" w:ascii="Times New Roman" w:hAnsi="Times New Roman" w:eastAsia="宋体" w:cs="Times New Roman"/>
                      <w:color w:val="auto"/>
                      <w:kern w:val="0"/>
                      <w:sz w:val="21"/>
                      <w:szCs w:val="21"/>
                      <w:lang w:val="en-US" w:eastAsia="zh-CN" w:bidi="ar-SA"/>
                    </w:rPr>
                  </w:pPr>
                  <w:r>
                    <w:rPr>
                      <w:color w:val="auto"/>
                      <w:kern w:val="0"/>
                      <w:szCs w:val="20"/>
                    </w:rPr>
                    <w:t>0.00</w:t>
                  </w:r>
                  <w:r>
                    <w:rPr>
                      <w:rFonts w:hint="eastAsia"/>
                      <w:color w:val="auto"/>
                      <w:kern w:val="0"/>
                      <w:szCs w:val="20"/>
                      <w:lang w:val="en-US" w:eastAsia="zh-CN"/>
                    </w:rPr>
                    <w:t>01</w:t>
                  </w:r>
                </w:p>
              </w:tc>
            </w:tr>
            <w:tr w14:paraId="53BC8F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9" w:hRule="atLeast"/>
                <w:jc w:val="center"/>
              </w:trPr>
              <w:tc>
                <w:tcPr>
                  <w:tcW w:w="640" w:type="pct"/>
                  <w:vMerge w:val="continue"/>
                  <w:vAlign w:val="center"/>
                </w:tcPr>
                <w:p w14:paraId="3F957D73">
                  <w:pPr>
                    <w:pStyle w:val="54"/>
                    <w:rPr>
                      <w:rFonts w:cs="Times New Roman"/>
                      <w:color w:val="auto"/>
                      <w:szCs w:val="21"/>
                    </w:rPr>
                  </w:pPr>
                </w:p>
              </w:tc>
              <w:tc>
                <w:tcPr>
                  <w:tcW w:w="1778" w:type="pct"/>
                  <w:vAlign w:val="center"/>
                </w:tcPr>
                <w:p w14:paraId="64D83A6F">
                  <w:pPr>
                    <w:pStyle w:val="54"/>
                    <w:rPr>
                      <w:rFonts w:cs="Times New Roman"/>
                      <w:color w:val="auto"/>
                      <w:szCs w:val="21"/>
                    </w:rPr>
                  </w:pPr>
                  <w:r>
                    <w:rPr>
                      <w:rFonts w:hint="eastAsia" w:cs="Times New Roman"/>
                      <w:color w:val="auto"/>
                      <w:szCs w:val="21"/>
                    </w:rPr>
                    <w:t>V</w:t>
                  </w:r>
                  <w:r>
                    <w:rPr>
                      <w:rFonts w:cs="Times New Roman"/>
                      <w:color w:val="auto"/>
                      <w:szCs w:val="21"/>
                    </w:rPr>
                    <w:t>OCs</w:t>
                  </w:r>
                </w:p>
              </w:tc>
              <w:tc>
                <w:tcPr>
                  <w:tcW w:w="1290" w:type="pct"/>
                  <w:vAlign w:val="center"/>
                </w:tcPr>
                <w:p w14:paraId="3F68CE36">
                  <w:pPr>
                    <w:jc w:val="center"/>
                    <w:rPr>
                      <w:rFonts w:hint="default" w:eastAsia="宋体"/>
                      <w:color w:val="auto"/>
                      <w:kern w:val="0"/>
                      <w:szCs w:val="21"/>
                      <w:lang w:val="en-US" w:eastAsia="zh-CN"/>
                    </w:rPr>
                  </w:pPr>
                  <w:r>
                    <w:rPr>
                      <w:color w:val="auto"/>
                      <w:kern w:val="0"/>
                      <w:szCs w:val="20"/>
                    </w:rPr>
                    <w:t>0.</w:t>
                  </w:r>
                  <w:r>
                    <w:rPr>
                      <w:rFonts w:hint="eastAsia"/>
                      <w:color w:val="auto"/>
                      <w:kern w:val="0"/>
                      <w:szCs w:val="20"/>
                      <w:lang w:val="en-US" w:eastAsia="zh-CN"/>
                    </w:rPr>
                    <w:t>12</w:t>
                  </w:r>
                </w:p>
              </w:tc>
              <w:tc>
                <w:tcPr>
                  <w:tcW w:w="2040" w:type="dxa"/>
                  <w:vAlign w:val="center"/>
                </w:tcPr>
                <w:p w14:paraId="68C57614">
                  <w:pPr>
                    <w:jc w:val="center"/>
                    <w:rPr>
                      <w:rFonts w:hint="default" w:ascii="Times New Roman" w:hAnsi="Times New Roman" w:eastAsia="宋体" w:cs="Times New Roman"/>
                      <w:color w:val="auto"/>
                      <w:kern w:val="0"/>
                      <w:sz w:val="21"/>
                      <w:szCs w:val="21"/>
                      <w:lang w:val="en-US" w:eastAsia="zh-CN" w:bidi="ar-SA"/>
                    </w:rPr>
                  </w:pPr>
                  <w:r>
                    <w:rPr>
                      <w:color w:val="auto"/>
                      <w:kern w:val="0"/>
                      <w:szCs w:val="20"/>
                    </w:rPr>
                    <w:t>0.</w:t>
                  </w:r>
                  <w:r>
                    <w:rPr>
                      <w:rFonts w:hint="eastAsia"/>
                      <w:color w:val="auto"/>
                      <w:kern w:val="0"/>
                      <w:szCs w:val="20"/>
                      <w:lang w:val="en-US" w:eastAsia="zh-CN"/>
                    </w:rPr>
                    <w:t>12</w:t>
                  </w:r>
                </w:p>
              </w:tc>
            </w:tr>
          </w:tbl>
          <w:p w14:paraId="0F743B23">
            <w:pPr>
              <w:pStyle w:val="82"/>
              <w:rPr>
                <w:b/>
                <w:bCs/>
                <w:color w:val="auto"/>
              </w:rPr>
            </w:pPr>
          </w:p>
        </w:tc>
      </w:tr>
    </w:tbl>
    <w:p w14:paraId="57D913E2">
      <w:pPr>
        <w:pStyle w:val="17"/>
        <w:jc w:val="center"/>
        <w:outlineLvl w:val="0"/>
        <w:rPr>
          <w:rFonts w:ascii="Times New Roman" w:hAnsi="Times New Roman"/>
          <w:snapToGrid w:val="0"/>
          <w:color w:val="auto"/>
          <w:sz w:val="36"/>
          <w:szCs w:val="36"/>
        </w:rPr>
        <w:sectPr>
          <w:pgSz w:w="11907" w:h="16840"/>
          <w:pgMar w:top="1440" w:right="1800" w:bottom="1440" w:left="1800" w:header="851" w:footer="851" w:gutter="0"/>
          <w:pgBorders>
            <w:top w:val="none" w:sz="0" w:space="0"/>
            <w:left w:val="none" w:sz="0" w:space="0"/>
            <w:bottom w:val="none" w:sz="0" w:space="0"/>
            <w:right w:val="none" w:sz="0" w:space="0"/>
          </w:pgBorders>
          <w:cols w:space="720" w:num="1"/>
          <w:docGrid w:linePitch="312" w:charSpace="0"/>
        </w:sectPr>
      </w:pPr>
    </w:p>
    <w:p w14:paraId="05C475DE">
      <w:pPr>
        <w:pStyle w:val="17"/>
        <w:adjustRightInd w:val="0"/>
        <w:snapToGrid w:val="0"/>
        <w:spacing w:before="0" w:beforeAutospacing="0" w:after="0" w:afterAutospacing="0"/>
        <w:outlineLvl w:val="0"/>
        <w:rPr>
          <w:rFonts w:ascii="Times New Roman" w:hAnsi="Times New Roman"/>
          <w:b/>
          <w:bCs/>
          <w:snapToGrid w:val="0"/>
          <w:color w:val="auto"/>
          <w:sz w:val="30"/>
          <w:szCs w:val="30"/>
        </w:rPr>
      </w:pPr>
      <w:bookmarkStart w:id="11" w:name="_Toc27651"/>
      <w:r>
        <w:rPr>
          <w:rFonts w:ascii="Times New Roman" w:hAnsi="Times New Roman"/>
          <w:b/>
          <w:bCs/>
          <w:snapToGrid w:val="0"/>
          <w:color w:val="auto"/>
          <w:sz w:val="30"/>
          <w:szCs w:val="30"/>
        </w:rPr>
        <w:t>四、主要环境影响和保护措施</w:t>
      </w:r>
      <w:bookmarkEnd w:id="11"/>
    </w:p>
    <w:tbl>
      <w:tblPr>
        <w:tblStyle w:val="20"/>
        <w:tblW w:w="886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2"/>
        <w:gridCol w:w="8116"/>
      </w:tblGrid>
      <w:tr w14:paraId="252F4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94" w:hRule="atLeast"/>
          <w:jc w:val="center"/>
        </w:trPr>
        <w:tc>
          <w:tcPr>
            <w:tcW w:w="752" w:type="dxa"/>
            <w:vAlign w:val="center"/>
          </w:tcPr>
          <w:p w14:paraId="08ACBEEA">
            <w:pPr>
              <w:pStyle w:val="17"/>
              <w:jc w:val="center"/>
              <w:rPr>
                <w:rFonts w:ascii="Times New Roman" w:hAnsi="Times New Roman"/>
                <w:snapToGrid w:val="0"/>
                <w:color w:val="auto"/>
                <w:sz w:val="36"/>
                <w:szCs w:val="36"/>
              </w:rPr>
            </w:pPr>
            <w:r>
              <w:rPr>
                <w:rFonts w:ascii="Times New Roman" w:hAnsi="Times New Roman"/>
                <w:b/>
                <w:bCs/>
                <w:color w:val="auto"/>
              </w:rPr>
              <w:t>施工期环境保护措施</w:t>
            </w:r>
          </w:p>
        </w:tc>
        <w:tc>
          <w:tcPr>
            <w:tcW w:w="8116" w:type="dxa"/>
            <w:vAlign w:val="center"/>
          </w:tcPr>
          <w:p w14:paraId="4B9CFB82">
            <w:pPr>
              <w:pStyle w:val="77"/>
              <w:rPr>
                <w:snapToGrid w:val="0"/>
                <w:color w:val="auto"/>
                <w:sz w:val="36"/>
                <w:szCs w:val="36"/>
              </w:rPr>
            </w:pPr>
            <w:r>
              <w:rPr>
                <w:color w:val="auto"/>
              </w:rPr>
              <w:t>本项目利用现有厂房及建筑进行建设，施工期主要</w:t>
            </w:r>
            <w:r>
              <w:rPr>
                <w:rFonts w:hint="eastAsia"/>
                <w:color w:val="auto"/>
                <w:lang w:eastAsia="zh-CN"/>
              </w:rPr>
              <w:t>为</w:t>
            </w:r>
            <w:r>
              <w:rPr>
                <w:rFonts w:hint="eastAsia"/>
                <w:color w:val="auto"/>
              </w:rPr>
              <w:t>环保设施安装，不涉及土建工程。</w:t>
            </w:r>
            <w:r>
              <w:rPr>
                <w:color w:val="auto"/>
              </w:rPr>
              <w:t>环保设施安装过程中产生的噪音，</w:t>
            </w:r>
            <w:r>
              <w:rPr>
                <w:rFonts w:hint="eastAsia"/>
                <w:color w:val="auto"/>
              </w:rPr>
              <w:t>选用低噪声设备，对声环境影响较小。</w:t>
            </w:r>
            <w:r>
              <w:rPr>
                <w:color w:val="auto"/>
              </w:rPr>
              <w:t>随着施工期的结束，产生的噪音对环境的影响逐渐减少至消失，故不对施工期展开具体分析。</w:t>
            </w:r>
          </w:p>
        </w:tc>
      </w:tr>
      <w:tr w14:paraId="207A04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34" w:hRule="atLeast"/>
          <w:jc w:val="center"/>
        </w:trPr>
        <w:tc>
          <w:tcPr>
            <w:tcW w:w="752" w:type="dxa"/>
            <w:vAlign w:val="center"/>
          </w:tcPr>
          <w:p w14:paraId="48B1DA82">
            <w:pPr>
              <w:pStyle w:val="17"/>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运营</w:t>
            </w:r>
          </w:p>
          <w:p w14:paraId="7A56D9E4">
            <w:pPr>
              <w:pStyle w:val="17"/>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期环</w:t>
            </w:r>
          </w:p>
          <w:p w14:paraId="7D1CCB76">
            <w:pPr>
              <w:pStyle w:val="17"/>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境影</w:t>
            </w:r>
          </w:p>
          <w:p w14:paraId="1AEFD791">
            <w:pPr>
              <w:pStyle w:val="17"/>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响和</w:t>
            </w:r>
          </w:p>
          <w:p w14:paraId="71EBC004">
            <w:pPr>
              <w:pStyle w:val="17"/>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保护</w:t>
            </w:r>
          </w:p>
          <w:p w14:paraId="0D5D5267">
            <w:pPr>
              <w:pStyle w:val="17"/>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措施</w:t>
            </w:r>
          </w:p>
        </w:tc>
        <w:tc>
          <w:tcPr>
            <w:tcW w:w="8116" w:type="dxa"/>
            <w:vAlign w:val="center"/>
          </w:tcPr>
          <w:p w14:paraId="007BE83B">
            <w:pPr>
              <w:pStyle w:val="84"/>
              <w:rPr>
                <w:color w:val="auto"/>
              </w:rPr>
            </w:pPr>
            <w:r>
              <w:rPr>
                <w:color w:val="auto"/>
              </w:rPr>
              <w:t>一、废气环境影响和保护措施</w:t>
            </w:r>
          </w:p>
          <w:p w14:paraId="789307A0">
            <w:pPr>
              <w:pStyle w:val="77"/>
              <w:rPr>
                <w:rFonts w:hint="eastAsia" w:eastAsia="宋体"/>
                <w:color w:val="auto"/>
                <w:lang w:val="en-US" w:eastAsia="zh-CN"/>
              </w:rPr>
            </w:pPr>
            <w:r>
              <w:rPr>
                <w:color w:val="auto"/>
              </w:rPr>
              <w:t>（一）</w:t>
            </w:r>
            <w:r>
              <w:rPr>
                <w:rFonts w:hint="eastAsia"/>
                <w:color w:val="auto"/>
              </w:rPr>
              <w:t>废气污染源源强核算</w:t>
            </w:r>
            <w:r>
              <w:rPr>
                <w:rFonts w:hint="eastAsia"/>
                <w:color w:val="auto"/>
                <w:lang w:val="en-US" w:eastAsia="zh-CN"/>
              </w:rPr>
              <w:t>一览表</w:t>
            </w:r>
          </w:p>
          <w:p w14:paraId="1ECA2316">
            <w:pPr>
              <w:pStyle w:val="77"/>
              <w:rPr>
                <w:color w:val="auto"/>
              </w:rPr>
            </w:pPr>
            <w:r>
              <w:rPr>
                <w:color w:val="auto"/>
              </w:rPr>
              <w:t>项目废气污染源源强核算结果及相关参数一览表见下表4-1。</w:t>
            </w:r>
          </w:p>
        </w:tc>
      </w:tr>
    </w:tbl>
    <w:p w14:paraId="5194C610">
      <w:pPr>
        <w:pStyle w:val="17"/>
        <w:adjustRightInd w:val="0"/>
        <w:snapToGrid w:val="0"/>
        <w:jc w:val="center"/>
        <w:rPr>
          <w:rFonts w:ascii="Times New Roman" w:hAnsi="Times New Roman"/>
          <w:snapToGrid w:val="0"/>
          <w:color w:val="auto"/>
          <w:sz w:val="36"/>
          <w:szCs w:val="36"/>
        </w:rPr>
        <w:sectPr>
          <w:pgSz w:w="11907" w:h="16840"/>
          <w:pgMar w:top="1440" w:right="1800" w:bottom="1440" w:left="1800" w:header="851" w:footer="851" w:gutter="0"/>
          <w:pgBorders>
            <w:top w:val="none" w:sz="0" w:space="0"/>
            <w:left w:val="none" w:sz="0" w:space="0"/>
            <w:bottom w:val="none" w:sz="0" w:space="0"/>
            <w:right w:val="none" w:sz="0" w:space="0"/>
          </w:pgBorders>
          <w:cols w:space="720" w:num="1"/>
          <w:docGrid w:linePitch="312" w:charSpace="0"/>
        </w:sectPr>
      </w:pPr>
    </w:p>
    <w:tbl>
      <w:tblPr>
        <w:tblStyle w:val="2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25"/>
        <w:gridCol w:w="13351"/>
      </w:tblGrid>
      <w:tr w14:paraId="3BD46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12" w:hRule="atLeast"/>
          <w:jc w:val="center"/>
        </w:trPr>
        <w:tc>
          <w:tcPr>
            <w:tcW w:w="704" w:type="dxa"/>
            <w:vAlign w:val="center"/>
          </w:tcPr>
          <w:p w14:paraId="0C5F65CF">
            <w:pPr>
              <w:pStyle w:val="17"/>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运营</w:t>
            </w:r>
          </w:p>
          <w:p w14:paraId="1768DF24">
            <w:pPr>
              <w:pStyle w:val="17"/>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期环</w:t>
            </w:r>
          </w:p>
          <w:p w14:paraId="1FC1C678">
            <w:pPr>
              <w:pStyle w:val="17"/>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境影</w:t>
            </w:r>
          </w:p>
          <w:p w14:paraId="6724FBE2">
            <w:pPr>
              <w:pStyle w:val="17"/>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响和</w:t>
            </w:r>
          </w:p>
          <w:p w14:paraId="1B55E119">
            <w:pPr>
              <w:pStyle w:val="17"/>
              <w:adjustRightInd w:val="0"/>
              <w:snapToGrid w:val="0"/>
              <w:spacing w:before="0" w:beforeAutospacing="0" w:after="0" w:afterAutospacing="0"/>
              <w:jc w:val="center"/>
              <w:rPr>
                <w:rFonts w:ascii="Times New Roman" w:hAnsi="Times New Roman"/>
                <w:b/>
                <w:bCs/>
                <w:color w:val="auto"/>
              </w:rPr>
            </w:pPr>
            <w:r>
              <w:rPr>
                <w:rFonts w:ascii="Times New Roman" w:hAnsi="Times New Roman"/>
                <w:b/>
                <w:bCs/>
                <w:color w:val="auto"/>
              </w:rPr>
              <w:t>保护</w:t>
            </w:r>
          </w:p>
          <w:p w14:paraId="5A41949D">
            <w:pPr>
              <w:pStyle w:val="17"/>
              <w:adjustRightInd w:val="0"/>
              <w:snapToGrid w:val="0"/>
              <w:spacing w:before="0" w:beforeAutospacing="0" w:after="0" w:afterAutospacing="0"/>
              <w:jc w:val="center"/>
              <w:rPr>
                <w:rFonts w:ascii="Times New Roman" w:hAnsi="Times New Roman"/>
                <w:snapToGrid w:val="0"/>
                <w:color w:val="auto"/>
                <w:sz w:val="36"/>
                <w:szCs w:val="36"/>
              </w:rPr>
            </w:pPr>
            <w:r>
              <w:rPr>
                <w:rFonts w:ascii="Times New Roman" w:hAnsi="Times New Roman"/>
                <w:b/>
                <w:bCs/>
                <w:color w:val="auto"/>
              </w:rPr>
              <w:t>措施</w:t>
            </w:r>
          </w:p>
        </w:tc>
        <w:tc>
          <w:tcPr>
            <w:tcW w:w="8164" w:type="dxa"/>
            <w:vAlign w:val="center"/>
          </w:tcPr>
          <w:p w14:paraId="7860196A">
            <w:pPr>
              <w:pStyle w:val="78"/>
              <w:rPr>
                <w:color w:val="auto"/>
              </w:rPr>
            </w:pPr>
            <w:r>
              <w:rPr>
                <w:color w:val="auto"/>
              </w:rPr>
              <w:t>表4-1废气污染源源强核算结果及相关参数一览表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2"/>
              <w:gridCol w:w="438"/>
              <w:gridCol w:w="930"/>
              <w:gridCol w:w="776"/>
              <w:gridCol w:w="537"/>
              <w:gridCol w:w="1031"/>
              <w:gridCol w:w="1195"/>
              <w:gridCol w:w="1010"/>
              <w:gridCol w:w="1525"/>
              <w:gridCol w:w="725"/>
              <w:gridCol w:w="585"/>
              <w:gridCol w:w="1031"/>
              <w:gridCol w:w="1196"/>
              <w:gridCol w:w="1075"/>
              <w:gridCol w:w="619"/>
            </w:tblGrid>
            <w:tr w14:paraId="5E09B0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62" w:type="dxa"/>
                  <w:vMerge w:val="restart"/>
                  <w:shd w:val="clear" w:color="auto" w:fill="auto"/>
                  <w:vAlign w:val="center"/>
                </w:tcPr>
                <w:p w14:paraId="0F9445D6">
                  <w:pPr>
                    <w:pStyle w:val="80"/>
                    <w:rPr>
                      <w:color w:val="auto"/>
                    </w:rPr>
                  </w:pPr>
                  <w:r>
                    <w:rPr>
                      <w:color w:val="auto"/>
                    </w:rPr>
                    <w:t>工序/生产线</w:t>
                  </w:r>
                </w:p>
              </w:tc>
              <w:tc>
                <w:tcPr>
                  <w:tcW w:w="438" w:type="dxa"/>
                  <w:vMerge w:val="restart"/>
                  <w:shd w:val="clear" w:color="auto" w:fill="auto"/>
                  <w:vAlign w:val="center"/>
                </w:tcPr>
                <w:p w14:paraId="1A22CCAD">
                  <w:pPr>
                    <w:pStyle w:val="80"/>
                    <w:rPr>
                      <w:color w:val="auto"/>
                    </w:rPr>
                  </w:pPr>
                  <w:r>
                    <w:rPr>
                      <w:color w:val="auto"/>
                    </w:rPr>
                    <w:t>装置</w:t>
                  </w:r>
                </w:p>
              </w:tc>
              <w:tc>
                <w:tcPr>
                  <w:tcW w:w="930" w:type="dxa"/>
                  <w:vMerge w:val="restart"/>
                  <w:shd w:val="clear" w:color="auto" w:fill="auto"/>
                  <w:vAlign w:val="center"/>
                </w:tcPr>
                <w:p w14:paraId="793F56B1">
                  <w:pPr>
                    <w:pStyle w:val="80"/>
                    <w:rPr>
                      <w:color w:val="auto"/>
                    </w:rPr>
                  </w:pPr>
                  <w:r>
                    <w:rPr>
                      <w:color w:val="auto"/>
                    </w:rPr>
                    <w:t>污染源</w:t>
                  </w:r>
                </w:p>
              </w:tc>
              <w:tc>
                <w:tcPr>
                  <w:tcW w:w="776" w:type="dxa"/>
                  <w:vMerge w:val="restart"/>
                  <w:shd w:val="clear" w:color="auto" w:fill="auto"/>
                  <w:vAlign w:val="center"/>
                </w:tcPr>
                <w:p w14:paraId="58A26B6B">
                  <w:pPr>
                    <w:pStyle w:val="80"/>
                    <w:rPr>
                      <w:color w:val="auto"/>
                    </w:rPr>
                  </w:pPr>
                  <w:r>
                    <w:rPr>
                      <w:color w:val="auto"/>
                    </w:rPr>
                    <w:t>污染物</w:t>
                  </w:r>
                </w:p>
              </w:tc>
              <w:tc>
                <w:tcPr>
                  <w:tcW w:w="3604" w:type="dxa"/>
                  <w:gridSpan w:val="4"/>
                  <w:shd w:val="clear" w:color="auto" w:fill="auto"/>
                  <w:vAlign w:val="center"/>
                </w:tcPr>
                <w:p w14:paraId="60861D72">
                  <w:pPr>
                    <w:pStyle w:val="80"/>
                    <w:rPr>
                      <w:color w:val="auto"/>
                    </w:rPr>
                  </w:pPr>
                  <w:r>
                    <w:rPr>
                      <w:color w:val="auto"/>
                    </w:rPr>
                    <w:t>污染物产生</w:t>
                  </w:r>
                </w:p>
              </w:tc>
              <w:tc>
                <w:tcPr>
                  <w:tcW w:w="2250" w:type="dxa"/>
                  <w:gridSpan w:val="2"/>
                  <w:shd w:val="clear" w:color="auto" w:fill="auto"/>
                  <w:vAlign w:val="center"/>
                </w:tcPr>
                <w:p w14:paraId="23E2F706">
                  <w:pPr>
                    <w:pStyle w:val="80"/>
                    <w:rPr>
                      <w:color w:val="auto"/>
                    </w:rPr>
                  </w:pPr>
                  <w:r>
                    <w:rPr>
                      <w:color w:val="auto"/>
                    </w:rPr>
                    <w:t>治理措施</w:t>
                  </w:r>
                </w:p>
              </w:tc>
              <w:tc>
                <w:tcPr>
                  <w:tcW w:w="3828" w:type="dxa"/>
                  <w:gridSpan w:val="4"/>
                  <w:shd w:val="clear" w:color="auto" w:fill="auto"/>
                  <w:vAlign w:val="center"/>
                </w:tcPr>
                <w:p w14:paraId="6512EFDF">
                  <w:pPr>
                    <w:pStyle w:val="80"/>
                    <w:rPr>
                      <w:color w:val="auto"/>
                    </w:rPr>
                  </w:pPr>
                  <w:r>
                    <w:rPr>
                      <w:color w:val="auto"/>
                    </w:rPr>
                    <w:t>污染物排放</w:t>
                  </w:r>
                </w:p>
              </w:tc>
              <w:tc>
                <w:tcPr>
                  <w:tcW w:w="618" w:type="dxa"/>
                  <w:vMerge w:val="restart"/>
                  <w:shd w:val="clear" w:color="auto" w:fill="auto"/>
                  <w:vAlign w:val="center"/>
                </w:tcPr>
                <w:p w14:paraId="4312E8DD">
                  <w:pPr>
                    <w:pStyle w:val="80"/>
                    <w:rPr>
                      <w:color w:val="auto"/>
                    </w:rPr>
                  </w:pPr>
                  <w:r>
                    <w:rPr>
                      <w:color w:val="auto"/>
                    </w:rPr>
                    <w:t>排放时间h</w:t>
                  </w:r>
                </w:p>
              </w:tc>
            </w:tr>
            <w:tr w14:paraId="2906119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62" w:type="dxa"/>
                  <w:vMerge w:val="continue"/>
                  <w:vAlign w:val="center"/>
                </w:tcPr>
                <w:p w14:paraId="27CBB822">
                  <w:pPr>
                    <w:pStyle w:val="80"/>
                    <w:rPr>
                      <w:color w:val="auto"/>
                    </w:rPr>
                  </w:pPr>
                </w:p>
              </w:tc>
              <w:tc>
                <w:tcPr>
                  <w:tcW w:w="438" w:type="dxa"/>
                  <w:vMerge w:val="continue"/>
                  <w:vAlign w:val="center"/>
                </w:tcPr>
                <w:p w14:paraId="1078B042">
                  <w:pPr>
                    <w:pStyle w:val="80"/>
                    <w:rPr>
                      <w:color w:val="auto"/>
                    </w:rPr>
                  </w:pPr>
                </w:p>
              </w:tc>
              <w:tc>
                <w:tcPr>
                  <w:tcW w:w="930" w:type="dxa"/>
                  <w:vMerge w:val="continue"/>
                  <w:vAlign w:val="center"/>
                </w:tcPr>
                <w:p w14:paraId="37E36DF5">
                  <w:pPr>
                    <w:pStyle w:val="80"/>
                    <w:rPr>
                      <w:color w:val="auto"/>
                    </w:rPr>
                  </w:pPr>
                </w:p>
              </w:tc>
              <w:tc>
                <w:tcPr>
                  <w:tcW w:w="776" w:type="dxa"/>
                  <w:vMerge w:val="continue"/>
                  <w:vAlign w:val="center"/>
                </w:tcPr>
                <w:p w14:paraId="1B8AB699">
                  <w:pPr>
                    <w:pStyle w:val="80"/>
                    <w:rPr>
                      <w:color w:val="auto"/>
                    </w:rPr>
                  </w:pPr>
                </w:p>
              </w:tc>
              <w:tc>
                <w:tcPr>
                  <w:tcW w:w="537" w:type="dxa"/>
                  <w:vMerge w:val="restart"/>
                  <w:shd w:val="clear" w:color="auto" w:fill="auto"/>
                  <w:vAlign w:val="center"/>
                </w:tcPr>
                <w:p w14:paraId="7E76390E">
                  <w:pPr>
                    <w:pStyle w:val="80"/>
                    <w:rPr>
                      <w:color w:val="auto"/>
                    </w:rPr>
                  </w:pPr>
                  <w:r>
                    <w:rPr>
                      <w:color w:val="auto"/>
                    </w:rPr>
                    <w:t>核算方法</w:t>
                  </w:r>
                </w:p>
              </w:tc>
              <w:tc>
                <w:tcPr>
                  <w:tcW w:w="980" w:type="dxa"/>
                  <w:vMerge w:val="restart"/>
                  <w:shd w:val="clear" w:color="auto" w:fill="auto"/>
                  <w:vAlign w:val="center"/>
                </w:tcPr>
                <w:p w14:paraId="55421348">
                  <w:pPr>
                    <w:pStyle w:val="80"/>
                    <w:rPr>
                      <w:color w:val="auto"/>
                    </w:rPr>
                  </w:pPr>
                  <w:r>
                    <w:rPr>
                      <w:color w:val="auto"/>
                    </w:rPr>
                    <w:t>烟气量/（m</w:t>
                  </w:r>
                  <w:r>
                    <w:rPr>
                      <w:color w:val="auto"/>
                      <w:vertAlign w:val="superscript"/>
                    </w:rPr>
                    <w:t>3</w:t>
                  </w:r>
                  <w:r>
                    <w:rPr>
                      <w:color w:val="auto"/>
                    </w:rPr>
                    <w:t>/h）</w:t>
                  </w:r>
                </w:p>
              </w:tc>
              <w:tc>
                <w:tcPr>
                  <w:tcW w:w="1129" w:type="dxa"/>
                  <w:vMerge w:val="restart"/>
                  <w:shd w:val="clear" w:color="auto" w:fill="auto"/>
                  <w:vAlign w:val="center"/>
                </w:tcPr>
                <w:p w14:paraId="7F6DC867">
                  <w:pPr>
                    <w:pStyle w:val="80"/>
                    <w:rPr>
                      <w:color w:val="auto"/>
                    </w:rPr>
                  </w:pPr>
                  <w:r>
                    <w:rPr>
                      <w:color w:val="auto"/>
                    </w:rPr>
                    <w:t>质量浓度/（mg/m</w:t>
                  </w:r>
                  <w:r>
                    <w:rPr>
                      <w:color w:val="auto"/>
                      <w:vertAlign w:val="superscript"/>
                    </w:rPr>
                    <w:t>3</w:t>
                  </w:r>
                  <w:r>
                    <w:rPr>
                      <w:color w:val="auto"/>
                    </w:rPr>
                    <w:t>）</w:t>
                  </w:r>
                </w:p>
              </w:tc>
              <w:tc>
                <w:tcPr>
                  <w:tcW w:w="958" w:type="dxa"/>
                  <w:vMerge w:val="restart"/>
                  <w:shd w:val="clear" w:color="auto" w:fill="auto"/>
                  <w:vAlign w:val="center"/>
                </w:tcPr>
                <w:p w14:paraId="2069701F">
                  <w:pPr>
                    <w:pStyle w:val="80"/>
                    <w:rPr>
                      <w:color w:val="auto"/>
                    </w:rPr>
                  </w:pPr>
                  <w:r>
                    <w:rPr>
                      <w:color w:val="auto"/>
                    </w:rPr>
                    <w:t>产生量/（kg/h）</w:t>
                  </w:r>
                </w:p>
              </w:tc>
              <w:tc>
                <w:tcPr>
                  <w:tcW w:w="1525" w:type="dxa"/>
                  <w:vMerge w:val="restart"/>
                  <w:shd w:val="clear" w:color="auto" w:fill="auto"/>
                  <w:vAlign w:val="center"/>
                </w:tcPr>
                <w:p w14:paraId="2B09B4FB">
                  <w:pPr>
                    <w:pStyle w:val="80"/>
                    <w:rPr>
                      <w:color w:val="auto"/>
                    </w:rPr>
                  </w:pPr>
                  <w:r>
                    <w:rPr>
                      <w:color w:val="auto"/>
                    </w:rPr>
                    <w:t>工艺</w:t>
                  </w:r>
                </w:p>
              </w:tc>
              <w:tc>
                <w:tcPr>
                  <w:tcW w:w="725" w:type="dxa"/>
                  <w:vMerge w:val="restart"/>
                  <w:shd w:val="clear" w:color="auto" w:fill="auto"/>
                  <w:vAlign w:val="center"/>
                </w:tcPr>
                <w:p w14:paraId="52A62F46">
                  <w:pPr>
                    <w:pStyle w:val="80"/>
                    <w:rPr>
                      <w:color w:val="auto"/>
                    </w:rPr>
                  </w:pPr>
                  <w:r>
                    <w:rPr>
                      <w:color w:val="auto"/>
                    </w:rPr>
                    <w:t>效率%</w:t>
                  </w:r>
                </w:p>
              </w:tc>
              <w:tc>
                <w:tcPr>
                  <w:tcW w:w="585" w:type="dxa"/>
                  <w:vMerge w:val="restart"/>
                  <w:shd w:val="clear" w:color="auto" w:fill="auto"/>
                  <w:vAlign w:val="center"/>
                </w:tcPr>
                <w:p w14:paraId="2A84681B">
                  <w:pPr>
                    <w:pStyle w:val="80"/>
                    <w:rPr>
                      <w:color w:val="auto"/>
                    </w:rPr>
                  </w:pPr>
                  <w:r>
                    <w:rPr>
                      <w:color w:val="auto"/>
                    </w:rPr>
                    <w:t>核算</w:t>
                  </w:r>
                </w:p>
                <w:p w14:paraId="52243FD0">
                  <w:pPr>
                    <w:pStyle w:val="80"/>
                    <w:rPr>
                      <w:color w:val="auto"/>
                    </w:rPr>
                  </w:pPr>
                  <w:r>
                    <w:rPr>
                      <w:color w:val="auto"/>
                    </w:rPr>
                    <w:t>方法</w:t>
                  </w:r>
                </w:p>
              </w:tc>
              <w:tc>
                <w:tcPr>
                  <w:tcW w:w="980" w:type="dxa"/>
                  <w:vMerge w:val="restart"/>
                  <w:shd w:val="clear" w:color="auto" w:fill="auto"/>
                  <w:vAlign w:val="center"/>
                </w:tcPr>
                <w:p w14:paraId="722FDE22">
                  <w:pPr>
                    <w:pStyle w:val="80"/>
                    <w:rPr>
                      <w:color w:val="auto"/>
                    </w:rPr>
                  </w:pPr>
                  <w:r>
                    <w:rPr>
                      <w:color w:val="auto"/>
                    </w:rPr>
                    <w:t>烟气量/（m</w:t>
                  </w:r>
                  <w:r>
                    <w:rPr>
                      <w:color w:val="auto"/>
                      <w:vertAlign w:val="superscript"/>
                    </w:rPr>
                    <w:t>3</w:t>
                  </w:r>
                  <w:r>
                    <w:rPr>
                      <w:color w:val="auto"/>
                    </w:rPr>
                    <w:t>/h）</w:t>
                  </w:r>
                </w:p>
              </w:tc>
              <w:tc>
                <w:tcPr>
                  <w:tcW w:w="1189" w:type="dxa"/>
                  <w:vMerge w:val="restart"/>
                  <w:shd w:val="clear" w:color="auto" w:fill="auto"/>
                  <w:vAlign w:val="center"/>
                </w:tcPr>
                <w:p w14:paraId="28DFA8F5">
                  <w:pPr>
                    <w:pStyle w:val="80"/>
                    <w:rPr>
                      <w:color w:val="auto"/>
                    </w:rPr>
                  </w:pPr>
                  <w:r>
                    <w:rPr>
                      <w:color w:val="auto"/>
                    </w:rPr>
                    <w:t>质量浓度/（mg/m</w:t>
                  </w:r>
                  <w:r>
                    <w:rPr>
                      <w:color w:val="auto"/>
                      <w:vertAlign w:val="superscript"/>
                    </w:rPr>
                    <w:t>3</w:t>
                  </w:r>
                  <w:r>
                    <w:rPr>
                      <w:color w:val="auto"/>
                    </w:rPr>
                    <w:t>）</w:t>
                  </w:r>
                </w:p>
              </w:tc>
              <w:tc>
                <w:tcPr>
                  <w:tcW w:w="1074" w:type="dxa"/>
                  <w:vMerge w:val="restart"/>
                  <w:shd w:val="clear" w:color="auto" w:fill="auto"/>
                  <w:vAlign w:val="center"/>
                </w:tcPr>
                <w:p w14:paraId="2C0EC9B1">
                  <w:pPr>
                    <w:pStyle w:val="80"/>
                    <w:rPr>
                      <w:color w:val="auto"/>
                    </w:rPr>
                  </w:pPr>
                  <w:r>
                    <w:rPr>
                      <w:color w:val="auto"/>
                    </w:rPr>
                    <w:t>排放量/（kg/h）</w:t>
                  </w:r>
                </w:p>
              </w:tc>
              <w:tc>
                <w:tcPr>
                  <w:tcW w:w="618" w:type="dxa"/>
                  <w:vMerge w:val="continue"/>
                  <w:vAlign w:val="center"/>
                </w:tcPr>
                <w:p w14:paraId="31641BE5">
                  <w:pPr>
                    <w:pStyle w:val="80"/>
                    <w:rPr>
                      <w:color w:val="auto"/>
                    </w:rPr>
                  </w:pPr>
                </w:p>
              </w:tc>
            </w:tr>
            <w:tr w14:paraId="5AF044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462" w:type="dxa"/>
                  <w:vMerge w:val="continue"/>
                  <w:vAlign w:val="center"/>
                </w:tcPr>
                <w:p w14:paraId="0E380751">
                  <w:pPr>
                    <w:pStyle w:val="80"/>
                    <w:rPr>
                      <w:color w:val="auto"/>
                    </w:rPr>
                  </w:pPr>
                </w:p>
              </w:tc>
              <w:tc>
                <w:tcPr>
                  <w:tcW w:w="438" w:type="dxa"/>
                  <w:vMerge w:val="continue"/>
                  <w:vAlign w:val="center"/>
                </w:tcPr>
                <w:p w14:paraId="3227C53C">
                  <w:pPr>
                    <w:pStyle w:val="80"/>
                    <w:rPr>
                      <w:color w:val="auto"/>
                    </w:rPr>
                  </w:pPr>
                </w:p>
              </w:tc>
              <w:tc>
                <w:tcPr>
                  <w:tcW w:w="930" w:type="dxa"/>
                  <w:vMerge w:val="continue"/>
                  <w:vAlign w:val="center"/>
                </w:tcPr>
                <w:p w14:paraId="6CEB0E58">
                  <w:pPr>
                    <w:pStyle w:val="80"/>
                    <w:rPr>
                      <w:color w:val="auto"/>
                    </w:rPr>
                  </w:pPr>
                </w:p>
              </w:tc>
              <w:tc>
                <w:tcPr>
                  <w:tcW w:w="776" w:type="dxa"/>
                  <w:vMerge w:val="continue"/>
                  <w:vAlign w:val="center"/>
                </w:tcPr>
                <w:p w14:paraId="0498CDBE">
                  <w:pPr>
                    <w:pStyle w:val="80"/>
                    <w:rPr>
                      <w:color w:val="auto"/>
                    </w:rPr>
                  </w:pPr>
                </w:p>
              </w:tc>
              <w:tc>
                <w:tcPr>
                  <w:tcW w:w="537" w:type="dxa"/>
                  <w:vMerge w:val="continue"/>
                  <w:vAlign w:val="center"/>
                </w:tcPr>
                <w:p w14:paraId="27B407C2">
                  <w:pPr>
                    <w:pStyle w:val="80"/>
                    <w:rPr>
                      <w:color w:val="auto"/>
                    </w:rPr>
                  </w:pPr>
                </w:p>
              </w:tc>
              <w:tc>
                <w:tcPr>
                  <w:tcW w:w="980" w:type="dxa"/>
                  <w:vMerge w:val="continue"/>
                  <w:vAlign w:val="center"/>
                </w:tcPr>
                <w:p w14:paraId="4974E8EA">
                  <w:pPr>
                    <w:pStyle w:val="80"/>
                    <w:rPr>
                      <w:color w:val="auto"/>
                    </w:rPr>
                  </w:pPr>
                </w:p>
              </w:tc>
              <w:tc>
                <w:tcPr>
                  <w:tcW w:w="1129" w:type="dxa"/>
                  <w:vMerge w:val="continue"/>
                  <w:vAlign w:val="center"/>
                </w:tcPr>
                <w:p w14:paraId="6A03B1E4">
                  <w:pPr>
                    <w:pStyle w:val="80"/>
                    <w:rPr>
                      <w:color w:val="auto"/>
                    </w:rPr>
                  </w:pPr>
                </w:p>
              </w:tc>
              <w:tc>
                <w:tcPr>
                  <w:tcW w:w="958" w:type="dxa"/>
                  <w:vMerge w:val="continue"/>
                  <w:vAlign w:val="center"/>
                </w:tcPr>
                <w:p w14:paraId="0E75DD64">
                  <w:pPr>
                    <w:pStyle w:val="80"/>
                    <w:rPr>
                      <w:color w:val="auto"/>
                    </w:rPr>
                  </w:pPr>
                </w:p>
              </w:tc>
              <w:tc>
                <w:tcPr>
                  <w:tcW w:w="1525" w:type="dxa"/>
                  <w:vMerge w:val="continue"/>
                  <w:vAlign w:val="center"/>
                </w:tcPr>
                <w:p w14:paraId="07381C3F">
                  <w:pPr>
                    <w:pStyle w:val="80"/>
                    <w:rPr>
                      <w:color w:val="auto"/>
                    </w:rPr>
                  </w:pPr>
                </w:p>
              </w:tc>
              <w:tc>
                <w:tcPr>
                  <w:tcW w:w="725" w:type="dxa"/>
                  <w:vMerge w:val="continue"/>
                  <w:vAlign w:val="center"/>
                </w:tcPr>
                <w:p w14:paraId="5FA9B70B">
                  <w:pPr>
                    <w:pStyle w:val="80"/>
                    <w:rPr>
                      <w:color w:val="auto"/>
                    </w:rPr>
                  </w:pPr>
                </w:p>
              </w:tc>
              <w:tc>
                <w:tcPr>
                  <w:tcW w:w="585" w:type="dxa"/>
                  <w:vMerge w:val="continue"/>
                  <w:vAlign w:val="center"/>
                </w:tcPr>
                <w:p w14:paraId="1941E3BE">
                  <w:pPr>
                    <w:pStyle w:val="80"/>
                    <w:rPr>
                      <w:color w:val="auto"/>
                    </w:rPr>
                  </w:pPr>
                </w:p>
              </w:tc>
              <w:tc>
                <w:tcPr>
                  <w:tcW w:w="980" w:type="dxa"/>
                  <w:vMerge w:val="continue"/>
                  <w:vAlign w:val="center"/>
                </w:tcPr>
                <w:p w14:paraId="06E92333">
                  <w:pPr>
                    <w:pStyle w:val="80"/>
                    <w:rPr>
                      <w:color w:val="auto"/>
                    </w:rPr>
                  </w:pPr>
                </w:p>
              </w:tc>
              <w:tc>
                <w:tcPr>
                  <w:tcW w:w="1189" w:type="dxa"/>
                  <w:vMerge w:val="continue"/>
                  <w:vAlign w:val="center"/>
                </w:tcPr>
                <w:p w14:paraId="53D02E69">
                  <w:pPr>
                    <w:pStyle w:val="80"/>
                    <w:rPr>
                      <w:color w:val="auto"/>
                    </w:rPr>
                  </w:pPr>
                </w:p>
              </w:tc>
              <w:tc>
                <w:tcPr>
                  <w:tcW w:w="1074" w:type="dxa"/>
                  <w:vMerge w:val="continue"/>
                  <w:vAlign w:val="center"/>
                </w:tcPr>
                <w:p w14:paraId="115C58C1">
                  <w:pPr>
                    <w:pStyle w:val="80"/>
                    <w:rPr>
                      <w:color w:val="auto"/>
                    </w:rPr>
                  </w:pPr>
                </w:p>
              </w:tc>
              <w:tc>
                <w:tcPr>
                  <w:tcW w:w="618" w:type="dxa"/>
                  <w:vMerge w:val="continue"/>
                  <w:vAlign w:val="center"/>
                </w:tcPr>
                <w:p w14:paraId="1F13EE50">
                  <w:pPr>
                    <w:pStyle w:val="80"/>
                    <w:rPr>
                      <w:color w:val="auto"/>
                    </w:rPr>
                  </w:pPr>
                </w:p>
              </w:tc>
            </w:tr>
            <w:tr w14:paraId="56FF78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89" w:hRule="atLeast"/>
                <w:jc w:val="center"/>
              </w:trPr>
              <w:tc>
                <w:tcPr>
                  <w:tcW w:w="462" w:type="dxa"/>
                  <w:vMerge w:val="restart"/>
                  <w:shd w:val="clear" w:color="auto" w:fill="auto"/>
                  <w:vAlign w:val="center"/>
                </w:tcPr>
                <w:p w14:paraId="7A4130F9">
                  <w:pPr>
                    <w:pStyle w:val="80"/>
                    <w:rPr>
                      <w:color w:val="auto"/>
                    </w:rPr>
                  </w:pPr>
                  <w:r>
                    <w:rPr>
                      <w:rFonts w:hint="eastAsia"/>
                      <w:color w:val="auto"/>
                      <w:lang w:val="en-US" w:eastAsia="zh-CN"/>
                    </w:rPr>
                    <w:t>农机</w:t>
                  </w:r>
                  <w:r>
                    <w:rPr>
                      <w:color w:val="auto"/>
                    </w:rPr>
                    <w:t>拆解生产线</w:t>
                  </w:r>
                </w:p>
              </w:tc>
              <w:tc>
                <w:tcPr>
                  <w:tcW w:w="438" w:type="dxa"/>
                  <w:vMerge w:val="restart"/>
                  <w:shd w:val="clear" w:color="auto" w:fill="auto"/>
                  <w:vAlign w:val="center"/>
                </w:tcPr>
                <w:p w14:paraId="64E49D50">
                  <w:pPr>
                    <w:pStyle w:val="80"/>
                    <w:rPr>
                      <w:color w:val="auto"/>
                    </w:rPr>
                  </w:pPr>
                  <w:r>
                    <w:rPr>
                      <w:color w:val="auto"/>
                    </w:rPr>
                    <w:t>生产车间</w:t>
                  </w:r>
                </w:p>
              </w:tc>
              <w:tc>
                <w:tcPr>
                  <w:tcW w:w="930" w:type="dxa"/>
                  <w:shd w:val="clear" w:color="auto" w:fill="auto"/>
                  <w:vAlign w:val="center"/>
                </w:tcPr>
                <w:p w14:paraId="7B02C9A1">
                  <w:pPr>
                    <w:pStyle w:val="80"/>
                    <w:rPr>
                      <w:color w:val="auto"/>
                    </w:rPr>
                  </w:pPr>
                  <w:r>
                    <w:rPr>
                      <w:color w:val="auto"/>
                    </w:rPr>
                    <w:t>切割工段粉尘</w:t>
                  </w:r>
                </w:p>
              </w:tc>
              <w:tc>
                <w:tcPr>
                  <w:tcW w:w="776" w:type="dxa"/>
                  <w:shd w:val="clear" w:color="auto" w:fill="auto"/>
                  <w:vAlign w:val="center"/>
                </w:tcPr>
                <w:p w14:paraId="21F4CB44">
                  <w:pPr>
                    <w:pStyle w:val="80"/>
                    <w:rPr>
                      <w:color w:val="auto"/>
                    </w:rPr>
                  </w:pPr>
                  <w:r>
                    <w:rPr>
                      <w:color w:val="auto"/>
                    </w:rPr>
                    <w:t>粉尘</w:t>
                  </w:r>
                </w:p>
              </w:tc>
              <w:tc>
                <w:tcPr>
                  <w:tcW w:w="537" w:type="dxa"/>
                  <w:shd w:val="clear" w:color="auto" w:fill="auto"/>
                  <w:vAlign w:val="center"/>
                </w:tcPr>
                <w:p w14:paraId="2E463215">
                  <w:pPr>
                    <w:pStyle w:val="80"/>
                    <w:rPr>
                      <w:color w:val="auto"/>
                    </w:rPr>
                  </w:pPr>
                  <w:r>
                    <w:rPr>
                      <w:color w:val="auto"/>
                    </w:rPr>
                    <w:t>产污系数法</w:t>
                  </w:r>
                </w:p>
              </w:tc>
              <w:tc>
                <w:tcPr>
                  <w:tcW w:w="980" w:type="dxa"/>
                  <w:shd w:val="clear" w:color="auto" w:fill="auto"/>
                  <w:vAlign w:val="center"/>
                </w:tcPr>
                <w:p w14:paraId="63F4C805">
                  <w:pPr>
                    <w:pStyle w:val="80"/>
                    <w:rPr>
                      <w:color w:val="auto"/>
                    </w:rPr>
                  </w:pPr>
                  <w:r>
                    <w:rPr>
                      <w:color w:val="auto"/>
                    </w:rPr>
                    <w:t>/</w:t>
                  </w:r>
                </w:p>
              </w:tc>
              <w:tc>
                <w:tcPr>
                  <w:tcW w:w="1129" w:type="dxa"/>
                  <w:shd w:val="clear" w:color="auto" w:fill="auto"/>
                  <w:vAlign w:val="center"/>
                </w:tcPr>
                <w:p w14:paraId="7FD42B14">
                  <w:pPr>
                    <w:pStyle w:val="80"/>
                    <w:rPr>
                      <w:color w:val="auto"/>
                    </w:rPr>
                  </w:pPr>
                  <w:r>
                    <w:rPr>
                      <w:color w:val="auto"/>
                    </w:rPr>
                    <w:t>/</w:t>
                  </w:r>
                </w:p>
              </w:tc>
              <w:tc>
                <w:tcPr>
                  <w:tcW w:w="958" w:type="dxa"/>
                  <w:shd w:val="clear" w:color="auto" w:fill="auto"/>
                  <w:vAlign w:val="center"/>
                </w:tcPr>
                <w:p w14:paraId="2861401C">
                  <w:pPr>
                    <w:pStyle w:val="80"/>
                    <w:rPr>
                      <w:color w:val="auto"/>
                    </w:rPr>
                  </w:pPr>
                  <w:r>
                    <w:rPr>
                      <w:rFonts w:hint="eastAsia"/>
                      <w:color w:val="auto"/>
                    </w:rPr>
                    <w:t>0.</w:t>
                  </w:r>
                  <w:r>
                    <w:rPr>
                      <w:rFonts w:hint="eastAsia"/>
                      <w:color w:val="auto"/>
                      <w:lang w:val="en-US" w:eastAsia="zh-CN"/>
                    </w:rPr>
                    <w:t>1</w:t>
                  </w:r>
                  <w:r>
                    <w:rPr>
                      <w:rFonts w:hint="eastAsia"/>
                      <w:color w:val="auto"/>
                    </w:rPr>
                    <w:t xml:space="preserve"> </w:t>
                  </w:r>
                </w:p>
              </w:tc>
              <w:tc>
                <w:tcPr>
                  <w:tcW w:w="1525" w:type="dxa"/>
                  <w:shd w:val="clear" w:color="auto" w:fill="auto"/>
                  <w:vAlign w:val="center"/>
                </w:tcPr>
                <w:p w14:paraId="3458DB3D">
                  <w:pPr>
                    <w:pStyle w:val="80"/>
                    <w:jc w:val="both"/>
                    <w:rPr>
                      <w:rFonts w:hint="eastAsia" w:eastAsia="宋体"/>
                      <w:color w:val="auto"/>
                      <w:lang w:eastAsia="zh-CN"/>
                    </w:rPr>
                  </w:pPr>
                  <w:r>
                    <w:rPr>
                      <w:color w:val="auto"/>
                    </w:rPr>
                    <w:t>全封闭拆解车间+</w:t>
                  </w:r>
                  <w:r>
                    <w:rPr>
                      <w:rFonts w:hint="eastAsia"/>
                      <w:color w:val="auto"/>
                      <w:lang w:eastAsia="zh-CN"/>
                    </w:rPr>
                    <w:t>移动式布袋除尘器</w:t>
                  </w:r>
                </w:p>
              </w:tc>
              <w:tc>
                <w:tcPr>
                  <w:tcW w:w="725" w:type="dxa"/>
                  <w:shd w:val="clear" w:color="auto" w:fill="auto"/>
                  <w:vAlign w:val="center"/>
                </w:tcPr>
                <w:p w14:paraId="13E556A4">
                  <w:pPr>
                    <w:pStyle w:val="80"/>
                    <w:rPr>
                      <w:color w:val="auto"/>
                    </w:rPr>
                  </w:pPr>
                  <w:r>
                    <w:rPr>
                      <w:color w:val="auto"/>
                    </w:rPr>
                    <w:t>99</w:t>
                  </w:r>
                </w:p>
              </w:tc>
              <w:tc>
                <w:tcPr>
                  <w:tcW w:w="585" w:type="dxa"/>
                  <w:shd w:val="clear" w:color="auto" w:fill="auto"/>
                  <w:vAlign w:val="center"/>
                </w:tcPr>
                <w:p w14:paraId="49EEA3E6">
                  <w:pPr>
                    <w:pStyle w:val="80"/>
                    <w:rPr>
                      <w:color w:val="auto"/>
                    </w:rPr>
                  </w:pPr>
                  <w:r>
                    <w:rPr>
                      <w:color w:val="auto"/>
                    </w:rPr>
                    <w:t>产污系数法</w:t>
                  </w:r>
                </w:p>
              </w:tc>
              <w:tc>
                <w:tcPr>
                  <w:tcW w:w="980" w:type="dxa"/>
                  <w:shd w:val="clear" w:color="auto" w:fill="auto"/>
                  <w:vAlign w:val="center"/>
                </w:tcPr>
                <w:p w14:paraId="11D44683">
                  <w:pPr>
                    <w:pStyle w:val="80"/>
                    <w:rPr>
                      <w:color w:val="auto"/>
                    </w:rPr>
                  </w:pPr>
                  <w:r>
                    <w:rPr>
                      <w:color w:val="auto"/>
                    </w:rPr>
                    <w:t>/</w:t>
                  </w:r>
                </w:p>
              </w:tc>
              <w:tc>
                <w:tcPr>
                  <w:tcW w:w="1189" w:type="dxa"/>
                  <w:shd w:val="clear" w:color="auto" w:fill="auto"/>
                  <w:vAlign w:val="center"/>
                </w:tcPr>
                <w:p w14:paraId="5F51FB47">
                  <w:pPr>
                    <w:pStyle w:val="80"/>
                    <w:rPr>
                      <w:color w:val="auto"/>
                    </w:rPr>
                  </w:pPr>
                  <w:r>
                    <w:rPr>
                      <w:color w:val="auto"/>
                    </w:rPr>
                    <w:t>/</w:t>
                  </w:r>
                </w:p>
              </w:tc>
              <w:tc>
                <w:tcPr>
                  <w:tcW w:w="1074" w:type="dxa"/>
                  <w:shd w:val="clear" w:color="auto" w:fill="auto"/>
                  <w:vAlign w:val="center"/>
                </w:tcPr>
                <w:p w14:paraId="046F34A9">
                  <w:pPr>
                    <w:pStyle w:val="80"/>
                    <w:rPr>
                      <w:color w:val="auto"/>
                    </w:rPr>
                  </w:pPr>
                  <w:r>
                    <w:rPr>
                      <w:rFonts w:hint="eastAsia"/>
                      <w:color w:val="auto"/>
                    </w:rPr>
                    <w:t>0.00</w:t>
                  </w:r>
                  <w:r>
                    <w:rPr>
                      <w:rFonts w:hint="eastAsia"/>
                      <w:color w:val="auto"/>
                      <w:lang w:val="en-US" w:eastAsia="zh-CN"/>
                    </w:rPr>
                    <w:t>1</w:t>
                  </w:r>
                  <w:r>
                    <w:rPr>
                      <w:rFonts w:hint="eastAsia"/>
                      <w:color w:val="auto"/>
                    </w:rPr>
                    <w:t xml:space="preserve"> </w:t>
                  </w:r>
                </w:p>
              </w:tc>
              <w:tc>
                <w:tcPr>
                  <w:tcW w:w="618" w:type="dxa"/>
                  <w:shd w:val="clear" w:color="auto" w:fill="auto"/>
                  <w:vAlign w:val="center"/>
                </w:tcPr>
                <w:p w14:paraId="4BE062AF">
                  <w:pPr>
                    <w:pStyle w:val="80"/>
                    <w:rPr>
                      <w:rFonts w:hint="default" w:eastAsia="宋体"/>
                      <w:color w:val="auto"/>
                      <w:lang w:val="en-US" w:eastAsia="zh-CN"/>
                    </w:rPr>
                  </w:pPr>
                  <w:r>
                    <w:rPr>
                      <w:rFonts w:hint="eastAsia"/>
                      <w:color w:val="auto"/>
                      <w:lang w:val="en-US" w:eastAsia="zh-CN"/>
                    </w:rPr>
                    <w:t>900</w:t>
                  </w:r>
                </w:p>
              </w:tc>
            </w:tr>
            <w:tr w14:paraId="0DF050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462" w:type="dxa"/>
                  <w:vMerge w:val="continue"/>
                  <w:shd w:val="clear" w:color="auto" w:fill="auto"/>
                  <w:vAlign w:val="center"/>
                </w:tcPr>
                <w:p w14:paraId="6F7D4570">
                  <w:pPr>
                    <w:pStyle w:val="80"/>
                    <w:rPr>
                      <w:color w:val="auto"/>
                    </w:rPr>
                  </w:pPr>
                </w:p>
              </w:tc>
              <w:tc>
                <w:tcPr>
                  <w:tcW w:w="438" w:type="dxa"/>
                  <w:vMerge w:val="continue"/>
                  <w:shd w:val="clear" w:color="auto" w:fill="auto"/>
                  <w:vAlign w:val="center"/>
                </w:tcPr>
                <w:p w14:paraId="4B7AE715">
                  <w:pPr>
                    <w:pStyle w:val="80"/>
                    <w:rPr>
                      <w:color w:val="auto"/>
                    </w:rPr>
                  </w:pPr>
                </w:p>
              </w:tc>
              <w:tc>
                <w:tcPr>
                  <w:tcW w:w="930" w:type="dxa"/>
                  <w:shd w:val="clear" w:color="auto" w:fill="auto"/>
                  <w:vAlign w:val="center"/>
                </w:tcPr>
                <w:p w14:paraId="76759D08">
                  <w:pPr>
                    <w:pStyle w:val="80"/>
                    <w:rPr>
                      <w:color w:val="auto"/>
                    </w:rPr>
                  </w:pPr>
                  <w:r>
                    <w:rPr>
                      <w:color w:val="auto"/>
                    </w:rPr>
                    <w:t>拆解工段非甲烷总烃</w:t>
                  </w:r>
                </w:p>
              </w:tc>
              <w:tc>
                <w:tcPr>
                  <w:tcW w:w="776" w:type="dxa"/>
                  <w:shd w:val="clear" w:color="auto" w:fill="auto"/>
                  <w:noWrap/>
                  <w:vAlign w:val="center"/>
                </w:tcPr>
                <w:p w14:paraId="2C4FF8D4">
                  <w:pPr>
                    <w:pStyle w:val="80"/>
                    <w:rPr>
                      <w:color w:val="auto"/>
                    </w:rPr>
                  </w:pPr>
                  <w:r>
                    <w:rPr>
                      <w:color w:val="auto"/>
                    </w:rPr>
                    <w:t>非甲烷总烃</w:t>
                  </w:r>
                </w:p>
              </w:tc>
              <w:tc>
                <w:tcPr>
                  <w:tcW w:w="537" w:type="dxa"/>
                  <w:shd w:val="clear" w:color="auto" w:fill="auto"/>
                  <w:vAlign w:val="center"/>
                </w:tcPr>
                <w:p w14:paraId="2C72EDBA">
                  <w:pPr>
                    <w:pStyle w:val="80"/>
                    <w:rPr>
                      <w:color w:val="auto"/>
                    </w:rPr>
                  </w:pPr>
                  <w:r>
                    <w:rPr>
                      <w:color w:val="auto"/>
                    </w:rPr>
                    <w:t>物料衡算法</w:t>
                  </w:r>
                </w:p>
              </w:tc>
              <w:tc>
                <w:tcPr>
                  <w:tcW w:w="980" w:type="dxa"/>
                  <w:shd w:val="clear" w:color="auto" w:fill="auto"/>
                  <w:noWrap/>
                  <w:vAlign w:val="center"/>
                </w:tcPr>
                <w:p w14:paraId="0DA05316">
                  <w:pPr>
                    <w:pStyle w:val="80"/>
                    <w:rPr>
                      <w:color w:val="auto"/>
                    </w:rPr>
                  </w:pPr>
                  <w:r>
                    <w:rPr>
                      <w:color w:val="auto"/>
                    </w:rPr>
                    <w:t>/</w:t>
                  </w:r>
                </w:p>
              </w:tc>
              <w:tc>
                <w:tcPr>
                  <w:tcW w:w="1129" w:type="dxa"/>
                  <w:shd w:val="clear" w:color="auto" w:fill="auto"/>
                  <w:noWrap/>
                  <w:vAlign w:val="center"/>
                </w:tcPr>
                <w:p w14:paraId="1A6419F0">
                  <w:pPr>
                    <w:pStyle w:val="80"/>
                    <w:rPr>
                      <w:color w:val="auto"/>
                    </w:rPr>
                  </w:pPr>
                  <w:r>
                    <w:rPr>
                      <w:color w:val="auto"/>
                    </w:rPr>
                    <w:t>/</w:t>
                  </w:r>
                </w:p>
              </w:tc>
              <w:tc>
                <w:tcPr>
                  <w:tcW w:w="958" w:type="dxa"/>
                  <w:shd w:val="clear" w:color="auto" w:fill="auto"/>
                  <w:noWrap/>
                  <w:vAlign w:val="center"/>
                </w:tcPr>
                <w:p w14:paraId="4AC19C27">
                  <w:pPr>
                    <w:pStyle w:val="80"/>
                    <w:rPr>
                      <w:rFonts w:hint="default" w:eastAsia="宋体"/>
                      <w:color w:val="auto"/>
                      <w:lang w:val="en-US" w:eastAsia="zh-CN"/>
                    </w:rPr>
                  </w:pPr>
                  <w:r>
                    <w:rPr>
                      <w:rFonts w:hint="eastAsia"/>
                      <w:color w:val="auto"/>
                      <w:lang w:val="en-US" w:eastAsia="zh-CN"/>
                    </w:rPr>
                    <w:t>3.1</w:t>
                  </w:r>
                </w:p>
              </w:tc>
              <w:tc>
                <w:tcPr>
                  <w:tcW w:w="1525" w:type="dxa"/>
                  <w:shd w:val="clear" w:color="auto" w:fill="auto"/>
                  <w:vAlign w:val="center"/>
                </w:tcPr>
                <w:p w14:paraId="3AE6C93C">
                  <w:pPr>
                    <w:pStyle w:val="80"/>
                    <w:rPr>
                      <w:color w:val="auto"/>
                    </w:rPr>
                  </w:pPr>
                  <w:r>
                    <w:rPr>
                      <w:rFonts w:hint="eastAsia"/>
                      <w:color w:val="auto"/>
                    </w:rPr>
                    <w:t>集气罩+活性炭吸附装置</w:t>
                  </w:r>
                </w:p>
              </w:tc>
              <w:tc>
                <w:tcPr>
                  <w:tcW w:w="725" w:type="dxa"/>
                  <w:shd w:val="clear" w:color="auto" w:fill="auto"/>
                  <w:noWrap/>
                  <w:vAlign w:val="center"/>
                </w:tcPr>
                <w:p w14:paraId="1C6879D2">
                  <w:pPr>
                    <w:pStyle w:val="80"/>
                    <w:rPr>
                      <w:rFonts w:hint="default" w:eastAsia="宋体"/>
                      <w:color w:val="auto"/>
                      <w:lang w:val="en-US" w:eastAsia="zh-CN"/>
                    </w:rPr>
                  </w:pPr>
                  <w:r>
                    <w:rPr>
                      <w:rFonts w:hint="eastAsia"/>
                      <w:color w:val="auto"/>
                      <w:lang w:val="en-US" w:eastAsia="zh-CN"/>
                    </w:rPr>
                    <w:t>集气罩80%活性炭60%</w:t>
                  </w:r>
                </w:p>
              </w:tc>
              <w:tc>
                <w:tcPr>
                  <w:tcW w:w="585" w:type="dxa"/>
                  <w:shd w:val="clear" w:color="auto" w:fill="auto"/>
                  <w:vAlign w:val="center"/>
                </w:tcPr>
                <w:p w14:paraId="3A4808B6">
                  <w:pPr>
                    <w:pStyle w:val="80"/>
                    <w:rPr>
                      <w:color w:val="auto"/>
                    </w:rPr>
                  </w:pPr>
                  <w:r>
                    <w:rPr>
                      <w:color w:val="auto"/>
                    </w:rPr>
                    <w:t>物料衡算法</w:t>
                  </w:r>
                </w:p>
              </w:tc>
              <w:tc>
                <w:tcPr>
                  <w:tcW w:w="980" w:type="dxa"/>
                  <w:shd w:val="clear" w:color="auto" w:fill="auto"/>
                  <w:noWrap/>
                  <w:vAlign w:val="center"/>
                </w:tcPr>
                <w:p w14:paraId="73AAD347">
                  <w:pPr>
                    <w:pStyle w:val="80"/>
                    <w:rPr>
                      <w:color w:val="auto"/>
                    </w:rPr>
                  </w:pPr>
                  <w:r>
                    <w:rPr>
                      <w:color w:val="auto"/>
                    </w:rPr>
                    <w:t>/</w:t>
                  </w:r>
                </w:p>
              </w:tc>
              <w:tc>
                <w:tcPr>
                  <w:tcW w:w="1189" w:type="dxa"/>
                  <w:shd w:val="clear" w:color="auto" w:fill="auto"/>
                  <w:noWrap/>
                  <w:vAlign w:val="center"/>
                </w:tcPr>
                <w:p w14:paraId="7D8FC848">
                  <w:pPr>
                    <w:pStyle w:val="80"/>
                    <w:rPr>
                      <w:color w:val="auto"/>
                    </w:rPr>
                  </w:pPr>
                  <w:r>
                    <w:rPr>
                      <w:color w:val="auto"/>
                    </w:rPr>
                    <w:t>/</w:t>
                  </w:r>
                </w:p>
              </w:tc>
              <w:tc>
                <w:tcPr>
                  <w:tcW w:w="1074" w:type="dxa"/>
                  <w:shd w:val="clear" w:color="auto" w:fill="auto"/>
                  <w:noWrap/>
                  <w:vAlign w:val="center"/>
                </w:tcPr>
                <w:p w14:paraId="5D1FC3E3">
                  <w:pPr>
                    <w:pStyle w:val="80"/>
                    <w:rPr>
                      <w:color w:val="auto"/>
                    </w:rPr>
                  </w:pPr>
                  <w:r>
                    <w:rPr>
                      <w:rFonts w:hint="eastAsia"/>
                      <w:color w:val="auto"/>
                    </w:rPr>
                    <w:t>1</w:t>
                  </w:r>
                  <w:r>
                    <w:rPr>
                      <w:rFonts w:hint="eastAsia"/>
                      <w:color w:val="auto"/>
                      <w:lang w:val="en-US" w:eastAsia="zh-CN"/>
                    </w:rPr>
                    <w:t>.2</w:t>
                  </w:r>
                  <w:r>
                    <w:rPr>
                      <w:rFonts w:hint="eastAsia"/>
                      <w:color w:val="auto"/>
                    </w:rPr>
                    <w:t xml:space="preserve"> </w:t>
                  </w:r>
                </w:p>
              </w:tc>
              <w:tc>
                <w:tcPr>
                  <w:tcW w:w="618" w:type="dxa"/>
                  <w:shd w:val="clear" w:color="auto" w:fill="auto"/>
                  <w:vAlign w:val="center"/>
                </w:tcPr>
                <w:p w14:paraId="4ADD72C4">
                  <w:pPr>
                    <w:pStyle w:val="80"/>
                    <w:rPr>
                      <w:rFonts w:hint="default"/>
                      <w:color w:val="auto"/>
                      <w:lang w:val="en-US"/>
                    </w:rPr>
                  </w:pPr>
                  <w:r>
                    <w:rPr>
                      <w:rFonts w:hint="eastAsia"/>
                      <w:color w:val="auto"/>
                      <w:lang w:val="en-US" w:eastAsia="zh-CN"/>
                    </w:rPr>
                    <w:t>83.3</w:t>
                  </w:r>
                </w:p>
              </w:tc>
            </w:tr>
          </w:tbl>
          <w:p w14:paraId="6B61AC35">
            <w:pPr>
              <w:pStyle w:val="17"/>
              <w:adjustRightInd w:val="0"/>
              <w:snapToGrid w:val="0"/>
              <w:jc w:val="center"/>
              <w:rPr>
                <w:rFonts w:ascii="Times New Roman" w:hAnsi="Times New Roman"/>
                <w:snapToGrid w:val="0"/>
                <w:color w:val="auto"/>
                <w:sz w:val="36"/>
                <w:szCs w:val="36"/>
              </w:rPr>
            </w:pPr>
          </w:p>
        </w:tc>
      </w:tr>
    </w:tbl>
    <w:p w14:paraId="203352FB">
      <w:pPr>
        <w:pStyle w:val="17"/>
        <w:jc w:val="center"/>
        <w:outlineLvl w:val="0"/>
        <w:rPr>
          <w:rFonts w:ascii="Times New Roman" w:hAnsi="Times New Roman"/>
          <w:snapToGrid w:val="0"/>
          <w:color w:val="auto"/>
          <w:sz w:val="36"/>
          <w:szCs w:val="36"/>
        </w:rPr>
        <w:sectPr>
          <w:pgSz w:w="16840" w:h="11907" w:orient="landscape"/>
          <w:pgMar w:top="1800" w:right="1440" w:bottom="1800" w:left="1440" w:header="851" w:footer="851" w:gutter="0"/>
          <w:pgBorders>
            <w:top w:val="none" w:sz="0" w:space="0"/>
            <w:left w:val="none" w:sz="0" w:space="0"/>
            <w:bottom w:val="none" w:sz="0" w:space="0"/>
            <w:right w:val="none" w:sz="0" w:space="0"/>
          </w:pgBorders>
          <w:cols w:space="720" w:num="1"/>
          <w:docGrid w:linePitch="312" w:charSpace="0"/>
        </w:sectPr>
      </w:pPr>
    </w:p>
    <w:tbl>
      <w:tblPr>
        <w:tblStyle w:val="19"/>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78"/>
        <w:gridCol w:w="7964"/>
      </w:tblGrid>
      <w:tr w14:paraId="19A1EC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447" w:hRule="atLeast"/>
          <w:jc w:val="center"/>
        </w:trPr>
        <w:tc>
          <w:tcPr>
            <w:tcW w:w="557" w:type="dxa"/>
            <w:tcMar>
              <w:left w:w="28" w:type="dxa"/>
              <w:right w:w="28" w:type="dxa"/>
            </w:tcMar>
            <w:vAlign w:val="center"/>
          </w:tcPr>
          <w:p w14:paraId="35F1FA5C">
            <w:pPr>
              <w:ind w:left="113" w:right="113"/>
              <w:jc w:val="center"/>
              <w:rPr>
                <w:b/>
                <w:bCs/>
                <w:color w:val="auto"/>
                <w:sz w:val="24"/>
              </w:rPr>
            </w:pPr>
            <w:r>
              <w:rPr>
                <w:b/>
                <w:bCs/>
                <w:color w:val="auto"/>
                <w:sz w:val="24"/>
              </w:rPr>
              <w:t>运</w:t>
            </w:r>
          </w:p>
          <w:p w14:paraId="0264E5C7">
            <w:pPr>
              <w:ind w:left="113" w:right="113"/>
              <w:jc w:val="center"/>
              <w:rPr>
                <w:b/>
                <w:bCs/>
                <w:color w:val="auto"/>
                <w:sz w:val="24"/>
              </w:rPr>
            </w:pPr>
            <w:r>
              <w:rPr>
                <w:b/>
                <w:bCs/>
                <w:color w:val="auto"/>
                <w:sz w:val="24"/>
              </w:rPr>
              <w:t>营</w:t>
            </w:r>
          </w:p>
          <w:p w14:paraId="0B3BABA7">
            <w:pPr>
              <w:ind w:left="113" w:right="113"/>
              <w:jc w:val="center"/>
              <w:rPr>
                <w:b/>
                <w:bCs/>
                <w:color w:val="auto"/>
                <w:sz w:val="24"/>
              </w:rPr>
            </w:pPr>
            <w:r>
              <w:rPr>
                <w:b/>
                <w:bCs/>
                <w:color w:val="auto"/>
                <w:sz w:val="24"/>
              </w:rPr>
              <w:t>期</w:t>
            </w:r>
          </w:p>
          <w:p w14:paraId="39D2ECD1">
            <w:pPr>
              <w:ind w:left="113" w:right="113"/>
              <w:jc w:val="center"/>
              <w:rPr>
                <w:b/>
                <w:bCs/>
                <w:color w:val="auto"/>
                <w:sz w:val="24"/>
              </w:rPr>
            </w:pPr>
            <w:r>
              <w:rPr>
                <w:b/>
                <w:bCs/>
                <w:color w:val="auto"/>
                <w:sz w:val="24"/>
              </w:rPr>
              <w:t>环</w:t>
            </w:r>
          </w:p>
          <w:p w14:paraId="319DEE27">
            <w:pPr>
              <w:ind w:left="113" w:right="113"/>
              <w:jc w:val="center"/>
              <w:rPr>
                <w:b/>
                <w:bCs/>
                <w:color w:val="auto"/>
                <w:sz w:val="24"/>
              </w:rPr>
            </w:pPr>
            <w:r>
              <w:rPr>
                <w:b/>
                <w:bCs/>
                <w:color w:val="auto"/>
                <w:sz w:val="24"/>
              </w:rPr>
              <w:t>境</w:t>
            </w:r>
          </w:p>
          <w:p w14:paraId="6A4CE29D">
            <w:pPr>
              <w:ind w:left="113" w:right="113"/>
              <w:jc w:val="center"/>
              <w:rPr>
                <w:b/>
                <w:bCs/>
                <w:color w:val="auto"/>
                <w:sz w:val="24"/>
              </w:rPr>
            </w:pPr>
            <w:r>
              <w:rPr>
                <w:b/>
                <w:bCs/>
                <w:color w:val="auto"/>
                <w:sz w:val="24"/>
              </w:rPr>
              <w:t>影</w:t>
            </w:r>
          </w:p>
          <w:p w14:paraId="20665671">
            <w:pPr>
              <w:ind w:left="113" w:right="113"/>
              <w:jc w:val="center"/>
              <w:rPr>
                <w:b/>
                <w:bCs/>
                <w:color w:val="auto"/>
                <w:sz w:val="24"/>
              </w:rPr>
            </w:pPr>
            <w:r>
              <w:rPr>
                <w:b/>
                <w:bCs/>
                <w:color w:val="auto"/>
                <w:sz w:val="24"/>
              </w:rPr>
              <w:t>响</w:t>
            </w:r>
          </w:p>
          <w:p w14:paraId="5E3E1B95">
            <w:pPr>
              <w:ind w:left="113" w:right="113"/>
              <w:jc w:val="center"/>
              <w:rPr>
                <w:b/>
                <w:bCs/>
                <w:color w:val="auto"/>
                <w:sz w:val="24"/>
              </w:rPr>
            </w:pPr>
            <w:r>
              <w:rPr>
                <w:b/>
                <w:bCs/>
                <w:color w:val="auto"/>
                <w:sz w:val="24"/>
              </w:rPr>
              <w:t>和</w:t>
            </w:r>
          </w:p>
          <w:p w14:paraId="0110F27E">
            <w:pPr>
              <w:ind w:left="113" w:right="113"/>
              <w:jc w:val="center"/>
              <w:rPr>
                <w:b/>
                <w:bCs/>
                <w:color w:val="auto"/>
                <w:sz w:val="24"/>
              </w:rPr>
            </w:pPr>
            <w:r>
              <w:rPr>
                <w:b/>
                <w:bCs/>
                <w:color w:val="auto"/>
                <w:sz w:val="24"/>
              </w:rPr>
              <w:t>保</w:t>
            </w:r>
          </w:p>
          <w:p w14:paraId="05FFBFA6">
            <w:pPr>
              <w:ind w:left="113" w:right="113"/>
              <w:jc w:val="center"/>
              <w:rPr>
                <w:b/>
                <w:bCs/>
                <w:color w:val="auto"/>
                <w:sz w:val="24"/>
              </w:rPr>
            </w:pPr>
            <w:r>
              <w:rPr>
                <w:b/>
                <w:bCs/>
                <w:color w:val="auto"/>
                <w:sz w:val="24"/>
              </w:rPr>
              <w:t>护</w:t>
            </w:r>
          </w:p>
          <w:p w14:paraId="0DFD1F1F">
            <w:pPr>
              <w:ind w:left="113" w:right="113"/>
              <w:jc w:val="center"/>
              <w:rPr>
                <w:b/>
                <w:bCs/>
                <w:color w:val="auto"/>
                <w:sz w:val="24"/>
              </w:rPr>
            </w:pPr>
            <w:r>
              <w:rPr>
                <w:b/>
                <w:bCs/>
                <w:color w:val="auto"/>
                <w:sz w:val="24"/>
              </w:rPr>
              <w:t>措</w:t>
            </w:r>
          </w:p>
          <w:p w14:paraId="37A9A78D">
            <w:pPr>
              <w:ind w:left="113" w:right="113"/>
              <w:jc w:val="center"/>
              <w:rPr>
                <w:b/>
                <w:color w:val="auto"/>
                <w:sz w:val="24"/>
              </w:rPr>
            </w:pPr>
            <w:r>
              <w:rPr>
                <w:b/>
                <w:bCs/>
                <w:color w:val="auto"/>
                <w:sz w:val="24"/>
              </w:rPr>
              <w:t>施</w:t>
            </w:r>
          </w:p>
        </w:tc>
        <w:tc>
          <w:tcPr>
            <w:tcW w:w="7730" w:type="dxa"/>
          </w:tcPr>
          <w:p w14:paraId="65E577A7">
            <w:pPr>
              <w:pStyle w:val="84"/>
              <w:rPr>
                <w:color w:val="auto"/>
              </w:rPr>
            </w:pPr>
            <w:r>
              <w:rPr>
                <w:color w:val="auto"/>
              </w:rPr>
              <w:t>（二）废气源强计算</w:t>
            </w:r>
          </w:p>
          <w:p w14:paraId="5F7040C6">
            <w:pPr>
              <w:pStyle w:val="77"/>
              <w:rPr>
                <w:color w:val="auto"/>
              </w:rPr>
            </w:pPr>
            <w:r>
              <w:rPr>
                <w:color w:val="auto"/>
              </w:rPr>
              <w:t>本项产生的废气主要为拆解车间废气。</w:t>
            </w:r>
          </w:p>
          <w:p w14:paraId="5A35CD82">
            <w:pPr>
              <w:pStyle w:val="84"/>
              <w:rPr>
                <w:color w:val="auto"/>
              </w:rPr>
            </w:pPr>
            <w:r>
              <w:rPr>
                <w:color w:val="auto"/>
              </w:rPr>
              <w:t>1、切割工段粉尘</w:t>
            </w:r>
          </w:p>
          <w:p w14:paraId="48BF22AF">
            <w:pPr>
              <w:pStyle w:val="77"/>
              <w:rPr>
                <w:color w:val="auto"/>
              </w:rPr>
            </w:pPr>
            <w:r>
              <w:rPr>
                <w:color w:val="auto"/>
              </w:rPr>
              <w:t>报废农业机械在拆解后较大部件需进行切割，本项目切割采用等离子切割进行切割。</w:t>
            </w:r>
          </w:p>
          <w:p w14:paraId="098B910A">
            <w:pPr>
              <w:pStyle w:val="77"/>
              <w:rPr>
                <w:color w:val="auto"/>
              </w:rPr>
            </w:pPr>
            <w:r>
              <w:rPr>
                <w:color w:val="auto"/>
              </w:rPr>
              <w:t>本项目废钢</w:t>
            </w:r>
            <w:r>
              <w:rPr>
                <w:rFonts w:hint="eastAsia"/>
                <w:color w:val="auto"/>
                <w:lang w:val="en-US" w:eastAsia="zh-CN"/>
              </w:rPr>
              <w:t>铁</w:t>
            </w:r>
            <w:r>
              <w:rPr>
                <w:color w:val="auto"/>
              </w:rPr>
              <w:t>不进行破碎，剪切直径较大，只考虑使用等离子切割时的粉尘。等离子切割将产生金属粉尘，粉尘产生系数参照参考《排放源统计调查产排污核算方法和系数手册》“C4210金属废料和碎屑加工处理行业系数表”-废钢铁-切割的产尘系数：7.2g/t原料，本项目拆解的废钢铁为</w:t>
            </w:r>
            <w:r>
              <w:rPr>
                <w:rFonts w:hint="eastAsia"/>
                <w:color w:val="auto"/>
                <w:lang w:val="en-US" w:eastAsia="zh-CN"/>
              </w:rPr>
              <w:t>19794</w:t>
            </w:r>
            <w:r>
              <w:rPr>
                <w:color w:val="auto"/>
              </w:rPr>
              <w:t>t/a，切割工序均在拆解车间进行，则废钢切割粉尘产生量合计为0.</w:t>
            </w:r>
            <w:r>
              <w:rPr>
                <w:rFonts w:hint="eastAsia"/>
                <w:color w:val="auto"/>
                <w:lang w:val="en-US" w:eastAsia="zh-CN"/>
              </w:rPr>
              <w:t>1</w:t>
            </w:r>
            <w:r>
              <w:rPr>
                <w:color w:val="auto"/>
              </w:rPr>
              <w:t>t/a。本项目每天切割约3h，</w:t>
            </w:r>
            <w:r>
              <w:rPr>
                <w:rFonts w:hint="eastAsia"/>
                <w:color w:val="auto"/>
              </w:rPr>
              <w:t>共切割</w:t>
            </w:r>
            <w:r>
              <w:rPr>
                <w:rFonts w:hint="eastAsia"/>
                <w:color w:val="auto"/>
                <w:lang w:val="en-US" w:eastAsia="zh-CN"/>
              </w:rPr>
              <w:t>900</w:t>
            </w:r>
            <w:r>
              <w:rPr>
                <w:color w:val="auto"/>
              </w:rPr>
              <w:t>h/a</w:t>
            </w:r>
            <w:r>
              <w:rPr>
                <w:rFonts w:hint="eastAsia"/>
                <w:color w:val="auto"/>
              </w:rPr>
              <w:t>，</w:t>
            </w:r>
            <w:r>
              <w:rPr>
                <w:color w:val="auto"/>
              </w:rPr>
              <w:t>则废钢切割粉尘产生速率0.</w:t>
            </w:r>
            <w:r>
              <w:rPr>
                <w:rFonts w:hint="eastAsia"/>
                <w:color w:val="auto"/>
                <w:lang w:val="en-US" w:eastAsia="zh-CN"/>
              </w:rPr>
              <w:t>1</w:t>
            </w:r>
            <w:r>
              <w:rPr>
                <w:color w:val="auto"/>
              </w:rPr>
              <w:t>kg/h。</w:t>
            </w:r>
          </w:p>
          <w:p w14:paraId="2BB55BD6">
            <w:pPr>
              <w:pStyle w:val="77"/>
              <w:rPr>
                <w:color w:val="auto"/>
              </w:rPr>
            </w:pPr>
            <w:r>
              <w:rPr>
                <w:color w:val="auto"/>
              </w:rPr>
              <w:t>本项目在全封闭拆解车间内切割工位设置移动式</w:t>
            </w:r>
            <w:r>
              <w:rPr>
                <w:rFonts w:hint="eastAsia"/>
                <w:color w:val="auto"/>
                <w:lang w:val="en-US" w:eastAsia="zh-CN"/>
              </w:rPr>
              <w:t>布袋除尘</w:t>
            </w:r>
            <w:r>
              <w:rPr>
                <w:color w:val="auto"/>
              </w:rPr>
              <w:t>器，</w:t>
            </w:r>
            <w:r>
              <w:rPr>
                <w:rFonts w:hint="eastAsia"/>
                <w:color w:val="FF0000"/>
                <w:lang w:val="en-US" w:eastAsia="zh-CN"/>
              </w:rPr>
              <w:t>通过</w:t>
            </w:r>
            <w:r>
              <w:rPr>
                <w:color w:val="FF0000"/>
              </w:rPr>
              <w:t>移动式</w:t>
            </w:r>
            <w:r>
              <w:rPr>
                <w:rFonts w:hint="eastAsia"/>
                <w:color w:val="FF0000"/>
                <w:lang w:val="en-US" w:eastAsia="zh-CN"/>
              </w:rPr>
              <w:t>布袋除尘</w:t>
            </w:r>
            <w:r>
              <w:rPr>
                <w:color w:val="FF0000"/>
              </w:rPr>
              <w:t>器</w:t>
            </w:r>
            <w:r>
              <w:rPr>
                <w:rFonts w:hint="eastAsia"/>
                <w:color w:val="FF0000"/>
                <w:lang w:val="en-US" w:eastAsia="zh-CN"/>
              </w:rPr>
              <w:t>的进风口收集切割废气</w:t>
            </w:r>
            <w:r>
              <w:rPr>
                <w:rFonts w:hint="eastAsia"/>
                <w:color w:val="auto"/>
                <w:lang w:val="en-US" w:eastAsia="zh-CN"/>
              </w:rPr>
              <w:t>，</w:t>
            </w:r>
            <w:r>
              <w:rPr>
                <w:color w:val="auto"/>
              </w:rPr>
              <w:t>除尘效率按99%计，净化处理后排出的气体经车间侧壁通风设施以无组织形式排放。则粉尘的排放量为</w:t>
            </w:r>
            <w:r>
              <w:rPr>
                <w:rFonts w:hint="eastAsia"/>
                <w:color w:val="auto"/>
                <w:szCs w:val="20"/>
              </w:rPr>
              <w:t>0.00</w:t>
            </w:r>
            <w:r>
              <w:rPr>
                <w:rFonts w:hint="eastAsia"/>
                <w:color w:val="auto"/>
                <w:szCs w:val="20"/>
                <w:lang w:val="en-US" w:eastAsia="zh-CN"/>
              </w:rPr>
              <w:t>1</w:t>
            </w:r>
            <w:r>
              <w:rPr>
                <w:color w:val="auto"/>
              </w:rPr>
              <w:t>t/a，排放速率为</w:t>
            </w:r>
            <w:r>
              <w:rPr>
                <w:rFonts w:hint="eastAsia"/>
                <w:color w:val="auto"/>
              </w:rPr>
              <w:t>0.00</w:t>
            </w:r>
            <w:r>
              <w:rPr>
                <w:rFonts w:hint="eastAsia"/>
                <w:color w:val="auto"/>
                <w:lang w:val="en-US" w:eastAsia="zh-CN"/>
              </w:rPr>
              <w:t>1</w:t>
            </w:r>
            <w:r>
              <w:rPr>
                <w:color w:val="auto"/>
              </w:rPr>
              <w:t>kg/h。</w:t>
            </w:r>
          </w:p>
          <w:p w14:paraId="3534CAF6">
            <w:pPr>
              <w:pStyle w:val="84"/>
              <w:rPr>
                <w:color w:val="auto"/>
              </w:rPr>
            </w:pPr>
            <w:r>
              <w:rPr>
                <w:color w:val="auto"/>
              </w:rPr>
              <w:t>2、拆解工段非甲烷总烃</w:t>
            </w:r>
          </w:p>
          <w:p w14:paraId="45829A8B">
            <w:pPr>
              <w:pStyle w:val="77"/>
              <w:rPr>
                <w:color w:val="auto"/>
              </w:rPr>
            </w:pPr>
            <w:r>
              <w:rPr>
                <w:color w:val="auto"/>
              </w:rPr>
              <w:t>在排空油箱油品时，未能达到100%的排空率，这些油正常情况下附着在油箱的内壁，本项目待拆的报废农用车油箱中废油量较少，且油箱整体拆下后不进行进一步破碎处理，因此非甲烷总烃逸散量极少。</w:t>
            </w:r>
          </w:p>
          <w:p w14:paraId="3380513D">
            <w:pPr>
              <w:pStyle w:val="77"/>
              <w:rPr>
                <w:color w:val="auto"/>
              </w:rPr>
            </w:pPr>
            <w:r>
              <w:rPr>
                <w:color w:val="auto"/>
              </w:rPr>
              <w:t>参照《</w:t>
            </w:r>
            <w:r>
              <w:rPr>
                <w:rFonts w:hint="eastAsia"/>
                <w:color w:val="auto"/>
                <w:lang w:eastAsia="zh-CN"/>
              </w:rPr>
              <w:t>散装液态石油产品损耗</w:t>
            </w:r>
            <w:r>
              <w:rPr>
                <w:color w:val="auto"/>
              </w:rPr>
              <w:t>》（</w:t>
            </w:r>
            <w:r>
              <w:rPr>
                <w:rFonts w:hint="eastAsia"/>
                <w:color w:val="auto"/>
                <w:lang w:eastAsia="zh-CN"/>
              </w:rPr>
              <w:t>GB/T 11085-1989</w:t>
            </w:r>
            <w:r>
              <w:rPr>
                <w:color w:val="auto"/>
              </w:rPr>
              <w:t>）中灌桶损耗率（汽油0.18%，其他油0.01%）和零售损耗率（汽油0.29%，柴油0.08%）的两部分损失率，按总体0.5%的损失率进行核算。按每辆报废机动车平均6L的残存油量，其中回收过程中蒸发损失按总量0.5%计。车用柴油平均密度取0.855g/mL，则平均每辆柴油车拆解存储过程中有0.026kg的非甲烷总烃排放至空气中。本项目年拆解农业机械</w:t>
            </w:r>
            <w:r>
              <w:rPr>
                <w:rFonts w:hint="eastAsia"/>
                <w:color w:val="auto"/>
                <w:lang w:val="en-US" w:eastAsia="zh-CN"/>
              </w:rPr>
              <w:t>10000辆</w:t>
            </w:r>
            <w:r>
              <w:rPr>
                <w:color w:val="auto"/>
              </w:rPr>
              <w:t>，柴油车年非甲烷总烃产生量为0.</w:t>
            </w:r>
            <w:r>
              <w:rPr>
                <w:rFonts w:hint="eastAsia"/>
                <w:color w:val="auto"/>
                <w:lang w:val="en-US" w:eastAsia="zh-CN"/>
              </w:rPr>
              <w:t>26</w:t>
            </w:r>
            <w:r>
              <w:rPr>
                <w:color w:val="auto"/>
              </w:rPr>
              <w:t>t/a，则项目年非甲烷总烃产生量为0.</w:t>
            </w:r>
            <w:r>
              <w:rPr>
                <w:rFonts w:hint="eastAsia"/>
                <w:color w:val="auto"/>
                <w:lang w:val="en-US" w:eastAsia="zh-CN"/>
              </w:rPr>
              <w:t>26</w:t>
            </w:r>
            <w:r>
              <w:rPr>
                <w:color w:val="auto"/>
              </w:rPr>
              <w:t>t/a。类比同类企业，平均每辆车的残油抽取时间大概持续约5分钟，全年的油液抽取时间约</w:t>
            </w:r>
            <w:r>
              <w:rPr>
                <w:rFonts w:hint="eastAsia"/>
                <w:color w:val="auto"/>
                <w:lang w:val="en-US" w:eastAsia="zh-CN"/>
              </w:rPr>
              <w:t>83.3</w:t>
            </w:r>
            <w:r>
              <w:rPr>
                <w:color w:val="auto"/>
              </w:rPr>
              <w:t>小时，产生速率为3</w:t>
            </w:r>
            <w:r>
              <w:rPr>
                <w:rFonts w:hint="eastAsia"/>
                <w:color w:val="auto"/>
                <w:lang w:val="en-US" w:eastAsia="zh-CN"/>
              </w:rPr>
              <w:t>.1</w:t>
            </w:r>
            <w:r>
              <w:rPr>
                <w:color w:val="auto"/>
              </w:rPr>
              <w:t>kg/h。</w:t>
            </w:r>
          </w:p>
          <w:p w14:paraId="117A0675">
            <w:pPr>
              <w:pStyle w:val="77"/>
              <w:rPr>
                <w:color w:val="auto"/>
              </w:rPr>
            </w:pPr>
            <w:r>
              <w:rPr>
                <w:color w:val="auto"/>
              </w:rPr>
              <w:t>根据《排污许可证申请与核发技术规范 废弃资源加工工业》（HJ1034-2019），</w:t>
            </w:r>
            <w:r>
              <w:rPr>
                <w:rFonts w:hint="eastAsia"/>
                <w:color w:val="auto"/>
                <w:lang w:val="en-US" w:eastAsia="zh-CN"/>
              </w:rPr>
              <w:t>报废农机</w:t>
            </w:r>
            <w:r>
              <w:rPr>
                <w:color w:val="auto"/>
              </w:rPr>
              <w:t>拆解预处理过程中产生的非甲烷总烃可通过无组织方式排放。</w:t>
            </w:r>
          </w:p>
          <w:p w14:paraId="38B514A7">
            <w:pPr>
              <w:pStyle w:val="77"/>
              <w:rPr>
                <w:rFonts w:hint="eastAsia"/>
                <w:color w:val="auto"/>
              </w:rPr>
            </w:pPr>
            <w:r>
              <w:rPr>
                <w:rFonts w:hint="eastAsia"/>
                <w:color w:val="auto"/>
              </w:rPr>
              <w:t>在工序上方设置集气罩（收集效率80%）+活性炭吸附（吸附效率60%）装置进行处理。经计算，废油液收集过程有机废气无组织排放量为0.</w:t>
            </w:r>
            <w:r>
              <w:rPr>
                <w:rFonts w:hint="eastAsia"/>
                <w:color w:val="auto"/>
                <w:lang w:val="en-US" w:eastAsia="zh-CN"/>
              </w:rPr>
              <w:t>1</w:t>
            </w:r>
            <w:r>
              <w:rPr>
                <w:rFonts w:hint="eastAsia"/>
                <w:color w:val="auto"/>
              </w:rPr>
              <w:t>t/a</w:t>
            </w:r>
            <w:r>
              <w:rPr>
                <w:rFonts w:hint="eastAsia"/>
                <w:color w:val="auto"/>
                <w:lang w:eastAsia="zh-CN"/>
              </w:rPr>
              <w:t>，</w:t>
            </w:r>
            <w:r>
              <w:rPr>
                <w:rFonts w:hint="eastAsia"/>
                <w:color w:val="auto"/>
                <w:lang w:val="en-US" w:eastAsia="zh-CN"/>
              </w:rPr>
              <w:t>排放速率为1.2</w:t>
            </w:r>
            <w:r>
              <w:rPr>
                <w:color w:val="auto"/>
              </w:rPr>
              <w:t>kg/h</w:t>
            </w:r>
            <w:r>
              <w:rPr>
                <w:rFonts w:hint="eastAsia"/>
                <w:color w:val="auto"/>
              </w:rPr>
              <w:t>。</w:t>
            </w:r>
          </w:p>
          <w:p w14:paraId="5A1EB693">
            <w:pPr>
              <w:widowControl w:val="0"/>
              <w:autoSpaceDE w:val="0"/>
              <w:autoSpaceDN w:val="0"/>
              <w:adjustRightInd w:val="0"/>
              <w:snapToGrid w:val="0"/>
              <w:spacing w:line="500" w:lineRule="exact"/>
              <w:ind w:firstLine="482" w:firstLineChars="200"/>
              <w:jc w:val="both"/>
              <w:rPr>
                <w:rFonts w:ascii="Times New Roman" w:hAnsi="Times New Roman" w:eastAsia="宋体" w:cs="Times New Roman"/>
                <w:b/>
                <w:bCs/>
                <w:color w:val="auto"/>
                <w:kern w:val="0"/>
                <w:sz w:val="24"/>
                <w:szCs w:val="24"/>
                <w:lang w:val="en-US" w:eastAsia="zh-CN" w:bidi="ar-SA"/>
              </w:rPr>
            </w:pPr>
            <w:r>
              <w:rPr>
                <w:rFonts w:hint="eastAsia" w:ascii="Times New Roman" w:hAnsi="Times New Roman" w:eastAsia="宋体" w:cs="Times New Roman"/>
                <w:b/>
                <w:bCs/>
                <w:color w:val="auto"/>
                <w:kern w:val="0"/>
                <w:sz w:val="24"/>
                <w:szCs w:val="24"/>
                <w:lang w:val="en-US" w:eastAsia="zh-CN" w:bidi="ar-SA"/>
              </w:rPr>
              <w:t>3</w:t>
            </w:r>
            <w:r>
              <w:rPr>
                <w:rFonts w:ascii="Times New Roman" w:hAnsi="Times New Roman" w:eastAsia="宋体" w:cs="Times New Roman"/>
                <w:b/>
                <w:bCs/>
                <w:color w:val="auto"/>
                <w:kern w:val="0"/>
                <w:sz w:val="24"/>
                <w:szCs w:val="24"/>
                <w:lang w:val="en-US" w:eastAsia="zh-CN" w:bidi="ar-SA"/>
              </w:rPr>
              <w:t>、</w:t>
            </w:r>
            <w:r>
              <w:rPr>
                <w:rFonts w:hint="eastAsia" w:ascii="Times New Roman" w:hAnsi="Times New Roman" w:eastAsia="宋体" w:cs="Times New Roman"/>
                <w:b/>
                <w:bCs/>
                <w:color w:val="auto"/>
                <w:kern w:val="0"/>
                <w:sz w:val="24"/>
                <w:szCs w:val="24"/>
                <w:lang w:val="en-US" w:eastAsia="zh-CN" w:bidi="ar-SA"/>
              </w:rPr>
              <w:t>危废贮存库废气</w:t>
            </w:r>
          </w:p>
          <w:p w14:paraId="009FA74D">
            <w:pPr>
              <w:pStyle w:val="77"/>
              <w:rPr>
                <w:rFonts w:hint="eastAsia"/>
                <w:color w:val="auto"/>
              </w:rPr>
            </w:pPr>
            <w:r>
              <w:rPr>
                <w:rFonts w:hint="eastAsia"/>
                <w:color w:val="auto"/>
              </w:rPr>
              <w:t>本项目危废贮存库内的危险废物</w:t>
            </w:r>
            <w:r>
              <w:rPr>
                <w:rFonts w:hint="eastAsia"/>
                <w:color w:val="auto"/>
                <w:lang w:val="en-US" w:eastAsia="zh-CN"/>
              </w:rPr>
              <w:t>主要为废蓄电池、废油液、废电容器、废防冻液、废活性炭、石棉废物等</w:t>
            </w:r>
            <w:r>
              <w:rPr>
                <w:rFonts w:hint="eastAsia"/>
                <w:color w:val="auto"/>
              </w:rPr>
              <w:t>。本项目要求所有危险废物均在密闭容器内保存，以控制挥发性有机气体的产生</w:t>
            </w:r>
            <w:r>
              <w:rPr>
                <w:rFonts w:hint="eastAsia"/>
                <w:color w:val="auto"/>
                <w:lang w:eastAsia="zh-CN"/>
              </w:rPr>
              <w:t>，</w:t>
            </w:r>
            <w:r>
              <w:rPr>
                <w:rFonts w:hint="eastAsia"/>
                <w:color w:val="auto"/>
                <w:lang w:val="en-US" w:eastAsia="zh-CN"/>
              </w:rPr>
              <w:t>并且各类危险废物定期交由持有相应类别危险废物经营许可证的单位处理，存放量较小</w:t>
            </w:r>
            <w:r>
              <w:rPr>
                <w:rFonts w:hint="eastAsia"/>
                <w:color w:val="auto"/>
              </w:rPr>
              <w:t>。在采取</w:t>
            </w:r>
            <w:r>
              <w:rPr>
                <w:rFonts w:hint="eastAsia"/>
                <w:color w:val="auto"/>
                <w:lang w:val="en-US" w:eastAsia="zh-CN"/>
              </w:rPr>
              <w:t>上述</w:t>
            </w:r>
            <w:r>
              <w:rPr>
                <w:rFonts w:hint="eastAsia"/>
                <w:color w:val="auto"/>
              </w:rPr>
              <w:t>措施后，危废贮存库废气可以</w:t>
            </w:r>
            <w:r>
              <w:rPr>
                <w:rFonts w:hint="eastAsia"/>
                <w:color w:val="auto"/>
                <w:lang w:val="en-US" w:eastAsia="zh-CN"/>
              </w:rPr>
              <w:t>得</w:t>
            </w:r>
            <w:r>
              <w:rPr>
                <w:rFonts w:hint="eastAsia"/>
                <w:color w:val="auto"/>
              </w:rPr>
              <w:t>到有效控制，基本不会对周边环境造成不良影响，因此不对其进行分析。</w:t>
            </w:r>
          </w:p>
          <w:p w14:paraId="78B42B05">
            <w:pPr>
              <w:pStyle w:val="84"/>
              <w:rPr>
                <w:color w:val="auto"/>
              </w:rPr>
            </w:pPr>
            <w:r>
              <w:rPr>
                <w:color w:val="auto"/>
              </w:rPr>
              <w:t>（三）治理设施及排放达标情况</w:t>
            </w:r>
          </w:p>
          <w:p w14:paraId="6F3E333D">
            <w:pPr>
              <w:pStyle w:val="84"/>
              <w:rPr>
                <w:color w:val="auto"/>
              </w:rPr>
            </w:pPr>
            <w:r>
              <w:rPr>
                <w:color w:val="auto"/>
              </w:rPr>
              <w:t>1、切割工段粉尘</w:t>
            </w:r>
          </w:p>
          <w:p w14:paraId="0EFEC0CD">
            <w:pPr>
              <w:pStyle w:val="77"/>
              <w:rPr>
                <w:color w:val="auto"/>
              </w:rPr>
            </w:pPr>
            <w:r>
              <w:rPr>
                <w:color w:val="auto"/>
              </w:rPr>
              <w:t>本项目在全封闭拆解车间内切割工位设置</w:t>
            </w:r>
            <w:r>
              <w:rPr>
                <w:rFonts w:hint="eastAsia"/>
                <w:color w:val="auto"/>
                <w:lang w:eastAsia="zh-CN"/>
              </w:rPr>
              <w:t>移动式布袋除尘器</w:t>
            </w:r>
            <w:r>
              <w:rPr>
                <w:color w:val="auto"/>
              </w:rPr>
              <w:t>，除尘效率按99%计，净化处理后排出的气体经车间侧壁通风设施以无组织形式排放。拆解工段无组织颗粒物排放浓度满足《大气污染物综合排放标准》（GB16297-1996）表2中无组织排放监控浓度限值要求。</w:t>
            </w:r>
          </w:p>
          <w:p w14:paraId="0DA0465B">
            <w:pPr>
              <w:pStyle w:val="84"/>
              <w:rPr>
                <w:color w:val="auto"/>
              </w:rPr>
            </w:pPr>
            <w:r>
              <w:rPr>
                <w:color w:val="auto"/>
              </w:rPr>
              <w:t>2、非甲烷总烃</w:t>
            </w:r>
          </w:p>
          <w:p w14:paraId="5C46F846">
            <w:pPr>
              <w:pStyle w:val="77"/>
              <w:rPr>
                <w:color w:val="auto"/>
              </w:rPr>
            </w:pPr>
            <w:r>
              <w:rPr>
                <w:color w:val="auto"/>
              </w:rPr>
              <w:t>本项目待拆的报废车辆油箱中废油量较少，</w:t>
            </w:r>
            <w:r>
              <w:rPr>
                <w:rFonts w:hint="eastAsia"/>
                <w:color w:val="auto"/>
              </w:rPr>
              <w:t>在工序上方设置集气罩（收集效率80%）+活性炭吸附（吸附效率60%）装置进行处理</w:t>
            </w:r>
            <w:r>
              <w:rPr>
                <w:color w:val="auto"/>
              </w:rPr>
              <w:t>。</w:t>
            </w:r>
            <w:r>
              <w:rPr>
                <w:rFonts w:hint="eastAsia"/>
                <w:color w:val="auto"/>
              </w:rPr>
              <w:t>危险废物采用密闭容器包装，控制挥发性有机气体的产生。</w:t>
            </w:r>
          </w:p>
          <w:p w14:paraId="33508A71">
            <w:pPr>
              <w:pStyle w:val="77"/>
              <w:rPr>
                <w:color w:val="auto"/>
              </w:rPr>
            </w:pPr>
            <w:r>
              <w:rPr>
                <w:color w:val="auto"/>
              </w:rPr>
              <w:t>非甲烷总烃排放浓度满足《大气污染物综合排放标准》（GB16297-1996）非甲烷总烃无组织排放监控浓度限值，厂房外监控点处1h平均浓度值和厂房外监控点处任意一次浓度值满足《挥发性有机物无组织排放控制标准》（GB37822-2019）表A.1厂区内VOCs无组织排放限值要求。</w:t>
            </w:r>
          </w:p>
          <w:p w14:paraId="0084F4C0">
            <w:pPr>
              <w:widowControl w:val="0"/>
              <w:autoSpaceDE w:val="0"/>
              <w:autoSpaceDN w:val="0"/>
              <w:adjustRightInd w:val="0"/>
              <w:snapToGrid w:val="0"/>
              <w:spacing w:line="500" w:lineRule="exact"/>
              <w:ind w:firstLine="482" w:firstLineChars="200"/>
              <w:jc w:val="both"/>
              <w:rPr>
                <w:rFonts w:ascii="Times New Roman" w:hAnsi="Times New Roman" w:eastAsia="宋体" w:cs="Times New Roman"/>
                <w:b/>
                <w:bCs/>
                <w:color w:val="FF0000"/>
                <w:kern w:val="0"/>
                <w:sz w:val="24"/>
                <w:szCs w:val="24"/>
                <w:lang w:val="en-US" w:eastAsia="zh-CN" w:bidi="ar-SA"/>
              </w:rPr>
            </w:pPr>
            <w:r>
              <w:rPr>
                <w:rFonts w:hint="eastAsia" w:cs="Times New Roman"/>
                <w:b/>
                <w:bCs/>
                <w:color w:val="auto"/>
                <w:kern w:val="0"/>
                <w:sz w:val="24"/>
                <w:szCs w:val="24"/>
                <w:lang w:val="en-US" w:eastAsia="zh-CN" w:bidi="ar-SA"/>
              </w:rPr>
              <w:t>3、</w:t>
            </w:r>
            <w:r>
              <w:rPr>
                <w:rFonts w:hint="eastAsia" w:ascii="Times New Roman" w:hAnsi="Times New Roman" w:eastAsia="宋体" w:cs="Times New Roman"/>
                <w:b/>
                <w:bCs/>
                <w:color w:val="FF0000"/>
                <w:kern w:val="0"/>
                <w:sz w:val="24"/>
                <w:szCs w:val="24"/>
                <w:lang w:val="en-US" w:eastAsia="zh-CN" w:bidi="ar-SA"/>
              </w:rPr>
              <w:t>危废贮存库废气</w:t>
            </w:r>
          </w:p>
          <w:p w14:paraId="09B01150">
            <w:pPr>
              <w:pStyle w:val="77"/>
              <w:rPr>
                <w:rFonts w:hint="default" w:eastAsia="宋体"/>
                <w:color w:val="FF0000"/>
                <w:lang w:val="en-US" w:eastAsia="zh-CN"/>
              </w:rPr>
            </w:pPr>
            <w:r>
              <w:rPr>
                <w:rFonts w:hint="eastAsia"/>
                <w:color w:val="FF0000"/>
              </w:rPr>
              <w:t>本项目危废贮存库内的危险废物</w:t>
            </w:r>
            <w:r>
              <w:rPr>
                <w:rFonts w:hint="eastAsia"/>
                <w:color w:val="FF0000"/>
                <w:lang w:val="en-US" w:eastAsia="zh-CN"/>
              </w:rPr>
              <w:t>主要为废电池、废油类、废电容器、废防冻液、废活性炭、石棉废物等</w:t>
            </w:r>
            <w:r>
              <w:rPr>
                <w:rFonts w:hint="eastAsia"/>
                <w:color w:val="FF0000"/>
              </w:rPr>
              <w:t>。本项目要求所有危险废物均在密闭容器内保存，以控制挥发性有机气体的产生</w:t>
            </w:r>
            <w:r>
              <w:rPr>
                <w:rFonts w:hint="eastAsia"/>
                <w:color w:val="FF0000"/>
                <w:lang w:eastAsia="zh-CN"/>
              </w:rPr>
              <w:t>，</w:t>
            </w:r>
            <w:r>
              <w:rPr>
                <w:rFonts w:hint="eastAsia" w:ascii="Times New Roman" w:hAnsi="Times New Roman" w:eastAsia="宋体" w:cs="Times New Roman"/>
                <w:color w:val="FF0000"/>
                <w:lang w:val="en-US" w:eastAsia="zh-CN"/>
              </w:rPr>
              <w:t>各危废中有机物综合VOC</w:t>
            </w:r>
            <w:r>
              <w:rPr>
                <w:rFonts w:ascii="Times New Roman" w:hAnsi="Times New Roman" w:eastAsia="宋体" w:cs="Times New Roman"/>
                <w:color w:val="FF0000"/>
                <w:kern w:val="0"/>
                <w:sz w:val="21"/>
                <w:szCs w:val="21"/>
                <w:highlight w:val="none"/>
                <w:lang w:val="en-US" w:eastAsia="zh-CN" w:bidi="ar-SA"/>
              </w:rPr>
              <w:t>s</w:t>
            </w:r>
            <w:r>
              <w:rPr>
                <w:rFonts w:hint="eastAsia" w:ascii="Times New Roman" w:hAnsi="Times New Roman" w:eastAsia="宋体" w:cs="Times New Roman"/>
                <w:color w:val="FF0000"/>
                <w:lang w:val="en-US" w:eastAsia="zh-CN"/>
              </w:rPr>
              <w:t>含量按30%计算，</w:t>
            </w:r>
            <w:r>
              <w:rPr>
                <w:rFonts w:hint="eastAsia" w:cs="Times New Roman"/>
                <w:color w:val="FF0000"/>
                <w:highlight w:val="none"/>
                <w:lang w:val="en-US" w:eastAsia="zh-CN"/>
              </w:rPr>
              <w:t>危险废物</w:t>
            </w:r>
            <w:r>
              <w:rPr>
                <w:rFonts w:hint="eastAsia" w:ascii="Times New Roman" w:hAnsi="Times New Roman" w:eastAsia="宋体" w:cs="Times New Roman"/>
                <w:color w:val="FF0000"/>
                <w:highlight w:val="none"/>
                <w:lang w:val="en-US" w:eastAsia="zh-CN"/>
              </w:rPr>
              <w:t>中有机物挥发系数取0.001，</w:t>
            </w:r>
            <w:r>
              <w:rPr>
                <w:rFonts w:hint="eastAsia"/>
                <w:color w:val="FF0000"/>
                <w:lang w:val="en-US" w:eastAsia="zh-CN"/>
              </w:rPr>
              <w:t>本项目危废量为15t/a，含有机物量为4.5t/a，</w:t>
            </w:r>
            <w:r>
              <w:rPr>
                <w:rFonts w:hint="default"/>
                <w:color w:val="FF0000"/>
                <w:lang w:val="en-US" w:eastAsia="zh-CN"/>
              </w:rPr>
              <w:t>VOCs产生量</w:t>
            </w:r>
            <w:r>
              <w:rPr>
                <w:rFonts w:hint="eastAsia"/>
                <w:color w:val="FF0000"/>
                <w:lang w:val="en-US" w:eastAsia="zh-CN"/>
              </w:rPr>
              <w:t>为0.005t/a，</w:t>
            </w:r>
            <w:r>
              <w:rPr>
                <w:rFonts w:hint="eastAsia" w:ascii="Times New Roman" w:hAnsi="Times New Roman" w:eastAsia="宋体" w:cs="Times New Roman"/>
                <w:color w:val="FF0000"/>
                <w:highlight w:val="none"/>
                <w:lang w:val="en-US" w:eastAsia="zh-CN"/>
              </w:rPr>
              <w:t>收集的</w:t>
            </w:r>
            <w:r>
              <w:rPr>
                <w:rFonts w:hint="eastAsia" w:cs="Times New Roman"/>
                <w:color w:val="FF0000"/>
                <w:lang w:val="en-US" w:eastAsia="zh-CN"/>
              </w:rPr>
              <w:t>危废贮存库</w:t>
            </w:r>
            <w:r>
              <w:rPr>
                <w:rFonts w:hint="eastAsia" w:ascii="Times New Roman" w:hAnsi="Times New Roman" w:eastAsia="宋体" w:cs="Times New Roman"/>
                <w:color w:val="FF0000"/>
                <w:highlight w:val="none"/>
                <w:lang w:val="en-US" w:eastAsia="zh-CN"/>
              </w:rPr>
              <w:t>废气通过</w:t>
            </w:r>
            <w:r>
              <w:rPr>
                <w:rFonts w:hint="eastAsia"/>
                <w:color w:val="FF0000"/>
                <w:lang w:val="en-US" w:eastAsia="zh-CN"/>
              </w:rPr>
              <w:t>活性炭吸附</w:t>
            </w:r>
            <w:r>
              <w:rPr>
                <w:rFonts w:hint="eastAsia"/>
                <w:color w:val="FF0000"/>
              </w:rPr>
              <w:t>（吸附效率</w:t>
            </w:r>
            <w:r>
              <w:rPr>
                <w:rFonts w:hint="eastAsia"/>
                <w:color w:val="FF0000"/>
                <w:lang w:val="en-US" w:eastAsia="zh-CN"/>
              </w:rPr>
              <w:t>9</w:t>
            </w:r>
            <w:r>
              <w:rPr>
                <w:rFonts w:hint="eastAsia"/>
                <w:color w:val="FF0000"/>
              </w:rPr>
              <w:t>0%）</w:t>
            </w:r>
            <w:r>
              <w:rPr>
                <w:rFonts w:hint="eastAsia"/>
                <w:color w:val="FF0000"/>
                <w:lang w:val="en-US" w:eastAsia="zh-CN"/>
              </w:rPr>
              <w:t>处理后由1根15m高排气筒P1排放</w:t>
            </w:r>
            <w:r>
              <w:rPr>
                <w:rFonts w:hint="eastAsia"/>
                <w:color w:val="FF0000"/>
              </w:rPr>
              <w:t>。</w:t>
            </w:r>
            <w:r>
              <w:rPr>
                <w:rFonts w:hint="eastAsia"/>
                <w:color w:val="FF0000"/>
                <w:lang w:val="en-US" w:eastAsia="zh-CN"/>
              </w:rPr>
              <w:t>本项目</w:t>
            </w:r>
            <w:r>
              <w:rPr>
                <w:rFonts w:hint="eastAsia" w:cs="Times New Roman"/>
                <w:color w:val="FF0000"/>
                <w:lang w:val="en-US" w:eastAsia="zh-CN"/>
              </w:rPr>
              <w:t>危废贮存库</w:t>
            </w:r>
            <w:r>
              <w:rPr>
                <w:rFonts w:hint="eastAsia" w:cs="Times New Roman"/>
                <w:color w:val="FF0000"/>
                <w:highlight w:val="none"/>
                <w:lang w:val="en-US" w:eastAsia="zh-CN"/>
              </w:rPr>
              <w:t>非甲烷总烃排放量为0.0005</w:t>
            </w:r>
            <w:r>
              <w:rPr>
                <w:rFonts w:hint="eastAsia"/>
                <w:color w:val="FF0000"/>
                <w:lang w:val="en-US" w:eastAsia="zh-CN"/>
              </w:rPr>
              <w:t>t/a。</w:t>
            </w:r>
          </w:p>
          <w:p w14:paraId="2566C714">
            <w:pPr>
              <w:pStyle w:val="84"/>
              <w:rPr>
                <w:rFonts w:hint="default" w:eastAsia="宋体"/>
                <w:color w:val="auto"/>
                <w:lang w:val="en-US" w:eastAsia="zh-CN"/>
              </w:rPr>
            </w:pPr>
            <w:r>
              <w:rPr>
                <w:color w:val="auto"/>
              </w:rPr>
              <w:t>（</w:t>
            </w:r>
            <w:r>
              <w:rPr>
                <w:rFonts w:hint="eastAsia"/>
                <w:color w:val="auto"/>
                <w:lang w:val="en-US" w:eastAsia="zh-CN"/>
              </w:rPr>
              <w:t>四</w:t>
            </w:r>
            <w:r>
              <w:rPr>
                <w:color w:val="auto"/>
              </w:rPr>
              <w:t>）</w:t>
            </w:r>
            <w:r>
              <w:rPr>
                <w:rFonts w:hint="eastAsia"/>
                <w:color w:val="auto"/>
                <w:lang w:val="en-US" w:eastAsia="zh-CN"/>
              </w:rPr>
              <w:t>非正常工况</w:t>
            </w:r>
          </w:p>
          <w:p w14:paraId="21B44CC1">
            <w:pPr>
              <w:pStyle w:val="77"/>
              <w:rPr>
                <w:color w:val="auto"/>
                <w:lang w:val="en-US" w:eastAsia="zh-CN"/>
              </w:rPr>
            </w:pPr>
            <w:r>
              <w:rPr>
                <w:rFonts w:hint="eastAsia"/>
                <w:color w:val="auto"/>
                <w:lang w:val="en-US" w:eastAsia="zh-CN"/>
              </w:rPr>
              <w:t>《污染源源强核算技术指南 准则》（HJ884-2018）中指出：生产设施非正常工况是指开停炉（机）、设备检修、工艺设备运转异常等工况，污染防治（控制）设施非正常状况指达不到应有治理效率或同步运转率等情况。</w:t>
            </w:r>
          </w:p>
          <w:p w14:paraId="05B73082">
            <w:pPr>
              <w:pStyle w:val="77"/>
              <w:rPr>
                <w:color w:val="auto"/>
              </w:rPr>
            </w:pPr>
            <w:r>
              <w:rPr>
                <w:rFonts w:hint="eastAsia"/>
                <w:color w:val="auto"/>
              </w:rPr>
              <w:t>本项目的非正常工况主要是污染物排放治理措施达不到应有效率，造成废气中污染物</w:t>
            </w:r>
            <w:r>
              <w:rPr>
                <w:rFonts w:hint="eastAsia"/>
                <w:color w:val="auto"/>
                <w:lang w:val="en-US" w:eastAsia="zh-CN"/>
              </w:rPr>
              <w:t>处理效率下降</w:t>
            </w:r>
            <w:r>
              <w:rPr>
                <w:rFonts w:hint="eastAsia"/>
                <w:color w:val="auto"/>
              </w:rPr>
              <w:t>，其排放情况如下表所示：</w:t>
            </w:r>
          </w:p>
          <w:p w14:paraId="3A246A1E">
            <w:pPr>
              <w:pStyle w:val="78"/>
              <w:rPr>
                <w:rFonts w:hint="eastAsia" w:eastAsia="宋体"/>
                <w:color w:val="auto"/>
                <w:lang w:val="en-US" w:eastAsia="zh-CN"/>
              </w:rPr>
            </w:pPr>
            <w:r>
              <w:rPr>
                <w:color w:val="auto"/>
              </w:rPr>
              <w:t>表4-2 非正常</w:t>
            </w:r>
            <w:r>
              <w:rPr>
                <w:rFonts w:hint="eastAsia"/>
                <w:color w:val="auto"/>
                <w:lang w:val="en-US" w:eastAsia="zh-CN"/>
              </w:rPr>
              <w:t>工况</w:t>
            </w:r>
          </w:p>
          <w:tbl>
            <w:tblPr>
              <w:tblStyle w:val="19"/>
              <w:tblW w:w="496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40"/>
              <w:gridCol w:w="756"/>
              <w:gridCol w:w="920"/>
              <w:gridCol w:w="790"/>
              <w:gridCol w:w="749"/>
              <w:gridCol w:w="940"/>
              <w:gridCol w:w="579"/>
              <w:gridCol w:w="716"/>
            </w:tblGrid>
            <w:tr w14:paraId="7D6DB9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6" w:hRule="atLeast"/>
                <w:jc w:val="center"/>
              </w:trPr>
              <w:tc>
                <w:tcPr>
                  <w:tcW w:w="1456" w:type="pct"/>
                  <w:tcBorders>
                    <w:top w:val="single" w:color="auto" w:sz="12" w:space="0"/>
                    <w:left w:val="nil"/>
                  </w:tcBorders>
                  <w:noWrap w:val="0"/>
                  <w:vAlign w:val="center"/>
                </w:tcPr>
                <w:p w14:paraId="180CCACB">
                  <w:pPr>
                    <w:overflowPunct w:val="0"/>
                    <w:adjustRightInd w:val="0"/>
                    <w:jc w:val="center"/>
                    <w:textAlignment w:val="baseline"/>
                    <w:rPr>
                      <w:color w:val="auto"/>
                      <w:szCs w:val="21"/>
                    </w:rPr>
                  </w:pPr>
                  <w:r>
                    <w:rPr>
                      <w:color w:val="auto"/>
                      <w:szCs w:val="21"/>
                    </w:rPr>
                    <w:t>污染源</w:t>
                  </w:r>
                </w:p>
              </w:tc>
              <w:tc>
                <w:tcPr>
                  <w:tcW w:w="491" w:type="pct"/>
                  <w:tcBorders>
                    <w:top w:val="single" w:color="auto" w:sz="12" w:space="0"/>
                  </w:tcBorders>
                  <w:noWrap w:val="0"/>
                  <w:vAlign w:val="center"/>
                </w:tcPr>
                <w:p w14:paraId="2137E506">
                  <w:pPr>
                    <w:overflowPunct w:val="0"/>
                    <w:adjustRightInd w:val="0"/>
                    <w:jc w:val="center"/>
                    <w:textAlignment w:val="baseline"/>
                    <w:rPr>
                      <w:bCs/>
                      <w:color w:val="auto"/>
                      <w:szCs w:val="21"/>
                    </w:rPr>
                  </w:pPr>
                  <w:r>
                    <w:rPr>
                      <w:color w:val="auto"/>
                      <w:szCs w:val="21"/>
                    </w:rPr>
                    <w:t>污染物</w:t>
                  </w:r>
                </w:p>
              </w:tc>
              <w:tc>
                <w:tcPr>
                  <w:tcW w:w="598" w:type="pct"/>
                  <w:tcBorders>
                    <w:top w:val="single" w:color="auto" w:sz="12" w:space="0"/>
                  </w:tcBorders>
                  <w:noWrap w:val="0"/>
                  <w:vAlign w:val="center"/>
                </w:tcPr>
                <w:p w14:paraId="6C5DC266">
                  <w:pPr>
                    <w:overflowPunct w:val="0"/>
                    <w:adjustRightInd w:val="0"/>
                    <w:jc w:val="center"/>
                    <w:textAlignment w:val="baseline"/>
                    <w:rPr>
                      <w:bCs/>
                      <w:color w:val="auto"/>
                      <w:szCs w:val="21"/>
                    </w:rPr>
                  </w:pPr>
                  <w:r>
                    <w:rPr>
                      <w:color w:val="auto"/>
                      <w:szCs w:val="21"/>
                    </w:rPr>
                    <w:t>产生速率(kg/h)</w:t>
                  </w:r>
                </w:p>
              </w:tc>
              <w:tc>
                <w:tcPr>
                  <w:tcW w:w="513" w:type="pct"/>
                  <w:tcBorders>
                    <w:top w:val="single" w:color="auto" w:sz="12" w:space="0"/>
                  </w:tcBorders>
                  <w:noWrap w:val="0"/>
                  <w:vAlign w:val="center"/>
                </w:tcPr>
                <w:p w14:paraId="2EE0A7E9">
                  <w:pPr>
                    <w:overflowPunct w:val="0"/>
                    <w:adjustRightInd w:val="0"/>
                    <w:jc w:val="center"/>
                    <w:textAlignment w:val="baseline"/>
                    <w:rPr>
                      <w:rFonts w:hint="eastAsia" w:eastAsia="宋体"/>
                      <w:color w:val="auto"/>
                      <w:szCs w:val="21"/>
                      <w:lang w:val="en-US" w:eastAsia="zh-CN"/>
                    </w:rPr>
                  </w:pPr>
                  <w:r>
                    <w:rPr>
                      <w:rFonts w:hint="eastAsia"/>
                      <w:color w:val="auto"/>
                      <w:szCs w:val="21"/>
                      <w:lang w:val="en-US" w:eastAsia="zh-CN"/>
                    </w:rPr>
                    <w:t>浓度</w:t>
                  </w:r>
                </w:p>
              </w:tc>
              <w:tc>
                <w:tcPr>
                  <w:tcW w:w="487" w:type="pct"/>
                  <w:tcBorders>
                    <w:top w:val="single" w:color="auto" w:sz="12" w:space="0"/>
                  </w:tcBorders>
                  <w:noWrap w:val="0"/>
                  <w:vAlign w:val="center"/>
                </w:tcPr>
                <w:p w14:paraId="17F4E4CC">
                  <w:pPr>
                    <w:overflowPunct w:val="0"/>
                    <w:adjustRightInd w:val="0"/>
                    <w:jc w:val="center"/>
                    <w:textAlignment w:val="baseline"/>
                    <w:rPr>
                      <w:bCs/>
                      <w:color w:val="auto"/>
                      <w:szCs w:val="21"/>
                    </w:rPr>
                  </w:pPr>
                  <w:r>
                    <w:rPr>
                      <w:color w:val="auto"/>
                      <w:szCs w:val="21"/>
                    </w:rPr>
                    <w:t>非正常排放原因</w:t>
                  </w:r>
                </w:p>
              </w:tc>
              <w:tc>
                <w:tcPr>
                  <w:tcW w:w="611" w:type="pct"/>
                  <w:tcBorders>
                    <w:top w:val="single" w:color="auto" w:sz="12" w:space="0"/>
                  </w:tcBorders>
                  <w:noWrap w:val="0"/>
                  <w:vAlign w:val="center"/>
                </w:tcPr>
                <w:p w14:paraId="3B9C2CFC">
                  <w:pPr>
                    <w:overflowPunct w:val="0"/>
                    <w:adjustRightInd w:val="0"/>
                    <w:jc w:val="center"/>
                    <w:textAlignment w:val="baseline"/>
                    <w:rPr>
                      <w:bCs/>
                      <w:color w:val="auto"/>
                      <w:szCs w:val="21"/>
                    </w:rPr>
                  </w:pPr>
                  <w:r>
                    <w:rPr>
                      <w:color w:val="auto"/>
                      <w:szCs w:val="21"/>
                    </w:rPr>
                    <w:t>排放速率(kg/h)</w:t>
                  </w:r>
                </w:p>
              </w:tc>
              <w:tc>
                <w:tcPr>
                  <w:tcW w:w="376" w:type="pct"/>
                  <w:tcBorders>
                    <w:top w:val="single" w:color="auto" w:sz="12" w:space="0"/>
                    <w:right w:val="nil"/>
                  </w:tcBorders>
                  <w:noWrap w:val="0"/>
                  <w:vAlign w:val="center"/>
                </w:tcPr>
                <w:p w14:paraId="197BA0D0">
                  <w:pPr>
                    <w:overflowPunct w:val="0"/>
                    <w:adjustRightInd w:val="0"/>
                    <w:jc w:val="center"/>
                    <w:textAlignment w:val="baseline"/>
                    <w:rPr>
                      <w:color w:val="auto"/>
                      <w:szCs w:val="21"/>
                    </w:rPr>
                  </w:pPr>
                  <w:r>
                    <w:rPr>
                      <w:rFonts w:ascii="Times New Roman" w:hAnsi="Times New Roman" w:eastAsia="宋体"/>
                      <w:color w:val="auto"/>
                      <w:highlight w:val="none"/>
                    </w:rPr>
                    <w:t>年发生频次/次</w:t>
                  </w:r>
                </w:p>
              </w:tc>
              <w:tc>
                <w:tcPr>
                  <w:tcW w:w="465" w:type="pct"/>
                  <w:tcBorders>
                    <w:top w:val="single" w:color="auto" w:sz="12" w:space="0"/>
                    <w:right w:val="nil"/>
                  </w:tcBorders>
                  <w:noWrap w:val="0"/>
                  <w:vAlign w:val="center"/>
                </w:tcPr>
                <w:p w14:paraId="63E67916">
                  <w:pPr>
                    <w:overflowPunct w:val="0"/>
                    <w:adjustRightInd w:val="0"/>
                    <w:jc w:val="center"/>
                    <w:textAlignment w:val="baseline"/>
                    <w:rPr>
                      <w:bCs/>
                      <w:color w:val="auto"/>
                      <w:szCs w:val="21"/>
                    </w:rPr>
                  </w:pPr>
                  <w:r>
                    <w:rPr>
                      <w:color w:val="auto"/>
                      <w:szCs w:val="21"/>
                    </w:rPr>
                    <w:t>单次持续时间(h)</w:t>
                  </w:r>
                </w:p>
              </w:tc>
            </w:tr>
            <w:tr w14:paraId="48753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456" w:type="pct"/>
                  <w:tcBorders>
                    <w:left w:val="nil"/>
                  </w:tcBorders>
                  <w:noWrap w:val="0"/>
                  <w:vAlign w:val="center"/>
                </w:tcPr>
                <w:p w14:paraId="60D92D3C">
                  <w:pPr>
                    <w:pStyle w:val="29"/>
                    <w:spacing w:line="240" w:lineRule="auto"/>
                    <w:rPr>
                      <w:rFonts w:ascii="Times New Roman"/>
                      <w:color w:val="auto"/>
                      <w:sz w:val="21"/>
                      <w:szCs w:val="21"/>
                    </w:rPr>
                  </w:pPr>
                  <w:r>
                    <w:rPr>
                      <w:rFonts w:hint="eastAsia" w:cs="Arial"/>
                      <w:color w:val="auto"/>
                      <w:sz w:val="21"/>
                      <w:szCs w:val="21"/>
                    </w:rPr>
                    <w:t>切割粉尘非正常排放</w:t>
                  </w:r>
                </w:p>
              </w:tc>
              <w:tc>
                <w:tcPr>
                  <w:tcW w:w="491" w:type="pct"/>
                  <w:noWrap w:val="0"/>
                  <w:vAlign w:val="center"/>
                </w:tcPr>
                <w:p w14:paraId="6D85F5C3">
                  <w:pPr>
                    <w:pStyle w:val="29"/>
                    <w:spacing w:line="240" w:lineRule="auto"/>
                    <w:rPr>
                      <w:rFonts w:ascii="Times New Roman"/>
                      <w:bCs/>
                      <w:color w:val="auto"/>
                      <w:sz w:val="21"/>
                      <w:szCs w:val="21"/>
                    </w:rPr>
                  </w:pPr>
                  <w:r>
                    <w:rPr>
                      <w:rFonts w:hint="eastAsia" w:ascii="Times New Roman"/>
                      <w:bCs/>
                      <w:color w:val="auto"/>
                      <w:sz w:val="21"/>
                      <w:szCs w:val="21"/>
                    </w:rPr>
                    <w:t>颗粒物</w:t>
                  </w:r>
                </w:p>
              </w:tc>
              <w:tc>
                <w:tcPr>
                  <w:tcW w:w="598" w:type="pct"/>
                  <w:noWrap w:val="0"/>
                  <w:vAlign w:val="center"/>
                </w:tcPr>
                <w:p w14:paraId="7131D6B6">
                  <w:pPr>
                    <w:jc w:val="center"/>
                    <w:rPr>
                      <w:rFonts w:hint="default"/>
                      <w:color w:val="auto"/>
                      <w:sz w:val="21"/>
                      <w:szCs w:val="21"/>
                      <w:lang w:val="en-US"/>
                    </w:rPr>
                  </w:pPr>
                  <w:r>
                    <w:rPr>
                      <w:rFonts w:hint="eastAsia"/>
                      <w:color w:val="auto"/>
                      <w:sz w:val="21"/>
                      <w:szCs w:val="21"/>
                    </w:rPr>
                    <w:t>0.</w:t>
                  </w:r>
                  <w:r>
                    <w:rPr>
                      <w:rFonts w:hint="eastAsia"/>
                      <w:color w:val="auto"/>
                      <w:sz w:val="21"/>
                      <w:szCs w:val="21"/>
                      <w:lang w:val="en-US" w:eastAsia="zh-CN"/>
                    </w:rPr>
                    <w:t>1</w:t>
                  </w:r>
                </w:p>
              </w:tc>
              <w:tc>
                <w:tcPr>
                  <w:tcW w:w="513" w:type="pct"/>
                  <w:noWrap w:val="0"/>
                  <w:vAlign w:val="center"/>
                </w:tcPr>
                <w:p w14:paraId="3ED79351">
                  <w:pPr>
                    <w:pStyle w:val="29"/>
                    <w:spacing w:line="240" w:lineRule="auto"/>
                    <w:rPr>
                      <w:rFonts w:hint="eastAsia" w:ascii="Times New Roman" w:eastAsia="宋体"/>
                      <w:color w:val="auto"/>
                      <w:sz w:val="21"/>
                      <w:szCs w:val="21"/>
                      <w:lang w:val="en-US" w:eastAsia="zh-CN"/>
                    </w:rPr>
                  </w:pPr>
                  <w:r>
                    <w:rPr>
                      <w:rFonts w:hint="eastAsia" w:ascii="Times New Roman"/>
                      <w:color w:val="auto"/>
                      <w:sz w:val="21"/>
                      <w:szCs w:val="21"/>
                      <w:lang w:val="en-US" w:eastAsia="zh-CN"/>
                    </w:rPr>
                    <w:t>/</w:t>
                  </w:r>
                </w:p>
              </w:tc>
              <w:tc>
                <w:tcPr>
                  <w:tcW w:w="487" w:type="pct"/>
                  <w:noWrap w:val="0"/>
                  <w:vAlign w:val="center"/>
                </w:tcPr>
                <w:p w14:paraId="6880774F">
                  <w:pPr>
                    <w:pStyle w:val="29"/>
                    <w:spacing w:line="240" w:lineRule="auto"/>
                    <w:rPr>
                      <w:rFonts w:ascii="Times New Roman"/>
                      <w:color w:val="auto"/>
                      <w:sz w:val="21"/>
                      <w:szCs w:val="21"/>
                    </w:rPr>
                  </w:pPr>
                  <w:r>
                    <w:rPr>
                      <w:rFonts w:ascii="Times New Roman"/>
                      <w:color w:val="auto"/>
                      <w:sz w:val="21"/>
                      <w:szCs w:val="21"/>
                    </w:rPr>
                    <w:t>移动式布袋除尘器处理效率为</w:t>
                  </w:r>
                  <w:r>
                    <w:rPr>
                      <w:rFonts w:hint="eastAsia" w:ascii="Times New Roman"/>
                      <w:color w:val="auto"/>
                      <w:sz w:val="21"/>
                      <w:szCs w:val="21"/>
                    </w:rPr>
                    <w:t>50%</w:t>
                  </w:r>
                </w:p>
              </w:tc>
              <w:tc>
                <w:tcPr>
                  <w:tcW w:w="611" w:type="pct"/>
                  <w:noWrap w:val="0"/>
                  <w:vAlign w:val="center"/>
                </w:tcPr>
                <w:p w14:paraId="7B337F6D">
                  <w:pPr>
                    <w:jc w:val="center"/>
                    <w:rPr>
                      <w:rFonts w:hint="default" w:eastAsia="宋体"/>
                      <w:color w:val="auto"/>
                      <w:sz w:val="21"/>
                      <w:szCs w:val="21"/>
                      <w:lang w:val="en-US" w:eastAsia="zh-CN"/>
                    </w:rPr>
                  </w:pPr>
                  <w:r>
                    <w:rPr>
                      <w:rFonts w:hint="eastAsia"/>
                      <w:color w:val="auto"/>
                      <w:sz w:val="21"/>
                      <w:szCs w:val="21"/>
                    </w:rPr>
                    <w:t>0.</w:t>
                  </w:r>
                  <w:r>
                    <w:rPr>
                      <w:rFonts w:hint="eastAsia"/>
                      <w:color w:val="auto"/>
                      <w:sz w:val="21"/>
                      <w:szCs w:val="21"/>
                      <w:lang w:val="en-US" w:eastAsia="zh-CN"/>
                    </w:rPr>
                    <w:t>05</w:t>
                  </w:r>
                </w:p>
              </w:tc>
              <w:tc>
                <w:tcPr>
                  <w:tcW w:w="376" w:type="pct"/>
                  <w:vMerge w:val="restart"/>
                  <w:tcBorders>
                    <w:right w:val="nil"/>
                  </w:tcBorders>
                  <w:noWrap w:val="0"/>
                  <w:vAlign w:val="center"/>
                </w:tcPr>
                <w:p w14:paraId="738A80CC">
                  <w:pPr>
                    <w:pStyle w:val="29"/>
                    <w:spacing w:line="240" w:lineRule="auto"/>
                    <w:rPr>
                      <w:rFonts w:hint="eastAsia" w:ascii="Times New Roman" w:eastAsia="宋体"/>
                      <w:bCs/>
                      <w:color w:val="auto"/>
                      <w:sz w:val="21"/>
                      <w:szCs w:val="21"/>
                      <w:lang w:val="en-US" w:eastAsia="zh-CN"/>
                    </w:rPr>
                  </w:pPr>
                  <w:r>
                    <w:rPr>
                      <w:rFonts w:hint="eastAsia" w:ascii="Times New Roman"/>
                      <w:bCs/>
                      <w:color w:val="auto"/>
                      <w:sz w:val="21"/>
                      <w:szCs w:val="21"/>
                      <w:lang w:val="en-US" w:eastAsia="zh-CN"/>
                    </w:rPr>
                    <w:t>1</w:t>
                  </w:r>
                </w:p>
              </w:tc>
              <w:tc>
                <w:tcPr>
                  <w:tcW w:w="465" w:type="pct"/>
                  <w:vMerge w:val="restart"/>
                  <w:tcBorders>
                    <w:right w:val="nil"/>
                  </w:tcBorders>
                  <w:noWrap w:val="0"/>
                  <w:vAlign w:val="center"/>
                </w:tcPr>
                <w:p w14:paraId="2AB57C44">
                  <w:pPr>
                    <w:pStyle w:val="29"/>
                    <w:spacing w:line="240" w:lineRule="auto"/>
                    <w:rPr>
                      <w:rFonts w:ascii="Times New Roman"/>
                      <w:bCs/>
                      <w:color w:val="auto"/>
                      <w:sz w:val="21"/>
                      <w:szCs w:val="21"/>
                    </w:rPr>
                  </w:pPr>
                  <w:r>
                    <w:rPr>
                      <w:rFonts w:hint="eastAsia" w:ascii="Times New Roman"/>
                      <w:bCs/>
                      <w:color w:val="auto"/>
                      <w:sz w:val="21"/>
                      <w:szCs w:val="21"/>
                    </w:rPr>
                    <w:t>1</w:t>
                  </w:r>
                </w:p>
              </w:tc>
            </w:tr>
            <w:tr w14:paraId="34089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1456" w:type="pct"/>
                  <w:tcBorders>
                    <w:left w:val="nil"/>
                  </w:tcBorders>
                  <w:noWrap w:val="0"/>
                  <w:vAlign w:val="center"/>
                </w:tcPr>
                <w:p w14:paraId="51D1CE30">
                  <w:pPr>
                    <w:pStyle w:val="29"/>
                    <w:spacing w:line="240" w:lineRule="auto"/>
                    <w:rPr>
                      <w:rFonts w:cs="Arial"/>
                      <w:color w:val="auto"/>
                      <w:sz w:val="21"/>
                      <w:szCs w:val="21"/>
                    </w:rPr>
                  </w:pPr>
                  <w:r>
                    <w:rPr>
                      <w:rFonts w:hint="eastAsia"/>
                      <w:color w:val="auto"/>
                      <w:sz w:val="21"/>
                      <w:szCs w:val="21"/>
                    </w:rPr>
                    <w:t>抽油工段有机废气非正常排放</w:t>
                  </w:r>
                </w:p>
              </w:tc>
              <w:tc>
                <w:tcPr>
                  <w:tcW w:w="491" w:type="pct"/>
                  <w:noWrap w:val="0"/>
                  <w:vAlign w:val="center"/>
                </w:tcPr>
                <w:p w14:paraId="1D7AE237">
                  <w:pPr>
                    <w:pStyle w:val="29"/>
                    <w:spacing w:line="240" w:lineRule="auto"/>
                    <w:rPr>
                      <w:rFonts w:hint="eastAsia" w:ascii="Times New Roman"/>
                      <w:bCs/>
                      <w:color w:val="auto"/>
                      <w:sz w:val="21"/>
                      <w:szCs w:val="21"/>
                    </w:rPr>
                  </w:pPr>
                  <w:r>
                    <w:rPr>
                      <w:rFonts w:hint="eastAsia" w:ascii="Times New Roman"/>
                      <w:bCs/>
                      <w:color w:val="auto"/>
                      <w:sz w:val="21"/>
                      <w:szCs w:val="21"/>
                    </w:rPr>
                    <w:t>非甲烷总烃</w:t>
                  </w:r>
                </w:p>
              </w:tc>
              <w:tc>
                <w:tcPr>
                  <w:tcW w:w="598" w:type="pct"/>
                  <w:noWrap w:val="0"/>
                  <w:vAlign w:val="center"/>
                </w:tcPr>
                <w:p w14:paraId="30904A56">
                  <w:pPr>
                    <w:jc w:val="center"/>
                    <w:rPr>
                      <w:rFonts w:hint="default" w:eastAsia="宋体"/>
                      <w:color w:val="auto"/>
                      <w:sz w:val="21"/>
                      <w:szCs w:val="21"/>
                      <w:lang w:val="en-US" w:eastAsia="zh-CN"/>
                    </w:rPr>
                  </w:pPr>
                  <w:r>
                    <w:rPr>
                      <w:rFonts w:hint="eastAsia"/>
                      <w:color w:val="auto"/>
                      <w:sz w:val="21"/>
                      <w:szCs w:val="21"/>
                      <w:lang w:val="en-US" w:eastAsia="zh-CN"/>
                    </w:rPr>
                    <w:t>1.24</w:t>
                  </w:r>
                </w:p>
              </w:tc>
              <w:tc>
                <w:tcPr>
                  <w:tcW w:w="513" w:type="pct"/>
                  <w:noWrap w:val="0"/>
                  <w:vAlign w:val="center"/>
                </w:tcPr>
                <w:p w14:paraId="62D54703">
                  <w:pPr>
                    <w:pStyle w:val="29"/>
                    <w:spacing w:line="240" w:lineRule="auto"/>
                    <w:rPr>
                      <w:rFonts w:hint="default" w:ascii="Times New Roman" w:hAnsi="Times New Roman" w:eastAsia="宋体" w:cs="Times New Roman"/>
                      <w:color w:val="auto"/>
                      <w:sz w:val="21"/>
                      <w:szCs w:val="21"/>
                      <w:lang w:val="en-US" w:eastAsia="zh-CN" w:bidi="ar-SA"/>
                    </w:rPr>
                  </w:pPr>
                  <w:r>
                    <w:rPr>
                      <w:rFonts w:hint="eastAsia" w:ascii="Times New Roman"/>
                      <w:color w:val="auto"/>
                      <w:sz w:val="21"/>
                      <w:szCs w:val="21"/>
                      <w:lang w:val="en-US" w:eastAsia="zh-CN"/>
                    </w:rPr>
                    <w:t>/</w:t>
                  </w:r>
                </w:p>
              </w:tc>
              <w:tc>
                <w:tcPr>
                  <w:tcW w:w="487" w:type="pct"/>
                  <w:vMerge w:val="restart"/>
                  <w:noWrap w:val="0"/>
                  <w:vAlign w:val="center"/>
                </w:tcPr>
                <w:p w14:paraId="4413506F">
                  <w:pPr>
                    <w:pStyle w:val="29"/>
                    <w:spacing w:line="240" w:lineRule="auto"/>
                    <w:rPr>
                      <w:rFonts w:ascii="Times New Roman"/>
                      <w:color w:val="auto"/>
                      <w:sz w:val="21"/>
                      <w:szCs w:val="21"/>
                    </w:rPr>
                  </w:pPr>
                  <w:r>
                    <w:rPr>
                      <w:rFonts w:hint="eastAsia"/>
                      <w:color w:val="auto"/>
                      <w:sz w:val="21"/>
                      <w:szCs w:val="21"/>
                    </w:rPr>
                    <w:t>活性炭吸附装置</w:t>
                  </w:r>
                  <w:r>
                    <w:rPr>
                      <w:rFonts w:ascii="Times New Roman"/>
                      <w:color w:val="auto"/>
                      <w:sz w:val="21"/>
                      <w:szCs w:val="21"/>
                    </w:rPr>
                    <w:t>处理效率为</w:t>
                  </w:r>
                  <w:r>
                    <w:rPr>
                      <w:rFonts w:hint="eastAsia" w:ascii="Times New Roman"/>
                      <w:color w:val="auto"/>
                      <w:sz w:val="21"/>
                      <w:szCs w:val="21"/>
                    </w:rPr>
                    <w:t>50%</w:t>
                  </w:r>
                </w:p>
              </w:tc>
              <w:tc>
                <w:tcPr>
                  <w:tcW w:w="611" w:type="pct"/>
                  <w:noWrap w:val="0"/>
                  <w:vAlign w:val="center"/>
                </w:tcPr>
                <w:p w14:paraId="2AE68236">
                  <w:pPr>
                    <w:jc w:val="center"/>
                    <w:rPr>
                      <w:rFonts w:hint="default" w:ascii="Times New Roman" w:hAnsi="Times New Roman" w:eastAsia="宋体" w:cs="Times New Roman"/>
                      <w:color w:val="auto"/>
                      <w:kern w:val="2"/>
                      <w:sz w:val="21"/>
                      <w:szCs w:val="21"/>
                      <w:lang w:val="en-US" w:eastAsia="zh-CN" w:bidi="ar-SA"/>
                    </w:rPr>
                  </w:pPr>
                  <w:r>
                    <w:rPr>
                      <w:rFonts w:hint="eastAsia"/>
                      <w:color w:val="auto"/>
                      <w:sz w:val="21"/>
                      <w:szCs w:val="21"/>
                      <w:lang w:val="en-US" w:eastAsia="zh-CN"/>
                    </w:rPr>
                    <w:t>1.24</w:t>
                  </w:r>
                </w:p>
              </w:tc>
              <w:tc>
                <w:tcPr>
                  <w:tcW w:w="376" w:type="pct"/>
                  <w:vMerge w:val="continue"/>
                  <w:tcBorders>
                    <w:right w:val="nil"/>
                  </w:tcBorders>
                  <w:noWrap w:val="0"/>
                  <w:vAlign w:val="center"/>
                </w:tcPr>
                <w:p w14:paraId="4D6980EE">
                  <w:pPr>
                    <w:pStyle w:val="29"/>
                    <w:spacing w:line="240" w:lineRule="auto"/>
                    <w:rPr>
                      <w:rFonts w:hint="eastAsia" w:ascii="Times New Roman"/>
                      <w:bCs/>
                      <w:color w:val="auto"/>
                      <w:sz w:val="21"/>
                      <w:szCs w:val="21"/>
                    </w:rPr>
                  </w:pPr>
                </w:p>
              </w:tc>
              <w:tc>
                <w:tcPr>
                  <w:tcW w:w="465" w:type="pct"/>
                  <w:vMerge w:val="continue"/>
                  <w:tcBorders>
                    <w:right w:val="nil"/>
                  </w:tcBorders>
                  <w:noWrap w:val="0"/>
                  <w:vAlign w:val="center"/>
                </w:tcPr>
                <w:p w14:paraId="2EA55FD4">
                  <w:pPr>
                    <w:pStyle w:val="29"/>
                    <w:spacing w:line="240" w:lineRule="auto"/>
                    <w:rPr>
                      <w:rFonts w:hint="eastAsia" w:ascii="Times New Roman"/>
                      <w:bCs/>
                      <w:color w:val="auto"/>
                      <w:sz w:val="21"/>
                      <w:szCs w:val="21"/>
                    </w:rPr>
                  </w:pPr>
                </w:p>
              </w:tc>
            </w:tr>
            <w:tr w14:paraId="6E5EDB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41" w:hRule="atLeast"/>
                <w:jc w:val="center"/>
              </w:trPr>
              <w:tc>
                <w:tcPr>
                  <w:tcW w:w="1456" w:type="pct"/>
                  <w:tcBorders>
                    <w:left w:val="nil"/>
                  </w:tcBorders>
                  <w:noWrap w:val="0"/>
                  <w:vAlign w:val="center"/>
                </w:tcPr>
                <w:p w14:paraId="19FB215B">
                  <w:pPr>
                    <w:pStyle w:val="29"/>
                    <w:spacing w:line="240" w:lineRule="auto"/>
                    <w:rPr>
                      <w:rFonts w:hint="eastAsia" w:eastAsia="宋体"/>
                      <w:color w:val="auto"/>
                      <w:sz w:val="21"/>
                      <w:szCs w:val="21"/>
                      <w:lang w:val="en-US" w:eastAsia="zh-CN"/>
                    </w:rPr>
                  </w:pPr>
                  <w:r>
                    <w:rPr>
                      <w:rFonts w:hint="eastAsia"/>
                      <w:color w:val="auto"/>
                      <w:sz w:val="21"/>
                      <w:szCs w:val="21"/>
                      <w:lang w:val="en-US" w:eastAsia="zh-CN"/>
                    </w:rPr>
                    <w:t>危废贮存库</w:t>
                  </w:r>
                </w:p>
              </w:tc>
              <w:tc>
                <w:tcPr>
                  <w:tcW w:w="491" w:type="pct"/>
                  <w:noWrap w:val="0"/>
                  <w:vAlign w:val="center"/>
                </w:tcPr>
                <w:p w14:paraId="6119896D">
                  <w:pPr>
                    <w:pStyle w:val="29"/>
                    <w:spacing w:line="240" w:lineRule="auto"/>
                    <w:rPr>
                      <w:rFonts w:hint="eastAsia" w:ascii="Times New Roman"/>
                      <w:bCs/>
                      <w:color w:val="auto"/>
                      <w:sz w:val="21"/>
                      <w:szCs w:val="21"/>
                    </w:rPr>
                  </w:pPr>
                  <w:r>
                    <w:rPr>
                      <w:rFonts w:hint="eastAsia" w:ascii="Times New Roman"/>
                      <w:bCs/>
                      <w:color w:val="auto"/>
                      <w:sz w:val="21"/>
                      <w:szCs w:val="21"/>
                    </w:rPr>
                    <w:t>非甲烷总烃</w:t>
                  </w:r>
                </w:p>
              </w:tc>
              <w:tc>
                <w:tcPr>
                  <w:tcW w:w="598" w:type="pct"/>
                  <w:noWrap w:val="0"/>
                  <w:vAlign w:val="center"/>
                </w:tcPr>
                <w:p w14:paraId="60B09DD3">
                  <w:pPr>
                    <w:jc w:val="center"/>
                    <w:rPr>
                      <w:rFonts w:hint="default"/>
                      <w:color w:val="auto"/>
                      <w:sz w:val="21"/>
                      <w:szCs w:val="21"/>
                      <w:lang w:val="en-US" w:eastAsia="zh-CN"/>
                    </w:rPr>
                  </w:pPr>
                  <w:r>
                    <w:rPr>
                      <w:rFonts w:hint="eastAsia"/>
                      <w:color w:val="auto"/>
                      <w:sz w:val="21"/>
                      <w:szCs w:val="21"/>
                      <w:lang w:val="en-US" w:eastAsia="zh-CN"/>
                    </w:rPr>
                    <w:t>0.0007</w:t>
                  </w:r>
                </w:p>
              </w:tc>
              <w:tc>
                <w:tcPr>
                  <w:tcW w:w="513" w:type="pct"/>
                  <w:noWrap w:val="0"/>
                  <w:vAlign w:val="center"/>
                </w:tcPr>
                <w:p w14:paraId="55108594">
                  <w:pPr>
                    <w:pStyle w:val="29"/>
                    <w:spacing w:line="240" w:lineRule="auto"/>
                    <w:rPr>
                      <w:rFonts w:hint="default" w:ascii="Times New Roman"/>
                      <w:color w:val="auto"/>
                      <w:sz w:val="21"/>
                      <w:szCs w:val="21"/>
                      <w:lang w:val="en-US" w:eastAsia="zh-CN"/>
                    </w:rPr>
                  </w:pPr>
                  <w:r>
                    <w:rPr>
                      <w:rFonts w:hint="eastAsia" w:ascii="Times New Roman"/>
                      <w:color w:val="auto"/>
                      <w:sz w:val="21"/>
                      <w:szCs w:val="21"/>
                      <w:lang w:val="en-US" w:eastAsia="zh-CN"/>
                    </w:rPr>
                    <w:t>0.35</w:t>
                  </w:r>
                </w:p>
              </w:tc>
              <w:tc>
                <w:tcPr>
                  <w:tcW w:w="487" w:type="pct"/>
                  <w:vMerge w:val="continue"/>
                  <w:noWrap w:val="0"/>
                  <w:vAlign w:val="center"/>
                </w:tcPr>
                <w:p w14:paraId="217E1636">
                  <w:pPr>
                    <w:pStyle w:val="29"/>
                    <w:spacing w:line="240" w:lineRule="auto"/>
                    <w:rPr>
                      <w:rFonts w:hint="eastAsia"/>
                      <w:color w:val="auto"/>
                      <w:sz w:val="21"/>
                      <w:szCs w:val="21"/>
                    </w:rPr>
                  </w:pPr>
                </w:p>
              </w:tc>
              <w:tc>
                <w:tcPr>
                  <w:tcW w:w="611" w:type="pct"/>
                  <w:noWrap w:val="0"/>
                  <w:vAlign w:val="center"/>
                </w:tcPr>
                <w:p w14:paraId="07B8FB4E">
                  <w:pPr>
                    <w:jc w:val="center"/>
                    <w:rPr>
                      <w:rFonts w:hint="eastAsia"/>
                      <w:color w:val="auto"/>
                      <w:sz w:val="21"/>
                      <w:szCs w:val="21"/>
                      <w:lang w:val="en-US" w:eastAsia="zh-CN"/>
                    </w:rPr>
                  </w:pPr>
                  <w:r>
                    <w:rPr>
                      <w:rFonts w:hint="eastAsia"/>
                      <w:color w:val="auto"/>
                      <w:sz w:val="21"/>
                      <w:szCs w:val="21"/>
                      <w:lang w:val="en-US" w:eastAsia="zh-CN"/>
                    </w:rPr>
                    <w:t>0.0003</w:t>
                  </w:r>
                </w:p>
              </w:tc>
              <w:tc>
                <w:tcPr>
                  <w:tcW w:w="376" w:type="pct"/>
                  <w:vMerge w:val="continue"/>
                  <w:tcBorders>
                    <w:right w:val="nil"/>
                  </w:tcBorders>
                  <w:noWrap w:val="0"/>
                  <w:vAlign w:val="center"/>
                </w:tcPr>
                <w:p w14:paraId="1D798E64">
                  <w:pPr>
                    <w:pStyle w:val="29"/>
                    <w:spacing w:line="240" w:lineRule="auto"/>
                    <w:rPr>
                      <w:rFonts w:hint="eastAsia" w:ascii="Times New Roman"/>
                      <w:bCs/>
                      <w:color w:val="auto"/>
                      <w:sz w:val="21"/>
                      <w:szCs w:val="21"/>
                    </w:rPr>
                  </w:pPr>
                </w:p>
              </w:tc>
              <w:tc>
                <w:tcPr>
                  <w:tcW w:w="465" w:type="pct"/>
                  <w:vMerge w:val="continue"/>
                  <w:tcBorders>
                    <w:right w:val="nil"/>
                  </w:tcBorders>
                  <w:noWrap w:val="0"/>
                  <w:vAlign w:val="center"/>
                </w:tcPr>
                <w:p w14:paraId="61AD8240">
                  <w:pPr>
                    <w:pStyle w:val="29"/>
                    <w:spacing w:line="240" w:lineRule="auto"/>
                    <w:rPr>
                      <w:rFonts w:hint="eastAsia" w:ascii="Times New Roman"/>
                      <w:bCs/>
                      <w:color w:val="auto"/>
                      <w:sz w:val="21"/>
                      <w:szCs w:val="21"/>
                    </w:rPr>
                  </w:pPr>
                </w:p>
              </w:tc>
            </w:tr>
          </w:tbl>
          <w:p w14:paraId="238EDC97">
            <w:pPr>
              <w:pStyle w:val="84"/>
              <w:rPr>
                <w:rFonts w:hint="default" w:eastAsia="宋体"/>
                <w:color w:val="auto"/>
                <w:lang w:val="en-US" w:eastAsia="zh-CN"/>
              </w:rPr>
            </w:pPr>
            <w:r>
              <w:rPr>
                <w:color w:val="auto"/>
              </w:rPr>
              <w:t>（</w:t>
            </w:r>
            <w:r>
              <w:rPr>
                <w:rFonts w:hint="eastAsia"/>
                <w:color w:val="auto"/>
                <w:lang w:val="en-US" w:eastAsia="zh-CN"/>
              </w:rPr>
              <w:t>五</w:t>
            </w:r>
            <w:r>
              <w:rPr>
                <w:color w:val="auto"/>
              </w:rPr>
              <w:t>）</w:t>
            </w:r>
            <w:r>
              <w:rPr>
                <w:rFonts w:hint="eastAsia"/>
                <w:color w:val="auto"/>
                <w:lang w:val="en-US" w:eastAsia="zh-CN"/>
              </w:rPr>
              <w:t>可行技术</w:t>
            </w:r>
          </w:p>
          <w:p w14:paraId="01C6446A">
            <w:pPr>
              <w:pStyle w:val="77"/>
              <w:rPr>
                <w:rFonts w:hint="eastAsia"/>
                <w:color w:val="auto"/>
                <w:lang w:val="en-US" w:eastAsia="zh-CN"/>
              </w:rPr>
            </w:pPr>
            <w:r>
              <w:rPr>
                <w:rFonts w:hint="eastAsia"/>
                <w:color w:val="auto"/>
                <w:lang w:val="en-US" w:eastAsia="zh-CN"/>
              </w:rPr>
              <w:t>根据《排污许可证申请与核发技术规范 废弃资源加工工业》（HJ1034-2019），拆解过程中可行技术要求为颗粒物采用布袋除尘器，非甲烷总烃为净化装置。本项目颗粒物采用移动式布袋除尘器，非甲烷总烃采用集气罩+活性炭吸附装置，项目采用的防治措施属于《排污许可证申请与核发技术规范 废弃资源加工工业》（HJ1034-2019）中要求的可行技术。</w:t>
            </w:r>
          </w:p>
          <w:p w14:paraId="113E9952">
            <w:pPr>
              <w:pStyle w:val="84"/>
              <w:rPr>
                <w:color w:val="auto"/>
              </w:rPr>
            </w:pPr>
            <w:r>
              <w:rPr>
                <w:color w:val="auto"/>
              </w:rPr>
              <w:t>（</w:t>
            </w:r>
            <w:r>
              <w:rPr>
                <w:rFonts w:hint="eastAsia"/>
                <w:color w:val="auto"/>
                <w:lang w:val="en-US" w:eastAsia="zh-CN"/>
              </w:rPr>
              <w:t>六</w:t>
            </w:r>
            <w:r>
              <w:rPr>
                <w:color w:val="auto"/>
              </w:rPr>
              <w:t>）废气排放污染物核算情况</w:t>
            </w:r>
          </w:p>
          <w:p w14:paraId="752252DA">
            <w:pPr>
              <w:pStyle w:val="78"/>
              <w:rPr>
                <w:color w:val="auto"/>
              </w:rPr>
            </w:pPr>
            <w:r>
              <w:rPr>
                <w:color w:val="auto"/>
              </w:rPr>
              <w:t xml:space="preserve">表4-3 </w:t>
            </w:r>
            <w:r>
              <w:rPr>
                <w:rFonts w:hint="eastAsia"/>
                <w:color w:val="auto"/>
              </w:rPr>
              <w:t>大气污染物排放量核算表</w:t>
            </w:r>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2"/>
              <w:gridCol w:w="480"/>
              <w:gridCol w:w="588"/>
              <w:gridCol w:w="587"/>
              <w:gridCol w:w="1335"/>
              <w:gridCol w:w="2169"/>
              <w:gridCol w:w="1212"/>
              <w:gridCol w:w="915"/>
            </w:tblGrid>
            <w:tr w14:paraId="6B58F4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459" w:type="dxa"/>
                  <w:vMerge w:val="restart"/>
                  <w:shd w:val="clear" w:color="auto" w:fill="auto"/>
                  <w:vAlign w:val="center"/>
                </w:tcPr>
                <w:p w14:paraId="5C091433">
                  <w:pPr>
                    <w:pStyle w:val="80"/>
                    <w:rPr>
                      <w:color w:val="auto"/>
                    </w:rPr>
                  </w:pPr>
                  <w:r>
                    <w:rPr>
                      <w:color w:val="auto"/>
                    </w:rPr>
                    <w:t>序号</w:t>
                  </w:r>
                </w:p>
              </w:tc>
              <w:tc>
                <w:tcPr>
                  <w:tcW w:w="477" w:type="dxa"/>
                  <w:vMerge w:val="restart"/>
                  <w:shd w:val="clear" w:color="auto" w:fill="auto"/>
                  <w:vAlign w:val="center"/>
                </w:tcPr>
                <w:p w14:paraId="114762AB">
                  <w:pPr>
                    <w:pStyle w:val="80"/>
                    <w:rPr>
                      <w:color w:val="auto"/>
                    </w:rPr>
                  </w:pPr>
                  <w:r>
                    <w:rPr>
                      <w:color w:val="auto"/>
                    </w:rPr>
                    <w:t>排放口编号</w:t>
                  </w:r>
                </w:p>
              </w:tc>
              <w:tc>
                <w:tcPr>
                  <w:tcW w:w="584" w:type="dxa"/>
                  <w:vMerge w:val="restart"/>
                  <w:shd w:val="clear" w:color="auto" w:fill="auto"/>
                  <w:vAlign w:val="center"/>
                </w:tcPr>
                <w:p w14:paraId="56D97A8D">
                  <w:pPr>
                    <w:pStyle w:val="80"/>
                    <w:rPr>
                      <w:color w:val="auto"/>
                    </w:rPr>
                  </w:pPr>
                  <w:r>
                    <w:rPr>
                      <w:color w:val="auto"/>
                    </w:rPr>
                    <w:t>产污环节</w:t>
                  </w:r>
                </w:p>
              </w:tc>
              <w:tc>
                <w:tcPr>
                  <w:tcW w:w="583" w:type="dxa"/>
                  <w:vMerge w:val="restart"/>
                  <w:shd w:val="clear" w:color="auto" w:fill="auto"/>
                  <w:vAlign w:val="center"/>
                </w:tcPr>
                <w:p w14:paraId="7648E33B">
                  <w:pPr>
                    <w:pStyle w:val="80"/>
                    <w:rPr>
                      <w:color w:val="auto"/>
                    </w:rPr>
                  </w:pPr>
                  <w:r>
                    <w:rPr>
                      <w:color w:val="auto"/>
                    </w:rPr>
                    <w:t>污染物</w:t>
                  </w:r>
                </w:p>
              </w:tc>
              <w:tc>
                <w:tcPr>
                  <w:tcW w:w="1325" w:type="dxa"/>
                  <w:vMerge w:val="restart"/>
                  <w:shd w:val="clear" w:color="auto" w:fill="auto"/>
                  <w:vAlign w:val="center"/>
                </w:tcPr>
                <w:p w14:paraId="6B209901">
                  <w:pPr>
                    <w:pStyle w:val="80"/>
                    <w:rPr>
                      <w:color w:val="auto"/>
                    </w:rPr>
                  </w:pPr>
                  <w:r>
                    <w:rPr>
                      <w:color w:val="auto"/>
                    </w:rPr>
                    <w:t>主要污染防治措施</w:t>
                  </w:r>
                </w:p>
              </w:tc>
              <w:tc>
                <w:tcPr>
                  <w:tcW w:w="3178" w:type="dxa"/>
                  <w:gridSpan w:val="2"/>
                  <w:shd w:val="clear" w:color="auto" w:fill="auto"/>
                  <w:vAlign w:val="center"/>
                </w:tcPr>
                <w:p w14:paraId="4843F5FB">
                  <w:pPr>
                    <w:pStyle w:val="80"/>
                    <w:rPr>
                      <w:color w:val="auto"/>
                    </w:rPr>
                  </w:pPr>
                  <w:r>
                    <w:rPr>
                      <w:color w:val="auto"/>
                    </w:rPr>
                    <w:t>国家或地方污染物排放标准</w:t>
                  </w:r>
                </w:p>
              </w:tc>
              <w:tc>
                <w:tcPr>
                  <w:tcW w:w="908" w:type="dxa"/>
                  <w:vMerge w:val="restart"/>
                  <w:shd w:val="clear" w:color="auto" w:fill="auto"/>
                  <w:vAlign w:val="center"/>
                </w:tcPr>
                <w:p w14:paraId="14E8DD9B">
                  <w:pPr>
                    <w:pStyle w:val="80"/>
                    <w:rPr>
                      <w:color w:val="auto"/>
                    </w:rPr>
                  </w:pPr>
                  <w:r>
                    <w:rPr>
                      <w:color w:val="auto"/>
                    </w:rPr>
                    <w:t>年排放量</w:t>
                  </w:r>
                </w:p>
                <w:p w14:paraId="52E52433">
                  <w:pPr>
                    <w:pStyle w:val="80"/>
                    <w:rPr>
                      <w:color w:val="auto"/>
                    </w:rPr>
                  </w:pPr>
                  <w:r>
                    <w:rPr>
                      <w:color w:val="auto"/>
                    </w:rPr>
                    <w:t>（t/a）</w:t>
                  </w:r>
                </w:p>
              </w:tc>
            </w:tr>
            <w:tr w14:paraId="57C0B7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459" w:type="dxa"/>
                  <w:vMerge w:val="continue"/>
                  <w:shd w:val="clear" w:color="auto" w:fill="auto"/>
                  <w:vAlign w:val="center"/>
                </w:tcPr>
                <w:p w14:paraId="63B5B35D">
                  <w:pPr>
                    <w:pStyle w:val="80"/>
                    <w:rPr>
                      <w:color w:val="auto"/>
                    </w:rPr>
                  </w:pPr>
                </w:p>
              </w:tc>
              <w:tc>
                <w:tcPr>
                  <w:tcW w:w="477" w:type="dxa"/>
                  <w:vMerge w:val="continue"/>
                  <w:shd w:val="clear" w:color="auto" w:fill="auto"/>
                  <w:vAlign w:val="center"/>
                </w:tcPr>
                <w:p w14:paraId="1CCE3F12">
                  <w:pPr>
                    <w:pStyle w:val="80"/>
                    <w:rPr>
                      <w:color w:val="auto"/>
                    </w:rPr>
                  </w:pPr>
                </w:p>
              </w:tc>
              <w:tc>
                <w:tcPr>
                  <w:tcW w:w="584" w:type="dxa"/>
                  <w:vMerge w:val="continue"/>
                  <w:shd w:val="clear" w:color="auto" w:fill="auto"/>
                  <w:vAlign w:val="center"/>
                </w:tcPr>
                <w:p w14:paraId="5B4BDFF6">
                  <w:pPr>
                    <w:pStyle w:val="80"/>
                    <w:rPr>
                      <w:color w:val="auto"/>
                    </w:rPr>
                  </w:pPr>
                </w:p>
              </w:tc>
              <w:tc>
                <w:tcPr>
                  <w:tcW w:w="583" w:type="dxa"/>
                  <w:vMerge w:val="continue"/>
                  <w:shd w:val="clear" w:color="auto" w:fill="auto"/>
                  <w:vAlign w:val="center"/>
                </w:tcPr>
                <w:p w14:paraId="3CBA74B1">
                  <w:pPr>
                    <w:pStyle w:val="80"/>
                    <w:rPr>
                      <w:color w:val="auto"/>
                    </w:rPr>
                  </w:pPr>
                </w:p>
              </w:tc>
              <w:tc>
                <w:tcPr>
                  <w:tcW w:w="1325" w:type="dxa"/>
                  <w:vMerge w:val="continue"/>
                  <w:shd w:val="clear" w:color="auto" w:fill="auto"/>
                  <w:vAlign w:val="center"/>
                </w:tcPr>
                <w:p w14:paraId="65DDA464">
                  <w:pPr>
                    <w:pStyle w:val="80"/>
                    <w:rPr>
                      <w:color w:val="auto"/>
                    </w:rPr>
                  </w:pPr>
                </w:p>
              </w:tc>
              <w:tc>
                <w:tcPr>
                  <w:tcW w:w="1975" w:type="dxa"/>
                  <w:shd w:val="clear" w:color="auto" w:fill="auto"/>
                  <w:vAlign w:val="center"/>
                </w:tcPr>
                <w:p w14:paraId="1A701D0C">
                  <w:pPr>
                    <w:pStyle w:val="80"/>
                    <w:rPr>
                      <w:color w:val="auto"/>
                    </w:rPr>
                  </w:pPr>
                  <w:r>
                    <w:rPr>
                      <w:color w:val="auto"/>
                    </w:rPr>
                    <w:t>标准</w:t>
                  </w:r>
                </w:p>
                <w:p w14:paraId="3E4A1B07">
                  <w:pPr>
                    <w:pStyle w:val="80"/>
                    <w:rPr>
                      <w:color w:val="auto"/>
                    </w:rPr>
                  </w:pPr>
                  <w:r>
                    <w:rPr>
                      <w:color w:val="auto"/>
                    </w:rPr>
                    <w:t>名称</w:t>
                  </w:r>
                </w:p>
              </w:tc>
              <w:tc>
                <w:tcPr>
                  <w:tcW w:w="1203" w:type="dxa"/>
                  <w:shd w:val="clear" w:color="auto" w:fill="auto"/>
                  <w:vAlign w:val="center"/>
                </w:tcPr>
                <w:p w14:paraId="7480594A">
                  <w:pPr>
                    <w:pStyle w:val="80"/>
                    <w:rPr>
                      <w:color w:val="auto"/>
                    </w:rPr>
                  </w:pPr>
                  <w:r>
                    <w:rPr>
                      <w:color w:val="auto"/>
                    </w:rPr>
                    <w:t>排放浓度监控限值（mg/m</w:t>
                  </w:r>
                  <w:r>
                    <w:rPr>
                      <w:color w:val="auto"/>
                      <w:vertAlign w:val="superscript"/>
                    </w:rPr>
                    <w:t>3</w:t>
                  </w:r>
                  <w:r>
                    <w:rPr>
                      <w:color w:val="auto"/>
                    </w:rPr>
                    <w:t>）</w:t>
                  </w:r>
                </w:p>
              </w:tc>
              <w:tc>
                <w:tcPr>
                  <w:tcW w:w="908" w:type="dxa"/>
                  <w:vMerge w:val="continue"/>
                  <w:shd w:val="clear" w:color="auto" w:fill="auto"/>
                  <w:vAlign w:val="center"/>
                </w:tcPr>
                <w:p w14:paraId="18DB42AE">
                  <w:pPr>
                    <w:pStyle w:val="80"/>
                    <w:rPr>
                      <w:color w:val="auto"/>
                    </w:rPr>
                  </w:pPr>
                </w:p>
              </w:tc>
            </w:tr>
            <w:tr w14:paraId="505DAF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1" w:hRule="atLeast"/>
              </w:trPr>
              <w:tc>
                <w:tcPr>
                  <w:tcW w:w="459" w:type="dxa"/>
                  <w:shd w:val="clear" w:color="auto" w:fill="auto"/>
                  <w:vAlign w:val="center"/>
                </w:tcPr>
                <w:p w14:paraId="72D2EAA1">
                  <w:pPr>
                    <w:pStyle w:val="80"/>
                    <w:rPr>
                      <w:color w:val="auto"/>
                    </w:rPr>
                  </w:pPr>
                  <w:r>
                    <w:rPr>
                      <w:color w:val="auto"/>
                    </w:rPr>
                    <w:t>1</w:t>
                  </w:r>
                </w:p>
              </w:tc>
              <w:tc>
                <w:tcPr>
                  <w:tcW w:w="477" w:type="dxa"/>
                  <w:shd w:val="clear" w:color="auto" w:fill="auto"/>
                  <w:vAlign w:val="center"/>
                </w:tcPr>
                <w:p w14:paraId="34A0A693">
                  <w:pPr>
                    <w:pStyle w:val="80"/>
                    <w:rPr>
                      <w:rFonts w:hint="default" w:eastAsia="宋体"/>
                      <w:color w:val="auto"/>
                      <w:lang w:val="en-US" w:eastAsia="zh-CN"/>
                    </w:rPr>
                  </w:pPr>
                  <w:r>
                    <w:rPr>
                      <w:rFonts w:hint="eastAsia"/>
                      <w:color w:val="auto"/>
                      <w:lang w:val="en-US" w:eastAsia="zh-CN"/>
                    </w:rPr>
                    <w:t>/</w:t>
                  </w:r>
                </w:p>
              </w:tc>
              <w:tc>
                <w:tcPr>
                  <w:tcW w:w="584" w:type="dxa"/>
                  <w:shd w:val="clear" w:color="auto" w:fill="auto"/>
                  <w:vAlign w:val="center"/>
                </w:tcPr>
                <w:p w14:paraId="4FD53C33">
                  <w:pPr>
                    <w:pStyle w:val="80"/>
                    <w:jc w:val="both"/>
                    <w:rPr>
                      <w:color w:val="auto"/>
                    </w:rPr>
                  </w:pPr>
                  <w:r>
                    <w:rPr>
                      <w:color w:val="auto"/>
                    </w:rPr>
                    <w:t>废钢铁切割</w:t>
                  </w:r>
                </w:p>
              </w:tc>
              <w:tc>
                <w:tcPr>
                  <w:tcW w:w="583" w:type="dxa"/>
                  <w:shd w:val="clear" w:color="auto" w:fill="auto"/>
                  <w:vAlign w:val="center"/>
                </w:tcPr>
                <w:p w14:paraId="3F2F8743">
                  <w:pPr>
                    <w:pStyle w:val="80"/>
                    <w:jc w:val="both"/>
                    <w:rPr>
                      <w:color w:val="auto"/>
                    </w:rPr>
                  </w:pPr>
                  <w:r>
                    <w:rPr>
                      <w:color w:val="auto"/>
                    </w:rPr>
                    <w:t>颗粒物</w:t>
                  </w:r>
                </w:p>
              </w:tc>
              <w:tc>
                <w:tcPr>
                  <w:tcW w:w="1325" w:type="dxa"/>
                  <w:shd w:val="clear" w:color="auto" w:fill="auto"/>
                  <w:vAlign w:val="center"/>
                </w:tcPr>
                <w:p w14:paraId="1CD76573">
                  <w:pPr>
                    <w:pStyle w:val="80"/>
                    <w:jc w:val="both"/>
                    <w:rPr>
                      <w:rFonts w:hint="eastAsia" w:eastAsia="宋体"/>
                      <w:color w:val="auto"/>
                      <w:lang w:eastAsia="zh-CN"/>
                    </w:rPr>
                  </w:pPr>
                  <w:r>
                    <w:rPr>
                      <w:color w:val="auto"/>
                    </w:rPr>
                    <w:t>本项目在全封闭拆解车间内切割工位设置</w:t>
                  </w:r>
                  <w:r>
                    <w:rPr>
                      <w:rFonts w:hint="eastAsia"/>
                      <w:color w:val="auto"/>
                      <w:lang w:eastAsia="zh-CN"/>
                    </w:rPr>
                    <w:t>移动式布袋除尘器</w:t>
                  </w:r>
                </w:p>
              </w:tc>
              <w:tc>
                <w:tcPr>
                  <w:tcW w:w="1975" w:type="dxa"/>
                  <w:shd w:val="clear" w:color="auto" w:fill="auto"/>
                  <w:vAlign w:val="center"/>
                </w:tcPr>
                <w:p w14:paraId="6D82B9C7">
                  <w:pPr>
                    <w:pStyle w:val="80"/>
                    <w:jc w:val="both"/>
                    <w:rPr>
                      <w:rFonts w:hint="default" w:eastAsia="宋体"/>
                      <w:color w:val="auto"/>
                      <w:lang w:val="en-US" w:eastAsia="zh-CN"/>
                    </w:rPr>
                  </w:pPr>
                  <w:r>
                    <w:rPr>
                      <w:color w:val="auto"/>
                    </w:rPr>
                    <w:t>《大气污染物综合排放标准》（GB16297-1996）</w:t>
                  </w:r>
                  <w:r>
                    <w:rPr>
                      <w:rFonts w:hint="eastAsia"/>
                      <w:color w:val="auto"/>
                      <w:lang w:val="en-US" w:eastAsia="zh-CN"/>
                    </w:rPr>
                    <w:t>表2排放限值</w:t>
                  </w:r>
                </w:p>
              </w:tc>
              <w:tc>
                <w:tcPr>
                  <w:tcW w:w="1203" w:type="dxa"/>
                  <w:shd w:val="clear" w:color="auto" w:fill="auto"/>
                  <w:vAlign w:val="center"/>
                </w:tcPr>
                <w:p w14:paraId="3D8D8D1D">
                  <w:pPr>
                    <w:pStyle w:val="80"/>
                    <w:rPr>
                      <w:rFonts w:hint="default" w:eastAsia="宋体"/>
                      <w:color w:val="auto"/>
                      <w:lang w:val="en-US" w:eastAsia="zh-CN"/>
                    </w:rPr>
                  </w:pPr>
                  <w:r>
                    <w:rPr>
                      <w:rFonts w:hint="eastAsia"/>
                      <w:color w:val="auto"/>
                      <w:lang w:val="en-US" w:eastAsia="zh-CN"/>
                    </w:rPr>
                    <w:t>120</w:t>
                  </w:r>
                </w:p>
              </w:tc>
              <w:tc>
                <w:tcPr>
                  <w:tcW w:w="908" w:type="dxa"/>
                  <w:shd w:val="clear" w:color="auto" w:fill="auto"/>
                  <w:vAlign w:val="center"/>
                </w:tcPr>
                <w:p w14:paraId="499ABFE4">
                  <w:pPr>
                    <w:pStyle w:val="80"/>
                    <w:rPr>
                      <w:color w:val="auto"/>
                    </w:rPr>
                  </w:pPr>
                  <w:r>
                    <w:rPr>
                      <w:rFonts w:hint="eastAsia"/>
                      <w:color w:val="auto"/>
                      <w:lang w:eastAsia="zh-CN"/>
                    </w:rPr>
                    <w:t>0.00</w:t>
                  </w:r>
                  <w:r>
                    <w:rPr>
                      <w:rFonts w:hint="eastAsia"/>
                      <w:color w:val="auto"/>
                      <w:lang w:val="en-US" w:eastAsia="zh-CN"/>
                    </w:rPr>
                    <w:t>1</w:t>
                  </w:r>
                  <w:r>
                    <w:rPr>
                      <w:rFonts w:hint="eastAsia"/>
                      <w:color w:val="auto"/>
                    </w:rPr>
                    <w:t xml:space="preserve"> </w:t>
                  </w:r>
                </w:p>
              </w:tc>
            </w:tr>
            <w:tr w14:paraId="0055D2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2" w:hRule="atLeast"/>
              </w:trPr>
              <w:tc>
                <w:tcPr>
                  <w:tcW w:w="459" w:type="dxa"/>
                  <w:tcBorders>
                    <w:bottom w:val="single" w:color="auto" w:sz="4" w:space="0"/>
                  </w:tcBorders>
                  <w:shd w:val="clear" w:color="auto" w:fill="auto"/>
                  <w:vAlign w:val="center"/>
                </w:tcPr>
                <w:p w14:paraId="7BFA2166">
                  <w:pPr>
                    <w:pStyle w:val="80"/>
                    <w:rPr>
                      <w:rFonts w:hint="eastAsia" w:eastAsia="宋体"/>
                      <w:color w:val="auto"/>
                      <w:lang w:val="en-US" w:eastAsia="zh-CN"/>
                    </w:rPr>
                  </w:pPr>
                  <w:r>
                    <w:rPr>
                      <w:rFonts w:hint="eastAsia"/>
                      <w:color w:val="auto"/>
                      <w:lang w:val="en-US" w:eastAsia="zh-CN"/>
                    </w:rPr>
                    <w:t>2</w:t>
                  </w:r>
                </w:p>
              </w:tc>
              <w:tc>
                <w:tcPr>
                  <w:tcW w:w="477" w:type="dxa"/>
                  <w:shd w:val="clear" w:color="auto" w:fill="auto"/>
                  <w:vAlign w:val="center"/>
                </w:tcPr>
                <w:p w14:paraId="1B385EBA">
                  <w:pPr>
                    <w:pStyle w:val="80"/>
                    <w:rPr>
                      <w:rFonts w:hint="eastAsia" w:eastAsia="宋体"/>
                      <w:color w:val="auto"/>
                      <w:lang w:val="en-US" w:eastAsia="zh-CN"/>
                    </w:rPr>
                  </w:pPr>
                  <w:r>
                    <w:rPr>
                      <w:rFonts w:hint="eastAsia"/>
                      <w:color w:val="auto"/>
                      <w:lang w:val="en-US" w:eastAsia="zh-CN"/>
                    </w:rPr>
                    <w:t>/</w:t>
                  </w:r>
                </w:p>
              </w:tc>
              <w:tc>
                <w:tcPr>
                  <w:tcW w:w="584" w:type="dxa"/>
                  <w:shd w:val="clear" w:color="auto" w:fill="auto"/>
                  <w:vAlign w:val="center"/>
                </w:tcPr>
                <w:p w14:paraId="3F8CBEB4">
                  <w:pPr>
                    <w:pStyle w:val="80"/>
                    <w:jc w:val="both"/>
                    <w:rPr>
                      <w:color w:val="auto"/>
                    </w:rPr>
                  </w:pPr>
                  <w:r>
                    <w:rPr>
                      <w:color w:val="auto"/>
                      <w:szCs w:val="21"/>
                    </w:rPr>
                    <w:t>排空油箱油品</w:t>
                  </w:r>
                </w:p>
              </w:tc>
              <w:tc>
                <w:tcPr>
                  <w:tcW w:w="583" w:type="dxa"/>
                  <w:shd w:val="clear" w:color="auto" w:fill="auto"/>
                  <w:vAlign w:val="center"/>
                </w:tcPr>
                <w:p w14:paraId="138F834C">
                  <w:pPr>
                    <w:pStyle w:val="80"/>
                    <w:jc w:val="both"/>
                    <w:rPr>
                      <w:color w:val="auto"/>
                    </w:rPr>
                  </w:pPr>
                  <w:r>
                    <w:rPr>
                      <w:color w:val="auto"/>
                    </w:rPr>
                    <w:t>非甲烷总烃</w:t>
                  </w:r>
                </w:p>
              </w:tc>
              <w:tc>
                <w:tcPr>
                  <w:tcW w:w="1325" w:type="dxa"/>
                  <w:shd w:val="clear" w:color="auto" w:fill="auto"/>
                  <w:vAlign w:val="center"/>
                </w:tcPr>
                <w:p w14:paraId="51B35624">
                  <w:pPr>
                    <w:pStyle w:val="80"/>
                    <w:jc w:val="both"/>
                    <w:rPr>
                      <w:color w:val="auto"/>
                    </w:rPr>
                  </w:pPr>
                  <w:r>
                    <w:rPr>
                      <w:rFonts w:hint="eastAsia"/>
                      <w:color w:val="auto"/>
                      <w:lang w:val="en-US" w:eastAsia="zh-CN"/>
                    </w:rPr>
                    <w:t>抽油工段采用</w:t>
                  </w:r>
                  <w:r>
                    <w:rPr>
                      <w:rFonts w:hint="eastAsia"/>
                      <w:color w:val="auto"/>
                    </w:rPr>
                    <w:t>集气罩+活性炭吸附装置</w:t>
                  </w:r>
                </w:p>
              </w:tc>
              <w:tc>
                <w:tcPr>
                  <w:tcW w:w="1975" w:type="dxa"/>
                  <w:shd w:val="clear" w:color="auto" w:fill="auto"/>
                  <w:vAlign w:val="center"/>
                </w:tcPr>
                <w:p w14:paraId="0BAC5444">
                  <w:pPr>
                    <w:pStyle w:val="80"/>
                    <w:rPr>
                      <w:color w:val="auto"/>
                    </w:rPr>
                  </w:pPr>
                  <w:r>
                    <w:rPr>
                      <w:color w:val="auto"/>
                    </w:rPr>
                    <w:t>《大气污染物综合排放标准》（GB16297-1996）</w:t>
                  </w:r>
                  <w:r>
                    <w:rPr>
                      <w:rFonts w:hint="eastAsia"/>
                      <w:color w:val="auto"/>
                      <w:lang w:eastAsia="zh-CN"/>
                    </w:rPr>
                    <w:t>、《挥发性有机物无组织排放控制标准》（GB37822 -2019）</w:t>
                  </w:r>
                </w:p>
              </w:tc>
              <w:tc>
                <w:tcPr>
                  <w:tcW w:w="1203" w:type="dxa"/>
                  <w:shd w:val="clear" w:color="auto" w:fill="auto"/>
                  <w:vAlign w:val="center"/>
                </w:tcPr>
                <w:p w14:paraId="46FDC601">
                  <w:pPr>
                    <w:pStyle w:val="80"/>
                    <w:rPr>
                      <w:color w:val="auto"/>
                    </w:rPr>
                  </w:pPr>
                  <w:r>
                    <w:rPr>
                      <w:color w:val="auto"/>
                    </w:rPr>
                    <w:t>4.0</w:t>
                  </w:r>
                </w:p>
              </w:tc>
              <w:tc>
                <w:tcPr>
                  <w:tcW w:w="908" w:type="dxa"/>
                  <w:tcBorders>
                    <w:bottom w:val="single" w:color="auto" w:sz="4" w:space="0"/>
                  </w:tcBorders>
                  <w:shd w:val="clear" w:color="auto" w:fill="auto"/>
                  <w:vAlign w:val="center"/>
                </w:tcPr>
                <w:p w14:paraId="324B9270">
                  <w:pPr>
                    <w:pStyle w:val="80"/>
                    <w:rPr>
                      <w:color w:val="auto"/>
                    </w:rPr>
                  </w:pPr>
                  <w:r>
                    <w:rPr>
                      <w:rFonts w:hint="eastAsia"/>
                      <w:color w:val="auto"/>
                      <w:lang w:eastAsia="zh-CN"/>
                    </w:rPr>
                    <w:t>0.</w:t>
                  </w:r>
                  <w:r>
                    <w:rPr>
                      <w:rFonts w:hint="eastAsia"/>
                      <w:color w:val="auto"/>
                      <w:lang w:val="en-US" w:eastAsia="zh-CN"/>
                    </w:rPr>
                    <w:t>1</w:t>
                  </w:r>
                  <w:r>
                    <w:rPr>
                      <w:rFonts w:hint="eastAsia"/>
                      <w:color w:val="auto"/>
                    </w:rPr>
                    <w:t xml:space="preserve"> </w:t>
                  </w:r>
                </w:p>
              </w:tc>
            </w:tr>
            <w:tr w14:paraId="663F74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42" w:hRule="atLeast"/>
              </w:trPr>
              <w:tc>
                <w:tcPr>
                  <w:tcW w:w="459" w:type="dxa"/>
                  <w:tcBorders>
                    <w:bottom w:val="single" w:color="auto" w:sz="4" w:space="0"/>
                  </w:tcBorders>
                  <w:shd w:val="clear" w:color="auto" w:fill="auto"/>
                  <w:vAlign w:val="center"/>
                </w:tcPr>
                <w:p w14:paraId="4C552B7C">
                  <w:pPr>
                    <w:pStyle w:val="80"/>
                    <w:rPr>
                      <w:rFonts w:hint="eastAsia" w:eastAsia="宋体"/>
                      <w:color w:val="auto"/>
                      <w:lang w:val="en-US" w:eastAsia="zh-CN"/>
                    </w:rPr>
                  </w:pPr>
                  <w:r>
                    <w:rPr>
                      <w:rFonts w:hint="eastAsia"/>
                      <w:color w:val="auto"/>
                      <w:lang w:val="en-US" w:eastAsia="zh-CN"/>
                    </w:rPr>
                    <w:t>3</w:t>
                  </w:r>
                </w:p>
              </w:tc>
              <w:tc>
                <w:tcPr>
                  <w:tcW w:w="477" w:type="dxa"/>
                  <w:shd w:val="clear" w:color="auto" w:fill="auto"/>
                  <w:vAlign w:val="center"/>
                </w:tcPr>
                <w:p w14:paraId="284416EF">
                  <w:pPr>
                    <w:pStyle w:val="80"/>
                    <w:rPr>
                      <w:rFonts w:hint="default" w:eastAsia="宋体"/>
                      <w:color w:val="auto"/>
                      <w:lang w:val="en-US" w:eastAsia="zh-CN"/>
                    </w:rPr>
                  </w:pPr>
                  <w:r>
                    <w:rPr>
                      <w:rFonts w:hint="eastAsia"/>
                      <w:color w:val="auto"/>
                      <w:lang w:val="en-US" w:eastAsia="zh-CN"/>
                    </w:rPr>
                    <w:t>P1</w:t>
                  </w:r>
                </w:p>
              </w:tc>
              <w:tc>
                <w:tcPr>
                  <w:tcW w:w="584" w:type="dxa"/>
                  <w:shd w:val="clear" w:color="auto" w:fill="auto"/>
                  <w:vAlign w:val="center"/>
                </w:tcPr>
                <w:p w14:paraId="6A31BDDC">
                  <w:pPr>
                    <w:pStyle w:val="80"/>
                    <w:jc w:val="both"/>
                    <w:rPr>
                      <w:rFonts w:hint="eastAsia" w:eastAsia="宋体"/>
                      <w:color w:val="auto"/>
                      <w:szCs w:val="21"/>
                      <w:lang w:val="en-US" w:eastAsia="zh-CN"/>
                    </w:rPr>
                  </w:pPr>
                  <w:r>
                    <w:rPr>
                      <w:rFonts w:hint="eastAsia"/>
                      <w:color w:val="auto"/>
                      <w:szCs w:val="21"/>
                      <w:lang w:val="en-US" w:eastAsia="zh-CN"/>
                    </w:rPr>
                    <w:t>危废贮存库</w:t>
                  </w:r>
                </w:p>
              </w:tc>
              <w:tc>
                <w:tcPr>
                  <w:tcW w:w="583" w:type="dxa"/>
                  <w:shd w:val="clear" w:color="auto" w:fill="auto"/>
                  <w:vAlign w:val="center"/>
                </w:tcPr>
                <w:p w14:paraId="3896D30E">
                  <w:pPr>
                    <w:pStyle w:val="80"/>
                    <w:jc w:val="both"/>
                    <w:rPr>
                      <w:color w:val="auto"/>
                    </w:rPr>
                  </w:pPr>
                  <w:r>
                    <w:rPr>
                      <w:color w:val="auto"/>
                    </w:rPr>
                    <w:t>非甲烷总烃</w:t>
                  </w:r>
                </w:p>
              </w:tc>
              <w:tc>
                <w:tcPr>
                  <w:tcW w:w="1325" w:type="dxa"/>
                  <w:shd w:val="clear" w:color="auto" w:fill="auto"/>
                  <w:vAlign w:val="center"/>
                </w:tcPr>
                <w:p w14:paraId="530150B4">
                  <w:pPr>
                    <w:pStyle w:val="80"/>
                    <w:jc w:val="both"/>
                    <w:rPr>
                      <w:rFonts w:hint="default"/>
                      <w:color w:val="auto"/>
                      <w:lang w:val="en-US" w:eastAsia="zh-CN"/>
                    </w:rPr>
                  </w:pPr>
                  <w:r>
                    <w:rPr>
                      <w:rFonts w:hint="eastAsia"/>
                      <w:color w:val="auto"/>
                      <w:lang w:val="en-US" w:eastAsia="zh-CN"/>
                    </w:rPr>
                    <w:t>活性炭吸附</w:t>
                  </w:r>
                </w:p>
              </w:tc>
              <w:tc>
                <w:tcPr>
                  <w:tcW w:w="1975" w:type="dxa"/>
                  <w:shd w:val="clear" w:color="auto" w:fill="auto"/>
                  <w:vAlign w:val="center"/>
                </w:tcPr>
                <w:p w14:paraId="40223E44">
                  <w:pPr>
                    <w:pStyle w:val="80"/>
                    <w:jc w:val="both"/>
                    <w:rPr>
                      <w:color w:val="auto"/>
                    </w:rPr>
                  </w:pPr>
                  <w:r>
                    <w:rPr>
                      <w:color w:val="auto"/>
                    </w:rPr>
                    <w:t>《大气污染物综合排放标准》（GB16297-1996）</w:t>
                  </w:r>
                  <w:r>
                    <w:rPr>
                      <w:rFonts w:hint="eastAsia"/>
                      <w:color w:val="auto"/>
                      <w:lang w:val="en-US" w:eastAsia="zh-CN"/>
                    </w:rPr>
                    <w:t>表2排放限值</w:t>
                  </w:r>
                </w:p>
              </w:tc>
              <w:tc>
                <w:tcPr>
                  <w:tcW w:w="1203" w:type="dxa"/>
                  <w:shd w:val="clear" w:color="auto" w:fill="auto"/>
                  <w:vAlign w:val="center"/>
                </w:tcPr>
                <w:p w14:paraId="4C5906B0">
                  <w:pPr>
                    <w:pStyle w:val="80"/>
                    <w:rPr>
                      <w:color w:val="auto"/>
                    </w:rPr>
                  </w:pPr>
                  <w:r>
                    <w:rPr>
                      <w:rFonts w:hint="eastAsia"/>
                      <w:color w:val="auto"/>
                      <w:lang w:val="en-US" w:eastAsia="zh-CN"/>
                    </w:rPr>
                    <w:t>120</w:t>
                  </w:r>
                </w:p>
              </w:tc>
              <w:tc>
                <w:tcPr>
                  <w:tcW w:w="908" w:type="dxa"/>
                  <w:tcBorders>
                    <w:bottom w:val="single" w:color="auto" w:sz="4" w:space="0"/>
                  </w:tcBorders>
                  <w:shd w:val="clear" w:color="auto" w:fill="auto"/>
                  <w:vAlign w:val="center"/>
                </w:tcPr>
                <w:p w14:paraId="761DDE8E">
                  <w:pPr>
                    <w:pStyle w:val="80"/>
                    <w:rPr>
                      <w:rFonts w:hint="default"/>
                      <w:color w:val="auto"/>
                      <w:lang w:val="en-US" w:eastAsia="zh-CN"/>
                    </w:rPr>
                  </w:pPr>
                  <w:r>
                    <w:rPr>
                      <w:rFonts w:hint="eastAsia"/>
                      <w:color w:val="auto"/>
                      <w:lang w:val="en-US" w:eastAsia="zh-CN"/>
                    </w:rPr>
                    <w:t>0.0005</w:t>
                  </w:r>
                </w:p>
              </w:tc>
            </w:tr>
            <w:tr w14:paraId="5951F1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20" w:type="dxa"/>
                  <w:gridSpan w:val="3"/>
                  <w:vMerge w:val="restart"/>
                  <w:tcBorders>
                    <w:top w:val="single" w:color="auto" w:sz="4" w:space="0"/>
                  </w:tcBorders>
                  <w:shd w:val="clear" w:color="auto" w:fill="auto"/>
                  <w:vAlign w:val="center"/>
                </w:tcPr>
                <w:p w14:paraId="0F986029">
                  <w:pPr>
                    <w:pStyle w:val="80"/>
                    <w:rPr>
                      <w:color w:val="auto"/>
                    </w:rPr>
                  </w:pPr>
                  <w:r>
                    <w:rPr>
                      <w:color w:val="auto"/>
                    </w:rPr>
                    <w:t>排放总计</w:t>
                  </w:r>
                </w:p>
              </w:tc>
              <w:tc>
                <w:tcPr>
                  <w:tcW w:w="583" w:type="dxa"/>
                  <w:tcBorders>
                    <w:top w:val="single" w:color="auto" w:sz="4" w:space="0"/>
                    <w:bottom w:val="single" w:color="auto" w:sz="4" w:space="0"/>
                  </w:tcBorders>
                  <w:shd w:val="clear" w:color="auto" w:fill="auto"/>
                  <w:vAlign w:val="center"/>
                </w:tcPr>
                <w:p w14:paraId="76BB4131">
                  <w:pPr>
                    <w:pStyle w:val="80"/>
                    <w:jc w:val="both"/>
                    <w:rPr>
                      <w:color w:val="auto"/>
                    </w:rPr>
                  </w:pPr>
                  <w:r>
                    <w:rPr>
                      <w:color w:val="auto"/>
                    </w:rPr>
                    <w:t>颗粒物</w:t>
                  </w:r>
                </w:p>
              </w:tc>
              <w:tc>
                <w:tcPr>
                  <w:tcW w:w="4503" w:type="dxa"/>
                  <w:gridSpan w:val="3"/>
                  <w:tcBorders>
                    <w:top w:val="single" w:color="auto" w:sz="4" w:space="0"/>
                    <w:bottom w:val="single" w:color="auto" w:sz="4" w:space="0"/>
                  </w:tcBorders>
                  <w:shd w:val="clear" w:color="auto" w:fill="auto"/>
                  <w:vAlign w:val="center"/>
                </w:tcPr>
                <w:p w14:paraId="0296AF9A">
                  <w:pPr>
                    <w:pStyle w:val="80"/>
                    <w:rPr>
                      <w:color w:val="auto"/>
                    </w:rPr>
                  </w:pPr>
                  <w:r>
                    <w:rPr>
                      <w:color w:val="auto"/>
                    </w:rPr>
                    <w:t>/</w:t>
                  </w:r>
                </w:p>
              </w:tc>
              <w:tc>
                <w:tcPr>
                  <w:tcW w:w="908" w:type="dxa"/>
                  <w:tcBorders>
                    <w:top w:val="single" w:color="auto" w:sz="4" w:space="0"/>
                    <w:bottom w:val="single" w:color="auto" w:sz="4" w:space="0"/>
                  </w:tcBorders>
                  <w:shd w:val="clear" w:color="auto" w:fill="auto"/>
                  <w:vAlign w:val="center"/>
                </w:tcPr>
                <w:p w14:paraId="50052DB6">
                  <w:pPr>
                    <w:pStyle w:val="80"/>
                    <w:rPr>
                      <w:rFonts w:ascii="Times New Roman" w:hAnsi="Times New Roman" w:eastAsia="宋体" w:cs="Times New Roman"/>
                      <w:color w:val="auto"/>
                      <w:kern w:val="2"/>
                      <w:sz w:val="21"/>
                      <w:szCs w:val="24"/>
                      <w:lang w:val="en-US" w:eastAsia="zh-CN" w:bidi="ar-SA"/>
                    </w:rPr>
                  </w:pPr>
                  <w:r>
                    <w:rPr>
                      <w:rFonts w:hint="eastAsia"/>
                      <w:color w:val="auto"/>
                      <w:lang w:eastAsia="zh-CN"/>
                    </w:rPr>
                    <w:t>0.00</w:t>
                  </w:r>
                  <w:r>
                    <w:rPr>
                      <w:rFonts w:hint="eastAsia"/>
                      <w:color w:val="auto"/>
                      <w:lang w:val="en-US" w:eastAsia="zh-CN"/>
                    </w:rPr>
                    <w:t>1</w:t>
                  </w:r>
                  <w:r>
                    <w:rPr>
                      <w:rFonts w:hint="eastAsia"/>
                      <w:color w:val="auto"/>
                    </w:rPr>
                    <w:t xml:space="preserve"> </w:t>
                  </w:r>
                </w:p>
              </w:tc>
            </w:tr>
            <w:tr w14:paraId="7CAC77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20" w:type="dxa"/>
                  <w:gridSpan w:val="3"/>
                  <w:vMerge w:val="continue"/>
                  <w:tcBorders>
                    <w:bottom w:val="single" w:color="auto" w:sz="12" w:space="0"/>
                  </w:tcBorders>
                  <w:shd w:val="clear" w:color="auto" w:fill="auto"/>
                  <w:vAlign w:val="center"/>
                </w:tcPr>
                <w:p w14:paraId="4FFC1F6C">
                  <w:pPr>
                    <w:pStyle w:val="80"/>
                    <w:rPr>
                      <w:color w:val="auto"/>
                    </w:rPr>
                  </w:pPr>
                </w:p>
              </w:tc>
              <w:tc>
                <w:tcPr>
                  <w:tcW w:w="583" w:type="dxa"/>
                  <w:tcBorders>
                    <w:top w:val="single" w:color="auto" w:sz="4" w:space="0"/>
                    <w:bottom w:val="single" w:color="auto" w:sz="12" w:space="0"/>
                  </w:tcBorders>
                  <w:shd w:val="clear" w:color="auto" w:fill="auto"/>
                  <w:vAlign w:val="center"/>
                </w:tcPr>
                <w:p w14:paraId="04DD327E">
                  <w:pPr>
                    <w:pStyle w:val="80"/>
                    <w:jc w:val="both"/>
                    <w:rPr>
                      <w:color w:val="auto"/>
                    </w:rPr>
                  </w:pPr>
                  <w:r>
                    <w:rPr>
                      <w:color w:val="auto"/>
                    </w:rPr>
                    <w:t>非甲烷总烃</w:t>
                  </w:r>
                </w:p>
              </w:tc>
              <w:tc>
                <w:tcPr>
                  <w:tcW w:w="4503" w:type="dxa"/>
                  <w:gridSpan w:val="3"/>
                  <w:tcBorders>
                    <w:top w:val="single" w:color="auto" w:sz="4" w:space="0"/>
                    <w:bottom w:val="single" w:color="auto" w:sz="12" w:space="0"/>
                  </w:tcBorders>
                  <w:shd w:val="clear" w:color="auto" w:fill="auto"/>
                  <w:vAlign w:val="center"/>
                </w:tcPr>
                <w:p w14:paraId="266F0AA6">
                  <w:pPr>
                    <w:pStyle w:val="80"/>
                    <w:rPr>
                      <w:color w:val="auto"/>
                    </w:rPr>
                  </w:pPr>
                  <w:r>
                    <w:rPr>
                      <w:color w:val="auto"/>
                    </w:rPr>
                    <w:t>/</w:t>
                  </w:r>
                </w:p>
              </w:tc>
              <w:tc>
                <w:tcPr>
                  <w:tcW w:w="908" w:type="dxa"/>
                  <w:tcBorders>
                    <w:top w:val="single" w:color="auto" w:sz="4" w:space="0"/>
                    <w:bottom w:val="single" w:color="auto" w:sz="12" w:space="0"/>
                  </w:tcBorders>
                  <w:shd w:val="clear" w:color="auto" w:fill="auto"/>
                  <w:vAlign w:val="center"/>
                </w:tcPr>
                <w:p w14:paraId="4A7B1E8F">
                  <w:pPr>
                    <w:pStyle w:val="80"/>
                    <w:rPr>
                      <w:rFonts w:ascii="Times New Roman" w:hAnsi="Times New Roman" w:eastAsia="宋体" w:cs="Times New Roman"/>
                      <w:color w:val="auto"/>
                      <w:kern w:val="2"/>
                      <w:sz w:val="21"/>
                      <w:szCs w:val="24"/>
                      <w:lang w:val="en-US" w:eastAsia="zh-CN" w:bidi="ar-SA"/>
                    </w:rPr>
                  </w:pPr>
                  <w:r>
                    <w:rPr>
                      <w:rFonts w:hint="eastAsia"/>
                      <w:color w:val="auto"/>
                      <w:lang w:eastAsia="zh-CN"/>
                    </w:rPr>
                    <w:t>0.</w:t>
                  </w:r>
                  <w:r>
                    <w:rPr>
                      <w:rFonts w:hint="eastAsia"/>
                      <w:color w:val="auto"/>
                      <w:lang w:val="en-US" w:eastAsia="zh-CN"/>
                    </w:rPr>
                    <w:t>1</w:t>
                  </w:r>
                  <w:r>
                    <w:rPr>
                      <w:rFonts w:hint="eastAsia"/>
                      <w:color w:val="auto"/>
                    </w:rPr>
                    <w:t xml:space="preserve"> </w:t>
                  </w:r>
                </w:p>
              </w:tc>
            </w:tr>
          </w:tbl>
          <w:p w14:paraId="095FE334">
            <w:pPr>
              <w:pStyle w:val="78"/>
              <w:rPr>
                <w:color w:val="auto"/>
              </w:rPr>
            </w:pPr>
            <w:r>
              <w:rPr>
                <w:color w:val="auto"/>
              </w:rPr>
              <w:t>表4-4 大气污染物年排放量核算表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38"/>
              <w:gridCol w:w="2306"/>
              <w:gridCol w:w="3004"/>
            </w:tblGrid>
            <w:tr w14:paraId="41B34E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40" w:type="dxa"/>
                  <w:shd w:val="clear" w:color="auto" w:fill="auto"/>
                  <w:vAlign w:val="center"/>
                </w:tcPr>
                <w:p w14:paraId="08C68DC6">
                  <w:pPr>
                    <w:pStyle w:val="80"/>
                    <w:rPr>
                      <w:color w:val="auto"/>
                    </w:rPr>
                  </w:pPr>
                  <w:r>
                    <w:rPr>
                      <w:color w:val="auto"/>
                    </w:rPr>
                    <w:t>序号</w:t>
                  </w:r>
                </w:p>
              </w:tc>
              <w:tc>
                <w:tcPr>
                  <w:tcW w:w="2307" w:type="dxa"/>
                  <w:shd w:val="clear" w:color="auto" w:fill="auto"/>
                  <w:vAlign w:val="center"/>
                </w:tcPr>
                <w:p w14:paraId="5CF9DEFB">
                  <w:pPr>
                    <w:pStyle w:val="80"/>
                    <w:rPr>
                      <w:color w:val="auto"/>
                    </w:rPr>
                  </w:pPr>
                  <w:r>
                    <w:rPr>
                      <w:color w:val="auto"/>
                    </w:rPr>
                    <w:t>污染物</w:t>
                  </w:r>
                </w:p>
              </w:tc>
              <w:tc>
                <w:tcPr>
                  <w:tcW w:w="3005" w:type="dxa"/>
                  <w:shd w:val="clear" w:color="auto" w:fill="auto"/>
                  <w:vAlign w:val="center"/>
                </w:tcPr>
                <w:p w14:paraId="02D13DF5">
                  <w:pPr>
                    <w:pStyle w:val="80"/>
                    <w:rPr>
                      <w:color w:val="auto"/>
                    </w:rPr>
                  </w:pPr>
                  <w:r>
                    <w:rPr>
                      <w:color w:val="auto"/>
                    </w:rPr>
                    <w:t>年排放量（t/a）</w:t>
                  </w:r>
                </w:p>
              </w:tc>
            </w:tr>
            <w:tr w14:paraId="794908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40" w:type="dxa"/>
                  <w:shd w:val="clear" w:color="auto" w:fill="auto"/>
                  <w:vAlign w:val="center"/>
                </w:tcPr>
                <w:p w14:paraId="0CA7C69B">
                  <w:pPr>
                    <w:pStyle w:val="80"/>
                    <w:rPr>
                      <w:color w:val="auto"/>
                    </w:rPr>
                  </w:pPr>
                  <w:r>
                    <w:rPr>
                      <w:color w:val="auto"/>
                    </w:rPr>
                    <w:t>1</w:t>
                  </w:r>
                </w:p>
              </w:tc>
              <w:tc>
                <w:tcPr>
                  <w:tcW w:w="2307" w:type="dxa"/>
                  <w:shd w:val="clear" w:color="auto" w:fill="auto"/>
                  <w:vAlign w:val="center"/>
                </w:tcPr>
                <w:p w14:paraId="69E98530">
                  <w:pPr>
                    <w:pStyle w:val="80"/>
                    <w:rPr>
                      <w:color w:val="auto"/>
                    </w:rPr>
                  </w:pPr>
                  <w:r>
                    <w:rPr>
                      <w:color w:val="auto"/>
                    </w:rPr>
                    <w:t>颗粒物</w:t>
                  </w:r>
                </w:p>
              </w:tc>
              <w:tc>
                <w:tcPr>
                  <w:tcW w:w="3005" w:type="dxa"/>
                  <w:shd w:val="clear" w:color="auto" w:fill="auto"/>
                  <w:vAlign w:val="center"/>
                </w:tcPr>
                <w:p w14:paraId="65B8CEF7">
                  <w:pPr>
                    <w:pStyle w:val="80"/>
                    <w:rPr>
                      <w:rFonts w:ascii="Times New Roman" w:hAnsi="Times New Roman" w:eastAsia="宋体" w:cs="Times New Roman"/>
                      <w:color w:val="auto"/>
                      <w:kern w:val="2"/>
                      <w:sz w:val="21"/>
                      <w:szCs w:val="24"/>
                      <w:lang w:val="en-US" w:eastAsia="zh-CN" w:bidi="ar-SA"/>
                    </w:rPr>
                  </w:pPr>
                  <w:r>
                    <w:rPr>
                      <w:rFonts w:hint="eastAsia"/>
                      <w:color w:val="auto"/>
                      <w:lang w:eastAsia="zh-CN"/>
                    </w:rPr>
                    <w:t>0.00</w:t>
                  </w:r>
                  <w:r>
                    <w:rPr>
                      <w:rFonts w:hint="eastAsia"/>
                      <w:color w:val="auto"/>
                      <w:lang w:val="en-US" w:eastAsia="zh-CN"/>
                    </w:rPr>
                    <w:t>1</w:t>
                  </w:r>
                  <w:r>
                    <w:rPr>
                      <w:rFonts w:hint="eastAsia"/>
                      <w:color w:val="auto"/>
                    </w:rPr>
                    <w:t xml:space="preserve">  </w:t>
                  </w:r>
                </w:p>
              </w:tc>
            </w:tr>
            <w:tr w14:paraId="321E39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2440" w:type="dxa"/>
                  <w:shd w:val="clear" w:color="auto" w:fill="auto"/>
                  <w:vAlign w:val="center"/>
                </w:tcPr>
                <w:p w14:paraId="4CA78C64">
                  <w:pPr>
                    <w:pStyle w:val="80"/>
                    <w:rPr>
                      <w:color w:val="auto"/>
                    </w:rPr>
                  </w:pPr>
                  <w:r>
                    <w:rPr>
                      <w:color w:val="auto"/>
                    </w:rPr>
                    <w:t>2</w:t>
                  </w:r>
                </w:p>
              </w:tc>
              <w:tc>
                <w:tcPr>
                  <w:tcW w:w="2307" w:type="dxa"/>
                  <w:shd w:val="clear" w:color="auto" w:fill="auto"/>
                  <w:vAlign w:val="center"/>
                </w:tcPr>
                <w:p w14:paraId="635C5DD3">
                  <w:pPr>
                    <w:pStyle w:val="80"/>
                    <w:rPr>
                      <w:color w:val="auto"/>
                    </w:rPr>
                  </w:pPr>
                  <w:r>
                    <w:rPr>
                      <w:color w:val="auto"/>
                    </w:rPr>
                    <w:t>非甲烷总烃</w:t>
                  </w:r>
                </w:p>
              </w:tc>
              <w:tc>
                <w:tcPr>
                  <w:tcW w:w="3005" w:type="dxa"/>
                  <w:shd w:val="clear" w:color="auto" w:fill="auto"/>
                  <w:vAlign w:val="center"/>
                </w:tcPr>
                <w:p w14:paraId="39EC0CE0">
                  <w:pPr>
                    <w:pStyle w:val="80"/>
                    <w:rPr>
                      <w:rFonts w:hint="default" w:ascii="Times New Roman" w:hAnsi="Times New Roman" w:eastAsia="宋体" w:cs="Times New Roman"/>
                      <w:color w:val="auto"/>
                      <w:kern w:val="2"/>
                      <w:sz w:val="21"/>
                      <w:szCs w:val="24"/>
                      <w:lang w:val="en-US" w:eastAsia="zh-CN" w:bidi="ar-SA"/>
                    </w:rPr>
                  </w:pPr>
                  <w:r>
                    <w:rPr>
                      <w:rFonts w:hint="eastAsia"/>
                      <w:color w:val="auto"/>
                      <w:lang w:eastAsia="zh-CN"/>
                    </w:rPr>
                    <w:t>0.</w:t>
                  </w:r>
                  <w:r>
                    <w:rPr>
                      <w:rFonts w:hint="eastAsia"/>
                      <w:color w:val="auto"/>
                      <w:lang w:val="en-US" w:eastAsia="zh-CN"/>
                    </w:rPr>
                    <w:t>1</w:t>
                  </w:r>
                </w:p>
              </w:tc>
            </w:tr>
          </w:tbl>
          <w:p w14:paraId="36BFC19A">
            <w:pPr>
              <w:pStyle w:val="84"/>
              <w:ind w:left="0" w:leftChars="0" w:firstLine="241" w:firstLineChars="100"/>
              <w:rPr>
                <w:color w:val="auto"/>
              </w:rPr>
            </w:pPr>
            <w:r>
              <w:rPr>
                <w:color w:val="auto"/>
              </w:rPr>
              <w:t>（</w:t>
            </w:r>
            <w:r>
              <w:rPr>
                <w:rFonts w:hint="eastAsia"/>
                <w:color w:val="auto"/>
                <w:lang w:val="en-US" w:eastAsia="zh-CN"/>
              </w:rPr>
              <w:t>七</w:t>
            </w:r>
            <w:r>
              <w:rPr>
                <w:color w:val="auto"/>
              </w:rPr>
              <w:t>）自行监测要求</w:t>
            </w:r>
          </w:p>
          <w:p w14:paraId="4955DE76">
            <w:pPr>
              <w:pStyle w:val="77"/>
              <w:rPr>
                <w:color w:val="auto"/>
              </w:rPr>
            </w:pPr>
            <w:r>
              <w:rPr>
                <w:color w:val="auto"/>
              </w:rPr>
              <w:t>根据《排污许可证申请与核发技术规范 废弃资源加工工业》（HJ1034-2019）、《排污单位自行监测技术指南 总则》（HJ 819-2017）及项目排污特点制定，针对本项目排放废气，企业需定期委托有资质的单位进行监测，确保达标排放，减轻对周围环境的污染。具体监测计划见下表。</w:t>
            </w:r>
          </w:p>
          <w:p w14:paraId="3C362721">
            <w:pPr>
              <w:pStyle w:val="78"/>
              <w:rPr>
                <w:color w:val="auto"/>
              </w:rPr>
            </w:pPr>
            <w:r>
              <w:rPr>
                <w:color w:val="auto"/>
              </w:rPr>
              <w:t>表4-5 废气监测计划一览表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170"/>
              <w:gridCol w:w="1787"/>
              <w:gridCol w:w="2339"/>
              <w:gridCol w:w="2452"/>
            </w:tblGrid>
            <w:tr w14:paraId="6C50F9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55" w:type="pct"/>
                  <w:vAlign w:val="center"/>
                </w:tcPr>
                <w:p w14:paraId="524BAD5C">
                  <w:pPr>
                    <w:pStyle w:val="80"/>
                    <w:rPr>
                      <w:color w:val="auto"/>
                      <w:lang w:val="zh-CN"/>
                    </w:rPr>
                  </w:pPr>
                  <w:r>
                    <w:rPr>
                      <w:color w:val="auto"/>
                      <w:lang w:val="zh-CN"/>
                    </w:rPr>
                    <w:t>类别</w:t>
                  </w:r>
                </w:p>
              </w:tc>
              <w:tc>
                <w:tcPr>
                  <w:tcW w:w="1153" w:type="pct"/>
                  <w:vAlign w:val="center"/>
                </w:tcPr>
                <w:p w14:paraId="216AAD20">
                  <w:pPr>
                    <w:pStyle w:val="80"/>
                    <w:rPr>
                      <w:color w:val="auto"/>
                      <w:lang w:val="zh-CN"/>
                    </w:rPr>
                  </w:pPr>
                  <w:r>
                    <w:rPr>
                      <w:color w:val="auto"/>
                      <w:lang w:val="zh-CN"/>
                    </w:rPr>
                    <w:t>监测项目</w:t>
                  </w:r>
                </w:p>
              </w:tc>
              <w:tc>
                <w:tcPr>
                  <w:tcW w:w="1509" w:type="pct"/>
                  <w:vAlign w:val="center"/>
                </w:tcPr>
                <w:p w14:paraId="6F368E63">
                  <w:pPr>
                    <w:pStyle w:val="80"/>
                    <w:rPr>
                      <w:color w:val="auto"/>
                      <w:lang w:val="zh-CN"/>
                    </w:rPr>
                  </w:pPr>
                  <w:r>
                    <w:rPr>
                      <w:color w:val="auto"/>
                      <w:lang w:val="zh-CN"/>
                    </w:rPr>
                    <w:t>监测点</w:t>
                  </w:r>
                </w:p>
              </w:tc>
              <w:tc>
                <w:tcPr>
                  <w:tcW w:w="1581" w:type="pct"/>
                  <w:vAlign w:val="center"/>
                </w:tcPr>
                <w:p w14:paraId="29A3D4EC">
                  <w:pPr>
                    <w:pStyle w:val="80"/>
                    <w:rPr>
                      <w:color w:val="auto"/>
                      <w:lang w:val="zh-CN"/>
                    </w:rPr>
                  </w:pPr>
                  <w:r>
                    <w:rPr>
                      <w:color w:val="auto"/>
                      <w:lang w:val="zh-CN"/>
                    </w:rPr>
                    <w:t>监测频率</w:t>
                  </w:r>
                </w:p>
              </w:tc>
            </w:tr>
            <w:tr w14:paraId="11F694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55" w:type="pct"/>
                  <w:vMerge w:val="restart"/>
                  <w:vAlign w:val="center"/>
                </w:tcPr>
                <w:p w14:paraId="0E59AABC">
                  <w:pPr>
                    <w:pStyle w:val="80"/>
                    <w:rPr>
                      <w:color w:val="auto"/>
                      <w:lang w:val="zh-CN"/>
                    </w:rPr>
                  </w:pPr>
                  <w:r>
                    <w:rPr>
                      <w:color w:val="auto"/>
                      <w:lang w:val="zh-CN"/>
                    </w:rPr>
                    <w:t>废气</w:t>
                  </w:r>
                </w:p>
              </w:tc>
              <w:tc>
                <w:tcPr>
                  <w:tcW w:w="1153" w:type="pct"/>
                  <w:vAlign w:val="center"/>
                </w:tcPr>
                <w:p w14:paraId="03A77700">
                  <w:pPr>
                    <w:pStyle w:val="80"/>
                    <w:rPr>
                      <w:color w:val="FF0000"/>
                    </w:rPr>
                  </w:pPr>
                  <w:r>
                    <w:rPr>
                      <w:color w:val="FF0000"/>
                    </w:rPr>
                    <w:t>NMHC</w:t>
                  </w:r>
                </w:p>
              </w:tc>
              <w:tc>
                <w:tcPr>
                  <w:tcW w:w="1509" w:type="pct"/>
                  <w:vAlign w:val="center"/>
                </w:tcPr>
                <w:p w14:paraId="368DDBB0">
                  <w:pPr>
                    <w:pStyle w:val="80"/>
                    <w:rPr>
                      <w:rFonts w:hint="default" w:eastAsia="宋体"/>
                      <w:color w:val="FF0000"/>
                      <w:lang w:val="en-US" w:eastAsia="zh-CN"/>
                    </w:rPr>
                  </w:pPr>
                  <w:r>
                    <w:rPr>
                      <w:rFonts w:hint="eastAsia"/>
                      <w:color w:val="FF0000"/>
                      <w:lang w:val="en-US" w:eastAsia="zh-CN"/>
                    </w:rPr>
                    <w:t>排气筒P1</w:t>
                  </w:r>
                </w:p>
              </w:tc>
              <w:tc>
                <w:tcPr>
                  <w:tcW w:w="1581" w:type="pct"/>
                  <w:vAlign w:val="center"/>
                </w:tcPr>
                <w:p w14:paraId="15B6ACBE">
                  <w:pPr>
                    <w:pStyle w:val="80"/>
                    <w:rPr>
                      <w:color w:val="FF0000"/>
                      <w:lang w:val="zh-CN"/>
                    </w:rPr>
                  </w:pPr>
                  <w:r>
                    <w:rPr>
                      <w:color w:val="FF0000"/>
                      <w:lang w:val="zh-CN"/>
                    </w:rPr>
                    <w:t>1次/年</w:t>
                  </w:r>
                </w:p>
              </w:tc>
            </w:tr>
            <w:tr w14:paraId="1509E7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55" w:type="pct"/>
                  <w:vMerge w:val="continue"/>
                  <w:vAlign w:val="center"/>
                </w:tcPr>
                <w:p w14:paraId="6AF3027F">
                  <w:pPr>
                    <w:pStyle w:val="80"/>
                    <w:rPr>
                      <w:color w:val="auto"/>
                      <w:lang w:val="zh-CN"/>
                    </w:rPr>
                  </w:pPr>
                </w:p>
              </w:tc>
              <w:tc>
                <w:tcPr>
                  <w:tcW w:w="1153" w:type="pct"/>
                  <w:vAlign w:val="center"/>
                </w:tcPr>
                <w:p w14:paraId="01FD7FE8">
                  <w:pPr>
                    <w:pStyle w:val="80"/>
                    <w:rPr>
                      <w:color w:val="auto"/>
                    </w:rPr>
                  </w:pPr>
                  <w:r>
                    <w:rPr>
                      <w:color w:val="auto"/>
                    </w:rPr>
                    <w:t>颗粒物</w:t>
                  </w:r>
                </w:p>
              </w:tc>
              <w:tc>
                <w:tcPr>
                  <w:tcW w:w="1509" w:type="pct"/>
                  <w:vAlign w:val="center"/>
                </w:tcPr>
                <w:p w14:paraId="69FFEB57">
                  <w:pPr>
                    <w:pStyle w:val="80"/>
                    <w:rPr>
                      <w:color w:val="auto"/>
                    </w:rPr>
                  </w:pPr>
                  <w:r>
                    <w:rPr>
                      <w:color w:val="auto"/>
                    </w:rPr>
                    <w:t>厂界</w:t>
                  </w:r>
                </w:p>
              </w:tc>
              <w:tc>
                <w:tcPr>
                  <w:tcW w:w="1581" w:type="pct"/>
                  <w:vAlign w:val="center"/>
                </w:tcPr>
                <w:p w14:paraId="6238BBE3">
                  <w:pPr>
                    <w:pStyle w:val="80"/>
                    <w:rPr>
                      <w:color w:val="auto"/>
                      <w:lang w:val="zh-CN"/>
                    </w:rPr>
                  </w:pPr>
                  <w:r>
                    <w:rPr>
                      <w:color w:val="auto"/>
                      <w:lang w:val="zh-CN"/>
                    </w:rPr>
                    <w:t>1次/年</w:t>
                  </w:r>
                </w:p>
              </w:tc>
            </w:tr>
            <w:tr w14:paraId="0A0C63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54" w:hRule="atLeast"/>
                <w:jc w:val="center"/>
              </w:trPr>
              <w:tc>
                <w:tcPr>
                  <w:tcW w:w="755" w:type="pct"/>
                  <w:vMerge w:val="continue"/>
                  <w:vAlign w:val="center"/>
                </w:tcPr>
                <w:p w14:paraId="5D9241C6">
                  <w:pPr>
                    <w:pStyle w:val="80"/>
                    <w:rPr>
                      <w:color w:val="auto"/>
                      <w:lang w:val="zh-CN"/>
                    </w:rPr>
                  </w:pPr>
                </w:p>
              </w:tc>
              <w:tc>
                <w:tcPr>
                  <w:tcW w:w="1153" w:type="pct"/>
                  <w:vMerge w:val="restart"/>
                  <w:tcBorders>
                    <w:bottom w:val="single" w:color="auto" w:sz="4" w:space="0"/>
                  </w:tcBorders>
                  <w:vAlign w:val="center"/>
                </w:tcPr>
                <w:p w14:paraId="2486E578">
                  <w:pPr>
                    <w:pStyle w:val="80"/>
                    <w:rPr>
                      <w:color w:val="auto"/>
                    </w:rPr>
                  </w:pPr>
                  <w:r>
                    <w:rPr>
                      <w:color w:val="auto"/>
                    </w:rPr>
                    <w:t>NMHC</w:t>
                  </w:r>
                </w:p>
              </w:tc>
              <w:tc>
                <w:tcPr>
                  <w:tcW w:w="1509" w:type="pct"/>
                  <w:tcBorders>
                    <w:bottom w:val="single" w:color="auto" w:sz="4" w:space="0"/>
                  </w:tcBorders>
                  <w:vAlign w:val="center"/>
                </w:tcPr>
                <w:p w14:paraId="7E790A2C">
                  <w:pPr>
                    <w:pStyle w:val="80"/>
                    <w:rPr>
                      <w:color w:val="auto"/>
                    </w:rPr>
                  </w:pPr>
                  <w:r>
                    <w:rPr>
                      <w:color w:val="auto"/>
                    </w:rPr>
                    <w:t>厂界</w:t>
                  </w:r>
                </w:p>
              </w:tc>
              <w:tc>
                <w:tcPr>
                  <w:tcW w:w="1581" w:type="pct"/>
                  <w:vMerge w:val="restart"/>
                  <w:tcBorders>
                    <w:bottom w:val="single" w:color="auto" w:sz="4" w:space="0"/>
                  </w:tcBorders>
                  <w:vAlign w:val="center"/>
                </w:tcPr>
                <w:p w14:paraId="4C297CFC">
                  <w:pPr>
                    <w:pStyle w:val="80"/>
                    <w:rPr>
                      <w:color w:val="auto"/>
                      <w:lang w:val="zh-CN"/>
                    </w:rPr>
                  </w:pPr>
                  <w:r>
                    <w:rPr>
                      <w:color w:val="auto"/>
                    </w:rPr>
                    <w:t>1次/年</w:t>
                  </w:r>
                </w:p>
              </w:tc>
            </w:tr>
            <w:tr w14:paraId="7F0CC3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55" w:type="pct"/>
                  <w:vMerge w:val="continue"/>
                  <w:vAlign w:val="center"/>
                </w:tcPr>
                <w:p w14:paraId="010BDEFB">
                  <w:pPr>
                    <w:pStyle w:val="80"/>
                    <w:rPr>
                      <w:color w:val="auto"/>
                      <w:lang w:val="zh-CN"/>
                    </w:rPr>
                  </w:pPr>
                </w:p>
              </w:tc>
              <w:tc>
                <w:tcPr>
                  <w:tcW w:w="1153" w:type="pct"/>
                  <w:vMerge w:val="continue"/>
                  <w:vAlign w:val="center"/>
                </w:tcPr>
                <w:p w14:paraId="7BEF8254">
                  <w:pPr>
                    <w:pStyle w:val="80"/>
                    <w:rPr>
                      <w:color w:val="auto"/>
                    </w:rPr>
                  </w:pPr>
                </w:p>
              </w:tc>
              <w:tc>
                <w:tcPr>
                  <w:tcW w:w="1509" w:type="pct"/>
                  <w:vAlign w:val="center"/>
                </w:tcPr>
                <w:p w14:paraId="0F1ECDDB">
                  <w:pPr>
                    <w:pStyle w:val="80"/>
                    <w:rPr>
                      <w:color w:val="auto"/>
                    </w:rPr>
                  </w:pPr>
                  <w:r>
                    <w:rPr>
                      <w:color w:val="auto"/>
                    </w:rPr>
                    <w:t>拆解车间外</w:t>
                  </w:r>
                </w:p>
              </w:tc>
              <w:tc>
                <w:tcPr>
                  <w:tcW w:w="1581" w:type="pct"/>
                  <w:vMerge w:val="continue"/>
                  <w:vAlign w:val="center"/>
                </w:tcPr>
                <w:p w14:paraId="79E27DF0">
                  <w:pPr>
                    <w:pStyle w:val="80"/>
                    <w:rPr>
                      <w:color w:val="auto"/>
                      <w:lang w:val="zh-CN"/>
                    </w:rPr>
                  </w:pPr>
                </w:p>
              </w:tc>
            </w:tr>
          </w:tbl>
          <w:p w14:paraId="427F4D47">
            <w:pPr>
              <w:pStyle w:val="84"/>
              <w:rPr>
                <w:color w:val="auto"/>
              </w:rPr>
            </w:pPr>
            <w:r>
              <w:rPr>
                <w:color w:val="auto"/>
              </w:rPr>
              <w:t>二、废水</w:t>
            </w:r>
          </w:p>
          <w:p w14:paraId="0C8FA57B">
            <w:pPr>
              <w:pStyle w:val="77"/>
              <w:rPr>
                <w:color w:val="auto"/>
              </w:rPr>
            </w:pPr>
            <w:r>
              <w:rPr>
                <w:rFonts w:hint="eastAsia"/>
                <w:color w:val="auto"/>
              </w:rPr>
              <w:t>本项目拆解区位于厂房内部，具有防风、防雨功能。</w:t>
            </w:r>
            <w:r>
              <w:rPr>
                <w:rFonts w:hint="eastAsia"/>
                <w:color w:val="auto"/>
                <w:lang w:val="en-US" w:eastAsia="zh-CN"/>
              </w:rPr>
              <w:t>营运期</w:t>
            </w:r>
            <w:r>
              <w:rPr>
                <w:color w:val="auto"/>
              </w:rPr>
              <w:t>主要为生活污水和待拆车辆存放区初期雨水。</w:t>
            </w:r>
          </w:p>
          <w:p w14:paraId="2FC7E58C">
            <w:pPr>
              <w:pStyle w:val="77"/>
              <w:rPr>
                <w:rFonts w:hint="eastAsia"/>
                <w:color w:val="auto"/>
                <w:lang w:eastAsia="zh-CN"/>
              </w:rPr>
            </w:pPr>
            <w:r>
              <w:rPr>
                <w:rFonts w:hint="eastAsia" w:ascii="宋体" w:hAnsi="宋体" w:cs="宋体"/>
                <w:color w:val="auto"/>
              </w:rPr>
              <w:t>①</w:t>
            </w:r>
            <w:r>
              <w:rPr>
                <w:color w:val="auto"/>
              </w:rPr>
              <w:t>生活污水：排放量按生活用水量的80%计算，则生活污水产生量为0.32t/d，</w:t>
            </w:r>
            <w:r>
              <w:rPr>
                <w:rFonts w:hint="eastAsia"/>
                <w:color w:val="auto"/>
                <w:lang w:val="en-US" w:eastAsia="zh-CN"/>
              </w:rPr>
              <w:t>96</w:t>
            </w:r>
            <w:r>
              <w:rPr>
                <w:color w:val="auto"/>
              </w:rPr>
              <w:t>t/a。</w:t>
            </w:r>
            <w:r>
              <w:rPr>
                <w:rFonts w:hint="eastAsia"/>
                <w:color w:val="auto"/>
              </w:rPr>
              <w:t>项目生活污水</w:t>
            </w:r>
            <w:r>
              <w:rPr>
                <w:rFonts w:hint="eastAsia"/>
                <w:color w:val="auto"/>
                <w:lang w:val="en-US" w:eastAsia="zh-CN"/>
              </w:rPr>
              <w:t>排入</w:t>
            </w:r>
            <w:r>
              <w:rPr>
                <w:rFonts w:hint="eastAsia"/>
                <w:color w:val="auto"/>
                <w:lang w:eastAsia="zh-CN"/>
              </w:rPr>
              <w:t>防渗旱厕，定期清掏。</w:t>
            </w:r>
          </w:p>
          <w:p w14:paraId="34E2BEEF">
            <w:pPr>
              <w:pStyle w:val="77"/>
              <w:rPr>
                <w:color w:val="auto"/>
                <w:highlight w:val="none"/>
              </w:rPr>
            </w:pPr>
            <w:r>
              <w:rPr>
                <w:rFonts w:hint="eastAsia" w:ascii="宋体" w:hAnsi="宋体" w:cs="宋体"/>
                <w:color w:val="auto"/>
              </w:rPr>
              <w:t>②</w:t>
            </w:r>
            <w:r>
              <w:rPr>
                <w:color w:val="auto"/>
              </w:rPr>
              <w:t>待拆车辆存放区初期雨水：本项目初期雨水产生量为</w:t>
            </w:r>
            <w:r>
              <w:rPr>
                <w:rFonts w:hint="eastAsia"/>
                <w:color w:val="auto"/>
                <w:lang w:val="en-US" w:eastAsia="zh-CN"/>
              </w:rPr>
              <w:t>54.69m</w:t>
            </w:r>
            <w:r>
              <w:rPr>
                <w:rFonts w:hint="eastAsia"/>
                <w:color w:val="auto"/>
                <w:vertAlign w:val="superscript"/>
                <w:lang w:val="en-US" w:eastAsia="zh-CN"/>
              </w:rPr>
              <w:t>3</w:t>
            </w:r>
            <w:r>
              <w:rPr>
                <w:rFonts w:hint="eastAsia"/>
                <w:color w:val="auto"/>
                <w:lang w:val="en-US" w:eastAsia="zh-CN"/>
              </w:rPr>
              <w:t>/次</w:t>
            </w:r>
            <w:r>
              <w:rPr>
                <w:color w:val="auto"/>
              </w:rPr>
              <w:t>，间歇降雨频次按</w:t>
            </w:r>
            <w:r>
              <w:rPr>
                <w:rFonts w:hint="eastAsia"/>
                <w:color w:val="auto"/>
                <w:lang w:val="en-US" w:eastAsia="zh-CN"/>
              </w:rPr>
              <w:t>5</w:t>
            </w:r>
            <w:r>
              <w:rPr>
                <w:color w:val="auto"/>
              </w:rPr>
              <w:t>次/年计，排放量约为</w:t>
            </w:r>
            <w:r>
              <w:rPr>
                <w:rFonts w:hint="eastAsia"/>
                <w:color w:val="auto"/>
                <w:lang w:val="en-US" w:eastAsia="zh-CN"/>
              </w:rPr>
              <w:t>218.75</w:t>
            </w:r>
            <w:r>
              <w:rPr>
                <w:color w:val="auto"/>
              </w:rPr>
              <w:t>m</w:t>
            </w:r>
            <w:r>
              <w:rPr>
                <w:color w:val="auto"/>
                <w:vertAlign w:val="superscript"/>
              </w:rPr>
              <w:t>3</w:t>
            </w:r>
            <w:r>
              <w:rPr>
                <w:color w:val="auto"/>
              </w:rPr>
              <w:t>/a。污染因子主要为COD、石油类、SS。</w:t>
            </w:r>
            <w:bookmarkStart w:id="12" w:name="_Hlk80710160"/>
            <w:r>
              <w:rPr>
                <w:color w:val="auto"/>
              </w:rPr>
              <w:t>待拆车辆存放区初期雨水经待拆车辆存放区四周排水沟汇入厂区1座</w:t>
            </w:r>
            <w:r>
              <w:rPr>
                <w:rFonts w:hint="eastAsia"/>
                <w:color w:val="auto"/>
                <w:lang w:val="en-US" w:eastAsia="zh-CN"/>
              </w:rPr>
              <w:t>8</w:t>
            </w:r>
            <w:r>
              <w:rPr>
                <w:color w:val="auto"/>
              </w:rPr>
              <w:t>0m</w:t>
            </w:r>
            <w:r>
              <w:rPr>
                <w:color w:val="auto"/>
                <w:vertAlign w:val="superscript"/>
              </w:rPr>
              <w:t>3</w:t>
            </w:r>
            <w:r>
              <w:rPr>
                <w:color w:val="auto"/>
              </w:rPr>
              <w:t>初期雨水收集池，经油水分离器隔油处理后（处理效率为90%）</w:t>
            </w:r>
            <w:r>
              <w:rPr>
                <w:rFonts w:hint="eastAsia"/>
                <w:color w:val="auto"/>
                <w:lang w:eastAsia="zh-CN"/>
              </w:rPr>
              <w:t>，</w:t>
            </w:r>
            <w:r>
              <w:rPr>
                <w:rFonts w:hint="eastAsia"/>
                <w:color w:val="auto"/>
                <w:lang w:val="en-US" w:eastAsia="zh-CN"/>
              </w:rPr>
              <w:t>用于厂区洒扫降尘。</w:t>
            </w:r>
            <w:bookmarkEnd w:id="12"/>
          </w:p>
          <w:p w14:paraId="093F75C3">
            <w:pPr>
              <w:pStyle w:val="84"/>
              <w:rPr>
                <w:color w:val="auto"/>
              </w:rPr>
            </w:pPr>
            <w:r>
              <w:rPr>
                <w:color w:val="auto"/>
              </w:rPr>
              <w:t>三、噪声</w:t>
            </w:r>
          </w:p>
          <w:p w14:paraId="34A51FF9">
            <w:pPr>
              <w:pStyle w:val="84"/>
              <w:rPr>
                <w:b w:val="0"/>
                <w:bCs w:val="0"/>
                <w:color w:val="auto"/>
              </w:rPr>
            </w:pPr>
            <w:r>
              <w:rPr>
                <w:b w:val="0"/>
                <w:bCs w:val="0"/>
                <w:color w:val="auto"/>
              </w:rPr>
              <w:t>（一）主要噪声源及源强</w:t>
            </w:r>
          </w:p>
          <w:p w14:paraId="03CEC0DC">
            <w:pPr>
              <w:pStyle w:val="77"/>
              <w:rPr>
                <w:color w:val="auto"/>
              </w:rPr>
            </w:pPr>
            <w:r>
              <w:rPr>
                <w:color w:val="auto"/>
              </w:rPr>
              <w:t>项目投入运营后，噪声主要来源于车间设备运行时产生的噪声。单台噪声值约为</w:t>
            </w:r>
            <w:r>
              <w:rPr>
                <w:rFonts w:hint="eastAsia"/>
                <w:color w:val="auto"/>
                <w:lang w:val="en-US" w:eastAsia="zh-CN"/>
              </w:rPr>
              <w:t>85</w:t>
            </w:r>
            <w:r>
              <w:rPr>
                <w:color w:val="auto"/>
              </w:rPr>
              <w:t>-</w:t>
            </w:r>
            <w:r>
              <w:rPr>
                <w:rFonts w:hint="eastAsia"/>
                <w:color w:val="auto"/>
                <w:lang w:val="en-US" w:eastAsia="zh-CN"/>
              </w:rPr>
              <w:t>9</w:t>
            </w:r>
            <w:r>
              <w:rPr>
                <w:color w:val="auto"/>
              </w:rPr>
              <w:t>5dB（A），</w:t>
            </w:r>
            <w:r>
              <w:rPr>
                <w:rFonts w:hint="eastAsia"/>
                <w:color w:val="auto"/>
              </w:rPr>
              <w:t>根据《环境影响评价技术导则 声环境》（H</w:t>
            </w:r>
            <w:r>
              <w:rPr>
                <w:color w:val="auto"/>
              </w:rPr>
              <w:t>J2.4</w:t>
            </w:r>
            <w:r>
              <w:rPr>
                <w:rFonts w:hint="eastAsia"/>
                <w:color w:val="auto"/>
              </w:rPr>
              <w:t>—2</w:t>
            </w:r>
            <w:r>
              <w:rPr>
                <w:color w:val="auto"/>
              </w:rPr>
              <w:t>021</w:t>
            </w:r>
            <w:r>
              <w:rPr>
                <w:rFonts w:hint="eastAsia"/>
                <w:color w:val="auto"/>
              </w:rPr>
              <w:t>），</w:t>
            </w:r>
            <w:r>
              <w:rPr>
                <w:color w:val="auto"/>
              </w:rPr>
              <w:t>噪声源强见下表。</w:t>
            </w:r>
          </w:p>
          <w:p w14:paraId="6C0A1868">
            <w:pPr>
              <w:pStyle w:val="78"/>
              <w:rPr>
                <w:color w:val="auto"/>
              </w:rPr>
            </w:pPr>
            <w:r>
              <w:rPr>
                <w:color w:val="auto"/>
              </w:rPr>
              <w:t>表4-</w:t>
            </w:r>
            <w:r>
              <w:rPr>
                <w:rFonts w:hint="eastAsia"/>
                <w:color w:val="auto"/>
                <w:lang w:val="en-US" w:eastAsia="zh-CN"/>
              </w:rPr>
              <w:t>6</w:t>
            </w:r>
            <w:r>
              <w:rPr>
                <w:color w:val="auto"/>
              </w:rPr>
              <w:t xml:space="preserve"> 工业企业噪声源强调查清单（室内声源）</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3"/>
              <w:gridCol w:w="393"/>
              <w:gridCol w:w="393"/>
              <w:gridCol w:w="393"/>
              <w:gridCol w:w="718"/>
              <w:gridCol w:w="571"/>
              <w:gridCol w:w="452"/>
              <w:gridCol w:w="497"/>
              <w:gridCol w:w="325"/>
              <w:gridCol w:w="403"/>
              <w:gridCol w:w="718"/>
              <w:gridCol w:w="660"/>
              <w:gridCol w:w="719"/>
              <w:gridCol w:w="719"/>
              <w:gridCol w:w="394"/>
            </w:tblGrid>
            <w:tr w14:paraId="41EF8B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252" w:type="pct"/>
                  <w:vMerge w:val="restart"/>
                  <w:vAlign w:val="center"/>
                </w:tcPr>
                <w:p w14:paraId="56B291B6">
                  <w:pPr>
                    <w:pStyle w:val="88"/>
                    <w:rPr>
                      <w:rFonts w:eastAsia="宋体"/>
                      <w:color w:val="auto"/>
                    </w:rPr>
                  </w:pPr>
                  <w:r>
                    <w:rPr>
                      <w:rFonts w:eastAsia="宋体"/>
                      <w:color w:val="auto"/>
                    </w:rPr>
                    <w:t>序号</w:t>
                  </w:r>
                </w:p>
              </w:tc>
              <w:tc>
                <w:tcPr>
                  <w:tcW w:w="252" w:type="pct"/>
                  <w:vMerge w:val="restart"/>
                  <w:vAlign w:val="center"/>
                </w:tcPr>
                <w:p w14:paraId="374D33B3">
                  <w:pPr>
                    <w:pStyle w:val="88"/>
                    <w:rPr>
                      <w:rFonts w:eastAsia="宋体"/>
                      <w:color w:val="auto"/>
                    </w:rPr>
                  </w:pPr>
                  <w:r>
                    <w:rPr>
                      <w:rFonts w:eastAsia="宋体"/>
                      <w:color w:val="auto"/>
                    </w:rPr>
                    <w:t>建筑物名称</w:t>
                  </w:r>
                </w:p>
              </w:tc>
              <w:tc>
                <w:tcPr>
                  <w:tcW w:w="253" w:type="pct"/>
                  <w:vMerge w:val="restart"/>
                  <w:vAlign w:val="center"/>
                </w:tcPr>
                <w:p w14:paraId="262B4D35">
                  <w:pPr>
                    <w:pStyle w:val="88"/>
                    <w:rPr>
                      <w:rFonts w:eastAsia="宋体"/>
                      <w:color w:val="auto"/>
                    </w:rPr>
                  </w:pPr>
                  <w:r>
                    <w:rPr>
                      <w:rFonts w:eastAsia="宋体"/>
                      <w:color w:val="auto"/>
                    </w:rPr>
                    <w:t>声源名称</w:t>
                  </w:r>
                </w:p>
              </w:tc>
              <w:tc>
                <w:tcPr>
                  <w:tcW w:w="253" w:type="pct"/>
                  <w:vMerge w:val="restart"/>
                  <w:vAlign w:val="center"/>
                </w:tcPr>
                <w:p w14:paraId="6DC94633">
                  <w:pPr>
                    <w:pStyle w:val="88"/>
                    <w:rPr>
                      <w:rFonts w:eastAsia="宋体"/>
                      <w:color w:val="auto"/>
                    </w:rPr>
                  </w:pPr>
                  <w:r>
                    <w:rPr>
                      <w:rFonts w:eastAsia="宋体"/>
                      <w:color w:val="auto"/>
                    </w:rPr>
                    <w:t>型号</w:t>
                  </w:r>
                </w:p>
              </w:tc>
              <w:tc>
                <w:tcPr>
                  <w:tcW w:w="370" w:type="pct"/>
                  <w:vAlign w:val="center"/>
                </w:tcPr>
                <w:p w14:paraId="70FDB2BA">
                  <w:pPr>
                    <w:pStyle w:val="88"/>
                    <w:rPr>
                      <w:rFonts w:eastAsia="宋体"/>
                      <w:color w:val="auto"/>
                    </w:rPr>
                  </w:pPr>
                  <w:r>
                    <w:rPr>
                      <w:rFonts w:eastAsia="宋体"/>
                      <w:color w:val="auto"/>
                    </w:rPr>
                    <w:t>声源源强</w:t>
                  </w:r>
                </w:p>
              </w:tc>
              <w:tc>
                <w:tcPr>
                  <w:tcW w:w="365" w:type="pct"/>
                  <w:vMerge w:val="restart"/>
                  <w:vAlign w:val="center"/>
                </w:tcPr>
                <w:p w14:paraId="014EB196">
                  <w:pPr>
                    <w:pStyle w:val="88"/>
                    <w:rPr>
                      <w:rFonts w:eastAsia="宋体"/>
                      <w:color w:val="auto"/>
                    </w:rPr>
                  </w:pPr>
                  <w:r>
                    <w:rPr>
                      <w:rFonts w:eastAsia="宋体"/>
                      <w:color w:val="auto"/>
                    </w:rPr>
                    <w:t>声源控制措施</w:t>
                  </w:r>
                </w:p>
              </w:tc>
              <w:tc>
                <w:tcPr>
                  <w:tcW w:w="1014" w:type="pct"/>
                  <w:gridSpan w:val="3"/>
                  <w:vAlign w:val="center"/>
                </w:tcPr>
                <w:p w14:paraId="498796EA">
                  <w:pPr>
                    <w:pStyle w:val="88"/>
                    <w:rPr>
                      <w:rFonts w:eastAsia="宋体"/>
                      <w:color w:val="auto"/>
                    </w:rPr>
                  </w:pPr>
                  <w:r>
                    <w:rPr>
                      <w:rFonts w:eastAsia="宋体"/>
                      <w:color w:val="auto"/>
                    </w:rPr>
                    <w:t>空间相对位置/m</w:t>
                  </w:r>
                </w:p>
              </w:tc>
              <w:tc>
                <w:tcPr>
                  <w:tcW w:w="266" w:type="pct"/>
                  <w:vMerge w:val="restart"/>
                  <w:vAlign w:val="center"/>
                </w:tcPr>
                <w:p w14:paraId="266E5E1A">
                  <w:pPr>
                    <w:pStyle w:val="88"/>
                    <w:rPr>
                      <w:rFonts w:eastAsia="宋体"/>
                      <w:color w:val="auto"/>
                    </w:rPr>
                  </w:pPr>
                  <w:r>
                    <w:rPr>
                      <w:rFonts w:eastAsia="宋体"/>
                      <w:color w:val="auto"/>
                    </w:rPr>
                    <w:t>距室内边界距离/m</w:t>
                  </w:r>
                </w:p>
              </w:tc>
              <w:tc>
                <w:tcPr>
                  <w:tcW w:w="361" w:type="pct"/>
                  <w:vMerge w:val="restart"/>
                  <w:vAlign w:val="center"/>
                </w:tcPr>
                <w:p w14:paraId="692E2C90">
                  <w:pPr>
                    <w:pStyle w:val="88"/>
                    <w:rPr>
                      <w:rFonts w:eastAsia="宋体"/>
                      <w:color w:val="auto"/>
                    </w:rPr>
                  </w:pPr>
                  <w:r>
                    <w:rPr>
                      <w:rFonts w:eastAsia="宋体"/>
                      <w:color w:val="auto"/>
                    </w:rPr>
                    <w:t>室内边界声级/dB(A)</w:t>
                  </w:r>
                </w:p>
              </w:tc>
              <w:tc>
                <w:tcPr>
                  <w:tcW w:w="425" w:type="pct"/>
                  <w:vMerge w:val="restart"/>
                  <w:vAlign w:val="center"/>
                </w:tcPr>
                <w:p w14:paraId="344FCF16">
                  <w:pPr>
                    <w:pStyle w:val="88"/>
                    <w:rPr>
                      <w:rFonts w:eastAsia="宋体"/>
                      <w:color w:val="auto"/>
                    </w:rPr>
                  </w:pPr>
                  <w:r>
                    <w:rPr>
                      <w:rFonts w:eastAsia="宋体"/>
                      <w:color w:val="auto"/>
                    </w:rPr>
                    <w:t>运行时段</w:t>
                  </w:r>
                </w:p>
              </w:tc>
              <w:tc>
                <w:tcPr>
                  <w:tcW w:w="463" w:type="pct"/>
                  <w:vMerge w:val="restart"/>
                  <w:vAlign w:val="center"/>
                </w:tcPr>
                <w:p w14:paraId="2379BBAF">
                  <w:pPr>
                    <w:pStyle w:val="88"/>
                    <w:rPr>
                      <w:rFonts w:eastAsia="宋体"/>
                      <w:color w:val="auto"/>
                    </w:rPr>
                  </w:pPr>
                  <w:r>
                    <w:rPr>
                      <w:rFonts w:eastAsia="宋体"/>
                      <w:color w:val="auto"/>
                    </w:rPr>
                    <w:t>建筑物插入损失/dB(A)</w:t>
                  </w:r>
                </w:p>
              </w:tc>
              <w:tc>
                <w:tcPr>
                  <w:tcW w:w="719" w:type="pct"/>
                  <w:gridSpan w:val="2"/>
                  <w:vAlign w:val="center"/>
                </w:tcPr>
                <w:p w14:paraId="5C674E2C">
                  <w:pPr>
                    <w:pStyle w:val="88"/>
                    <w:rPr>
                      <w:rFonts w:eastAsia="宋体"/>
                      <w:color w:val="auto"/>
                    </w:rPr>
                  </w:pPr>
                  <w:r>
                    <w:rPr>
                      <w:rFonts w:eastAsia="宋体"/>
                      <w:color w:val="auto"/>
                    </w:rPr>
                    <w:t>建筑物外噪声</w:t>
                  </w:r>
                </w:p>
              </w:tc>
            </w:tr>
            <w:tr w14:paraId="4F6785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0" w:hRule="atLeast"/>
                <w:jc w:val="center"/>
              </w:trPr>
              <w:tc>
                <w:tcPr>
                  <w:tcW w:w="252" w:type="pct"/>
                  <w:vMerge w:val="continue"/>
                  <w:vAlign w:val="center"/>
                </w:tcPr>
                <w:p w14:paraId="3BE6CEAD">
                  <w:pPr>
                    <w:pStyle w:val="88"/>
                    <w:rPr>
                      <w:rFonts w:eastAsia="宋体"/>
                      <w:color w:val="auto"/>
                    </w:rPr>
                  </w:pPr>
                </w:p>
              </w:tc>
              <w:tc>
                <w:tcPr>
                  <w:tcW w:w="252" w:type="pct"/>
                  <w:vMerge w:val="continue"/>
                  <w:vAlign w:val="center"/>
                </w:tcPr>
                <w:p w14:paraId="67B46BED">
                  <w:pPr>
                    <w:pStyle w:val="88"/>
                    <w:rPr>
                      <w:rFonts w:eastAsia="宋体"/>
                      <w:color w:val="auto"/>
                    </w:rPr>
                  </w:pPr>
                </w:p>
              </w:tc>
              <w:tc>
                <w:tcPr>
                  <w:tcW w:w="253" w:type="pct"/>
                  <w:vMerge w:val="continue"/>
                  <w:vAlign w:val="center"/>
                </w:tcPr>
                <w:p w14:paraId="4903C37D">
                  <w:pPr>
                    <w:pStyle w:val="88"/>
                    <w:rPr>
                      <w:rFonts w:eastAsia="宋体"/>
                      <w:color w:val="auto"/>
                    </w:rPr>
                  </w:pPr>
                </w:p>
              </w:tc>
              <w:tc>
                <w:tcPr>
                  <w:tcW w:w="253" w:type="pct"/>
                  <w:vMerge w:val="continue"/>
                  <w:vAlign w:val="center"/>
                </w:tcPr>
                <w:p w14:paraId="5876F0CB">
                  <w:pPr>
                    <w:pStyle w:val="88"/>
                    <w:rPr>
                      <w:rFonts w:eastAsia="宋体"/>
                      <w:color w:val="auto"/>
                    </w:rPr>
                  </w:pPr>
                </w:p>
              </w:tc>
              <w:tc>
                <w:tcPr>
                  <w:tcW w:w="370" w:type="pct"/>
                  <w:vAlign w:val="center"/>
                </w:tcPr>
                <w:p w14:paraId="2973E9E3">
                  <w:pPr>
                    <w:pStyle w:val="88"/>
                    <w:rPr>
                      <w:rFonts w:eastAsia="宋体"/>
                      <w:color w:val="auto"/>
                    </w:rPr>
                  </w:pPr>
                  <w:r>
                    <w:rPr>
                      <w:rFonts w:eastAsia="宋体"/>
                      <w:color w:val="auto"/>
                    </w:rPr>
                    <w:t>声功率级/dB(A)</w:t>
                  </w:r>
                </w:p>
              </w:tc>
              <w:tc>
                <w:tcPr>
                  <w:tcW w:w="365" w:type="pct"/>
                  <w:vMerge w:val="continue"/>
                  <w:vAlign w:val="center"/>
                </w:tcPr>
                <w:p w14:paraId="744C1CA1">
                  <w:pPr>
                    <w:pStyle w:val="88"/>
                    <w:rPr>
                      <w:rFonts w:eastAsia="宋体"/>
                      <w:color w:val="auto"/>
                    </w:rPr>
                  </w:pPr>
                </w:p>
              </w:tc>
              <w:tc>
                <w:tcPr>
                  <w:tcW w:w="387" w:type="pct"/>
                  <w:vAlign w:val="center"/>
                </w:tcPr>
                <w:p w14:paraId="210704F6">
                  <w:pPr>
                    <w:pStyle w:val="88"/>
                    <w:rPr>
                      <w:rFonts w:eastAsia="宋体"/>
                      <w:color w:val="auto"/>
                    </w:rPr>
                  </w:pPr>
                  <w:r>
                    <w:rPr>
                      <w:rFonts w:eastAsia="宋体"/>
                      <w:color w:val="auto"/>
                    </w:rPr>
                    <w:t>X</w:t>
                  </w:r>
                </w:p>
              </w:tc>
              <w:tc>
                <w:tcPr>
                  <w:tcW w:w="394" w:type="pct"/>
                  <w:vAlign w:val="center"/>
                </w:tcPr>
                <w:p w14:paraId="2A8A1834">
                  <w:pPr>
                    <w:pStyle w:val="88"/>
                    <w:rPr>
                      <w:rFonts w:eastAsia="宋体"/>
                      <w:color w:val="auto"/>
                    </w:rPr>
                  </w:pPr>
                  <w:r>
                    <w:rPr>
                      <w:rFonts w:eastAsia="宋体"/>
                      <w:color w:val="auto"/>
                    </w:rPr>
                    <w:t>Y</w:t>
                  </w:r>
                </w:p>
              </w:tc>
              <w:tc>
                <w:tcPr>
                  <w:tcW w:w="232" w:type="pct"/>
                  <w:vAlign w:val="center"/>
                </w:tcPr>
                <w:p w14:paraId="0FA39312">
                  <w:pPr>
                    <w:pStyle w:val="88"/>
                    <w:rPr>
                      <w:rFonts w:eastAsia="宋体"/>
                      <w:color w:val="auto"/>
                    </w:rPr>
                  </w:pPr>
                  <w:r>
                    <w:rPr>
                      <w:rFonts w:eastAsia="宋体"/>
                      <w:color w:val="auto"/>
                    </w:rPr>
                    <w:t>Z</w:t>
                  </w:r>
                </w:p>
              </w:tc>
              <w:tc>
                <w:tcPr>
                  <w:tcW w:w="266" w:type="pct"/>
                  <w:vMerge w:val="continue"/>
                  <w:vAlign w:val="center"/>
                </w:tcPr>
                <w:p w14:paraId="7902FE71">
                  <w:pPr>
                    <w:pStyle w:val="88"/>
                    <w:rPr>
                      <w:rFonts w:eastAsia="宋体"/>
                      <w:color w:val="auto"/>
                    </w:rPr>
                  </w:pPr>
                </w:p>
              </w:tc>
              <w:tc>
                <w:tcPr>
                  <w:tcW w:w="361" w:type="pct"/>
                  <w:vMerge w:val="continue"/>
                  <w:vAlign w:val="center"/>
                </w:tcPr>
                <w:p w14:paraId="691BBEB5">
                  <w:pPr>
                    <w:pStyle w:val="88"/>
                    <w:rPr>
                      <w:rFonts w:eastAsia="宋体"/>
                      <w:color w:val="auto"/>
                    </w:rPr>
                  </w:pPr>
                </w:p>
              </w:tc>
              <w:tc>
                <w:tcPr>
                  <w:tcW w:w="425" w:type="pct"/>
                  <w:vMerge w:val="continue"/>
                  <w:vAlign w:val="center"/>
                </w:tcPr>
                <w:p w14:paraId="5DCD975A">
                  <w:pPr>
                    <w:pStyle w:val="88"/>
                    <w:rPr>
                      <w:rFonts w:eastAsia="宋体"/>
                      <w:color w:val="auto"/>
                    </w:rPr>
                  </w:pPr>
                </w:p>
              </w:tc>
              <w:tc>
                <w:tcPr>
                  <w:tcW w:w="463" w:type="pct"/>
                  <w:vMerge w:val="continue"/>
                  <w:vAlign w:val="center"/>
                </w:tcPr>
                <w:p w14:paraId="294ECEA2">
                  <w:pPr>
                    <w:pStyle w:val="88"/>
                    <w:rPr>
                      <w:rFonts w:eastAsia="宋体"/>
                      <w:color w:val="auto"/>
                    </w:rPr>
                  </w:pPr>
                </w:p>
              </w:tc>
              <w:tc>
                <w:tcPr>
                  <w:tcW w:w="463" w:type="pct"/>
                  <w:vAlign w:val="center"/>
                </w:tcPr>
                <w:p w14:paraId="50436866">
                  <w:pPr>
                    <w:pStyle w:val="88"/>
                    <w:rPr>
                      <w:rFonts w:eastAsia="宋体"/>
                      <w:color w:val="auto"/>
                    </w:rPr>
                  </w:pPr>
                  <w:r>
                    <w:rPr>
                      <w:rFonts w:eastAsia="宋体"/>
                      <w:color w:val="auto"/>
                    </w:rPr>
                    <w:t>声压级/dB(A)</w:t>
                  </w:r>
                </w:p>
              </w:tc>
              <w:tc>
                <w:tcPr>
                  <w:tcW w:w="255" w:type="pct"/>
                  <w:vAlign w:val="center"/>
                </w:tcPr>
                <w:p w14:paraId="13CDFDB3">
                  <w:pPr>
                    <w:pStyle w:val="88"/>
                    <w:rPr>
                      <w:rFonts w:eastAsia="宋体"/>
                      <w:color w:val="auto"/>
                    </w:rPr>
                  </w:pPr>
                  <w:r>
                    <w:rPr>
                      <w:rFonts w:eastAsia="宋体"/>
                      <w:color w:val="auto"/>
                    </w:rPr>
                    <w:t>建筑物外距离</w:t>
                  </w:r>
                </w:p>
              </w:tc>
            </w:tr>
            <w:tr w14:paraId="1737E2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2" w:hRule="atLeast"/>
                <w:jc w:val="center"/>
              </w:trPr>
              <w:tc>
                <w:tcPr>
                  <w:tcW w:w="252" w:type="pct"/>
                  <w:vMerge w:val="restart"/>
                  <w:vAlign w:val="center"/>
                </w:tcPr>
                <w:p w14:paraId="04255C20">
                  <w:pPr>
                    <w:pStyle w:val="88"/>
                    <w:rPr>
                      <w:rFonts w:eastAsia="宋体"/>
                      <w:color w:val="auto"/>
                    </w:rPr>
                  </w:pPr>
                  <w:r>
                    <w:rPr>
                      <w:rFonts w:hint="eastAsia" w:eastAsia="宋体"/>
                      <w:color w:val="auto"/>
                    </w:rPr>
                    <w:t>1</w:t>
                  </w:r>
                </w:p>
              </w:tc>
              <w:tc>
                <w:tcPr>
                  <w:tcW w:w="252" w:type="pct"/>
                  <w:vMerge w:val="restart"/>
                  <w:vAlign w:val="center"/>
                </w:tcPr>
                <w:p w14:paraId="43F7ABC1">
                  <w:pPr>
                    <w:pStyle w:val="88"/>
                    <w:rPr>
                      <w:rFonts w:eastAsia="宋体"/>
                      <w:color w:val="auto"/>
                    </w:rPr>
                  </w:pPr>
                  <w:r>
                    <w:rPr>
                      <w:rFonts w:hint="eastAsia" w:eastAsia="宋体"/>
                      <w:color w:val="auto"/>
                    </w:rPr>
                    <w:t>主拆解车间</w:t>
                  </w:r>
                </w:p>
              </w:tc>
              <w:tc>
                <w:tcPr>
                  <w:tcW w:w="253" w:type="pct"/>
                  <w:vAlign w:val="center"/>
                </w:tcPr>
                <w:p w14:paraId="18D8D9F2">
                  <w:pPr>
                    <w:pStyle w:val="88"/>
                    <w:rPr>
                      <w:rFonts w:eastAsia="宋体"/>
                      <w:color w:val="auto"/>
                    </w:rPr>
                  </w:pPr>
                  <w:r>
                    <w:rPr>
                      <w:rFonts w:eastAsia="宋体"/>
                      <w:color w:val="auto"/>
                    </w:rPr>
                    <w:t>1#龙门吊</w:t>
                  </w:r>
                </w:p>
              </w:tc>
              <w:tc>
                <w:tcPr>
                  <w:tcW w:w="253" w:type="pct"/>
                  <w:vAlign w:val="center"/>
                </w:tcPr>
                <w:p w14:paraId="3AC647D5">
                  <w:pPr>
                    <w:pStyle w:val="88"/>
                    <w:rPr>
                      <w:rFonts w:eastAsia="宋体"/>
                      <w:color w:val="auto"/>
                    </w:rPr>
                  </w:pPr>
                  <w:r>
                    <w:rPr>
                      <w:rFonts w:eastAsia="宋体"/>
                      <w:color w:val="auto"/>
                    </w:rPr>
                    <w:t>/</w:t>
                  </w:r>
                </w:p>
              </w:tc>
              <w:tc>
                <w:tcPr>
                  <w:tcW w:w="370" w:type="pct"/>
                  <w:vAlign w:val="center"/>
                </w:tcPr>
                <w:p w14:paraId="633034CD">
                  <w:pPr>
                    <w:pStyle w:val="88"/>
                    <w:rPr>
                      <w:rFonts w:hint="default" w:eastAsia="宋体"/>
                      <w:color w:val="auto"/>
                      <w:lang w:val="en-US" w:eastAsia="zh-CN"/>
                    </w:rPr>
                  </w:pPr>
                  <w:r>
                    <w:rPr>
                      <w:rFonts w:hint="eastAsia" w:eastAsia="等线"/>
                      <w:color w:val="auto"/>
                      <w:szCs w:val="21"/>
                      <w:lang w:val="en-US" w:eastAsia="zh-CN"/>
                    </w:rPr>
                    <w:t>90</w:t>
                  </w:r>
                </w:p>
              </w:tc>
              <w:tc>
                <w:tcPr>
                  <w:tcW w:w="365" w:type="pct"/>
                  <w:vMerge w:val="restart"/>
                  <w:vAlign w:val="center"/>
                </w:tcPr>
                <w:p w14:paraId="7412DF76">
                  <w:pPr>
                    <w:pStyle w:val="88"/>
                    <w:rPr>
                      <w:rFonts w:eastAsia="宋体"/>
                      <w:color w:val="auto"/>
                    </w:rPr>
                  </w:pPr>
                  <w:r>
                    <w:rPr>
                      <w:rFonts w:hint="eastAsia" w:eastAsia="宋体"/>
                      <w:color w:val="auto"/>
                      <w:lang w:val="en-US" w:eastAsia="zh-CN"/>
                    </w:rPr>
                    <w:t>低噪声设备，</w:t>
                  </w:r>
                  <w:r>
                    <w:rPr>
                      <w:rFonts w:hint="eastAsia" w:eastAsia="宋体"/>
                      <w:color w:val="auto"/>
                    </w:rPr>
                    <w:t>建筑物隔声、基础减振等</w:t>
                  </w:r>
                </w:p>
              </w:tc>
              <w:tc>
                <w:tcPr>
                  <w:tcW w:w="387" w:type="pct"/>
                  <w:vAlign w:val="center"/>
                </w:tcPr>
                <w:p w14:paraId="4301841E">
                  <w:pPr>
                    <w:pStyle w:val="88"/>
                    <w:rPr>
                      <w:rFonts w:eastAsia="宋体"/>
                      <w:color w:val="auto"/>
                    </w:rPr>
                  </w:pPr>
                  <w:r>
                    <w:rPr>
                      <w:rFonts w:eastAsia="等线"/>
                      <w:color w:val="auto"/>
                      <w:szCs w:val="21"/>
                    </w:rPr>
                    <w:t>0</w:t>
                  </w:r>
                </w:p>
              </w:tc>
              <w:tc>
                <w:tcPr>
                  <w:tcW w:w="394" w:type="pct"/>
                  <w:vAlign w:val="center"/>
                </w:tcPr>
                <w:p w14:paraId="527A3996">
                  <w:pPr>
                    <w:pStyle w:val="88"/>
                    <w:rPr>
                      <w:rFonts w:eastAsia="宋体"/>
                      <w:color w:val="auto"/>
                    </w:rPr>
                  </w:pPr>
                  <w:r>
                    <w:rPr>
                      <w:rFonts w:eastAsia="等线"/>
                      <w:color w:val="auto"/>
                      <w:szCs w:val="21"/>
                    </w:rPr>
                    <w:t>0</w:t>
                  </w:r>
                </w:p>
              </w:tc>
              <w:tc>
                <w:tcPr>
                  <w:tcW w:w="232" w:type="pct"/>
                  <w:vAlign w:val="center"/>
                </w:tcPr>
                <w:p w14:paraId="5FF37AD8">
                  <w:pPr>
                    <w:pStyle w:val="88"/>
                    <w:rPr>
                      <w:rFonts w:eastAsia="宋体"/>
                      <w:color w:val="auto"/>
                    </w:rPr>
                  </w:pPr>
                  <w:r>
                    <w:rPr>
                      <w:rFonts w:eastAsia="等线"/>
                      <w:color w:val="auto"/>
                      <w:szCs w:val="21"/>
                    </w:rPr>
                    <w:t>3</w:t>
                  </w:r>
                </w:p>
              </w:tc>
              <w:tc>
                <w:tcPr>
                  <w:tcW w:w="266" w:type="pct"/>
                  <w:vAlign w:val="center"/>
                </w:tcPr>
                <w:p w14:paraId="4640C212">
                  <w:pPr>
                    <w:pStyle w:val="88"/>
                    <w:rPr>
                      <w:rFonts w:eastAsia="宋体"/>
                      <w:color w:val="auto"/>
                    </w:rPr>
                  </w:pPr>
                  <w:r>
                    <w:rPr>
                      <w:rFonts w:eastAsia="宋体"/>
                      <w:color w:val="auto"/>
                    </w:rPr>
                    <w:t>1</w:t>
                  </w:r>
                </w:p>
              </w:tc>
              <w:tc>
                <w:tcPr>
                  <w:tcW w:w="361" w:type="pct"/>
                  <w:vAlign w:val="center"/>
                </w:tcPr>
                <w:p w14:paraId="3F401B6A">
                  <w:pPr>
                    <w:pStyle w:val="88"/>
                    <w:rPr>
                      <w:rFonts w:hint="eastAsia" w:eastAsia="等线"/>
                      <w:color w:val="auto"/>
                      <w:lang w:eastAsia="zh-CN"/>
                    </w:rPr>
                  </w:pPr>
                  <w:r>
                    <w:rPr>
                      <w:rFonts w:eastAsia="等线"/>
                      <w:color w:val="auto"/>
                      <w:szCs w:val="21"/>
                    </w:rPr>
                    <w:t>7</w:t>
                  </w:r>
                  <w:r>
                    <w:rPr>
                      <w:rFonts w:hint="eastAsia" w:eastAsia="等线"/>
                      <w:color w:val="auto"/>
                      <w:szCs w:val="21"/>
                      <w:lang w:val="en-US" w:eastAsia="zh-CN"/>
                    </w:rPr>
                    <w:t>5</w:t>
                  </w:r>
                </w:p>
              </w:tc>
              <w:tc>
                <w:tcPr>
                  <w:tcW w:w="425" w:type="pct"/>
                  <w:vMerge w:val="restart"/>
                  <w:vAlign w:val="center"/>
                </w:tcPr>
                <w:p w14:paraId="32F38007">
                  <w:pPr>
                    <w:pStyle w:val="88"/>
                    <w:rPr>
                      <w:rFonts w:eastAsia="宋体"/>
                      <w:color w:val="auto"/>
                    </w:rPr>
                  </w:pPr>
                  <w:r>
                    <w:rPr>
                      <w:rFonts w:hint="eastAsia" w:eastAsia="宋体"/>
                      <w:color w:val="auto"/>
                      <w:lang w:val="en-US" w:eastAsia="zh-CN"/>
                    </w:rPr>
                    <w:t>2400</w:t>
                  </w:r>
                  <w:r>
                    <w:rPr>
                      <w:rFonts w:eastAsia="宋体"/>
                      <w:color w:val="auto"/>
                    </w:rPr>
                    <w:t>h</w:t>
                  </w:r>
                </w:p>
              </w:tc>
              <w:tc>
                <w:tcPr>
                  <w:tcW w:w="463" w:type="pct"/>
                  <w:vAlign w:val="center"/>
                </w:tcPr>
                <w:p w14:paraId="3E6AFFE8">
                  <w:pPr>
                    <w:pStyle w:val="88"/>
                    <w:rPr>
                      <w:rFonts w:hint="default" w:eastAsia="宋体"/>
                      <w:color w:val="auto"/>
                      <w:lang w:val="en-US" w:eastAsia="zh-CN"/>
                    </w:rPr>
                  </w:pPr>
                  <w:r>
                    <w:rPr>
                      <w:rFonts w:hint="eastAsia" w:eastAsia="等线"/>
                      <w:color w:val="auto"/>
                      <w:szCs w:val="21"/>
                      <w:lang w:val="en-US" w:eastAsia="zh-CN"/>
                    </w:rPr>
                    <w:t>20</w:t>
                  </w:r>
                </w:p>
              </w:tc>
              <w:tc>
                <w:tcPr>
                  <w:tcW w:w="463" w:type="pct"/>
                  <w:vAlign w:val="center"/>
                </w:tcPr>
                <w:p w14:paraId="02DAE609">
                  <w:pPr>
                    <w:pStyle w:val="88"/>
                    <w:rPr>
                      <w:rFonts w:hint="default" w:eastAsia="宋体"/>
                      <w:color w:val="auto"/>
                      <w:lang w:val="en-US" w:eastAsia="zh-CN"/>
                    </w:rPr>
                  </w:pPr>
                  <w:r>
                    <w:rPr>
                      <w:rFonts w:hint="eastAsia" w:eastAsia="等线"/>
                      <w:color w:val="auto"/>
                      <w:szCs w:val="21"/>
                      <w:lang w:val="en-US" w:eastAsia="zh-CN"/>
                    </w:rPr>
                    <w:t>55</w:t>
                  </w:r>
                </w:p>
              </w:tc>
              <w:tc>
                <w:tcPr>
                  <w:tcW w:w="255" w:type="pct"/>
                  <w:vAlign w:val="center"/>
                </w:tcPr>
                <w:p w14:paraId="1B0F4E62">
                  <w:pPr>
                    <w:pStyle w:val="88"/>
                    <w:rPr>
                      <w:rFonts w:eastAsia="宋体"/>
                      <w:color w:val="auto"/>
                    </w:rPr>
                  </w:pPr>
                  <w:r>
                    <w:rPr>
                      <w:rFonts w:eastAsia="宋体"/>
                      <w:color w:val="auto"/>
                    </w:rPr>
                    <w:t>1</w:t>
                  </w:r>
                </w:p>
              </w:tc>
            </w:tr>
            <w:tr w14:paraId="2F9083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52" w:type="pct"/>
                  <w:vMerge w:val="continue"/>
                  <w:vAlign w:val="center"/>
                </w:tcPr>
                <w:p w14:paraId="1BCD376B">
                  <w:pPr>
                    <w:pStyle w:val="88"/>
                    <w:rPr>
                      <w:rFonts w:eastAsia="宋体"/>
                      <w:color w:val="auto"/>
                    </w:rPr>
                  </w:pPr>
                </w:p>
              </w:tc>
              <w:tc>
                <w:tcPr>
                  <w:tcW w:w="252" w:type="pct"/>
                  <w:vMerge w:val="continue"/>
                  <w:vAlign w:val="center"/>
                </w:tcPr>
                <w:p w14:paraId="0566BE4F">
                  <w:pPr>
                    <w:pStyle w:val="88"/>
                    <w:rPr>
                      <w:rFonts w:eastAsia="宋体"/>
                      <w:color w:val="auto"/>
                    </w:rPr>
                  </w:pPr>
                </w:p>
              </w:tc>
              <w:tc>
                <w:tcPr>
                  <w:tcW w:w="253" w:type="pct"/>
                  <w:vAlign w:val="center"/>
                </w:tcPr>
                <w:p w14:paraId="7B22398B">
                  <w:pPr>
                    <w:pStyle w:val="88"/>
                    <w:rPr>
                      <w:rFonts w:eastAsia="宋体"/>
                      <w:color w:val="auto"/>
                    </w:rPr>
                  </w:pPr>
                  <w:r>
                    <w:rPr>
                      <w:rFonts w:eastAsia="宋体"/>
                      <w:color w:val="auto"/>
                    </w:rPr>
                    <w:t>2#等离子切割机</w:t>
                  </w:r>
                </w:p>
              </w:tc>
              <w:tc>
                <w:tcPr>
                  <w:tcW w:w="253" w:type="pct"/>
                  <w:vAlign w:val="center"/>
                </w:tcPr>
                <w:p w14:paraId="00047D54">
                  <w:pPr>
                    <w:pStyle w:val="88"/>
                    <w:rPr>
                      <w:rFonts w:eastAsia="宋体"/>
                      <w:color w:val="auto"/>
                    </w:rPr>
                  </w:pPr>
                  <w:r>
                    <w:rPr>
                      <w:rFonts w:eastAsia="宋体"/>
                      <w:color w:val="auto"/>
                    </w:rPr>
                    <w:t>/</w:t>
                  </w:r>
                </w:p>
              </w:tc>
              <w:tc>
                <w:tcPr>
                  <w:tcW w:w="370" w:type="pct"/>
                  <w:vAlign w:val="center"/>
                </w:tcPr>
                <w:p w14:paraId="3812E0B7">
                  <w:pPr>
                    <w:pStyle w:val="88"/>
                    <w:rPr>
                      <w:rFonts w:hint="default" w:eastAsia="等线"/>
                      <w:color w:val="auto"/>
                      <w:lang w:val="en-US" w:eastAsia="zh-CN"/>
                    </w:rPr>
                  </w:pPr>
                  <w:r>
                    <w:rPr>
                      <w:rFonts w:hint="eastAsia" w:eastAsia="等线"/>
                      <w:color w:val="auto"/>
                      <w:szCs w:val="21"/>
                      <w:lang w:val="en-US" w:eastAsia="zh-CN"/>
                    </w:rPr>
                    <w:t>95</w:t>
                  </w:r>
                </w:p>
              </w:tc>
              <w:tc>
                <w:tcPr>
                  <w:tcW w:w="365" w:type="pct"/>
                  <w:vMerge w:val="continue"/>
                  <w:vAlign w:val="center"/>
                </w:tcPr>
                <w:p w14:paraId="2E79BFD4">
                  <w:pPr>
                    <w:pStyle w:val="88"/>
                    <w:rPr>
                      <w:rFonts w:eastAsia="宋体"/>
                      <w:color w:val="auto"/>
                    </w:rPr>
                  </w:pPr>
                </w:p>
              </w:tc>
              <w:tc>
                <w:tcPr>
                  <w:tcW w:w="387" w:type="pct"/>
                  <w:vAlign w:val="center"/>
                </w:tcPr>
                <w:p w14:paraId="053968B7">
                  <w:pPr>
                    <w:pStyle w:val="88"/>
                    <w:rPr>
                      <w:rFonts w:hint="eastAsia" w:eastAsia="等线"/>
                      <w:color w:val="auto"/>
                      <w:lang w:eastAsia="zh-CN"/>
                    </w:rPr>
                  </w:pPr>
                  <w:r>
                    <w:rPr>
                      <w:rFonts w:eastAsia="等线"/>
                      <w:color w:val="auto"/>
                      <w:szCs w:val="21"/>
                    </w:rPr>
                    <w:t>-</w:t>
                  </w:r>
                  <w:r>
                    <w:rPr>
                      <w:rFonts w:hint="eastAsia" w:eastAsia="等线"/>
                      <w:color w:val="auto"/>
                      <w:szCs w:val="21"/>
                      <w:lang w:val="en-US" w:eastAsia="zh-CN"/>
                    </w:rPr>
                    <w:t>2</w:t>
                  </w:r>
                </w:p>
              </w:tc>
              <w:tc>
                <w:tcPr>
                  <w:tcW w:w="394" w:type="pct"/>
                  <w:vAlign w:val="center"/>
                </w:tcPr>
                <w:p w14:paraId="263E69C6">
                  <w:pPr>
                    <w:pStyle w:val="88"/>
                    <w:rPr>
                      <w:rFonts w:eastAsia="宋体"/>
                      <w:color w:val="auto"/>
                    </w:rPr>
                  </w:pPr>
                  <w:r>
                    <w:rPr>
                      <w:rFonts w:eastAsia="等线"/>
                      <w:color w:val="auto"/>
                      <w:szCs w:val="21"/>
                    </w:rPr>
                    <w:t>4.5</w:t>
                  </w:r>
                </w:p>
              </w:tc>
              <w:tc>
                <w:tcPr>
                  <w:tcW w:w="232" w:type="pct"/>
                  <w:vAlign w:val="center"/>
                </w:tcPr>
                <w:p w14:paraId="5D2A1F18">
                  <w:pPr>
                    <w:pStyle w:val="88"/>
                    <w:rPr>
                      <w:rFonts w:eastAsia="宋体"/>
                      <w:color w:val="auto"/>
                    </w:rPr>
                  </w:pPr>
                  <w:r>
                    <w:rPr>
                      <w:rFonts w:eastAsia="等线"/>
                      <w:color w:val="auto"/>
                      <w:szCs w:val="21"/>
                    </w:rPr>
                    <w:t>1</w:t>
                  </w:r>
                </w:p>
              </w:tc>
              <w:tc>
                <w:tcPr>
                  <w:tcW w:w="266" w:type="pct"/>
                  <w:vAlign w:val="center"/>
                </w:tcPr>
                <w:p w14:paraId="0B1BD659">
                  <w:pPr>
                    <w:pStyle w:val="88"/>
                    <w:rPr>
                      <w:rFonts w:eastAsia="宋体"/>
                      <w:color w:val="auto"/>
                    </w:rPr>
                  </w:pPr>
                  <w:r>
                    <w:rPr>
                      <w:rFonts w:eastAsia="宋体"/>
                      <w:color w:val="auto"/>
                    </w:rPr>
                    <w:t>1</w:t>
                  </w:r>
                </w:p>
              </w:tc>
              <w:tc>
                <w:tcPr>
                  <w:tcW w:w="361" w:type="pct"/>
                  <w:vAlign w:val="center"/>
                </w:tcPr>
                <w:p w14:paraId="47B343C1">
                  <w:pPr>
                    <w:pStyle w:val="88"/>
                    <w:rPr>
                      <w:rFonts w:hint="eastAsia" w:eastAsia="等线"/>
                      <w:color w:val="auto"/>
                      <w:lang w:eastAsia="zh-CN"/>
                    </w:rPr>
                  </w:pPr>
                  <w:r>
                    <w:rPr>
                      <w:rFonts w:eastAsia="等线"/>
                      <w:color w:val="auto"/>
                      <w:szCs w:val="21"/>
                    </w:rPr>
                    <w:t>8</w:t>
                  </w:r>
                  <w:r>
                    <w:rPr>
                      <w:rFonts w:hint="eastAsia" w:eastAsia="等线"/>
                      <w:color w:val="auto"/>
                      <w:szCs w:val="21"/>
                      <w:lang w:val="en-US" w:eastAsia="zh-CN"/>
                    </w:rPr>
                    <w:t>0</w:t>
                  </w:r>
                </w:p>
              </w:tc>
              <w:tc>
                <w:tcPr>
                  <w:tcW w:w="425" w:type="pct"/>
                  <w:vMerge w:val="continue"/>
                  <w:vAlign w:val="center"/>
                </w:tcPr>
                <w:p w14:paraId="4378DD34">
                  <w:pPr>
                    <w:pStyle w:val="88"/>
                    <w:rPr>
                      <w:rFonts w:eastAsia="宋体"/>
                      <w:color w:val="auto"/>
                    </w:rPr>
                  </w:pPr>
                </w:p>
              </w:tc>
              <w:tc>
                <w:tcPr>
                  <w:tcW w:w="463" w:type="pct"/>
                  <w:vAlign w:val="center"/>
                </w:tcPr>
                <w:p w14:paraId="7ADE2677">
                  <w:pPr>
                    <w:pStyle w:val="88"/>
                    <w:rPr>
                      <w:rFonts w:hint="default" w:eastAsia="宋体"/>
                      <w:color w:val="auto"/>
                      <w:lang w:val="en-US" w:eastAsia="zh-CN"/>
                    </w:rPr>
                  </w:pPr>
                  <w:r>
                    <w:rPr>
                      <w:rFonts w:hint="eastAsia" w:eastAsia="等线"/>
                      <w:color w:val="auto"/>
                      <w:szCs w:val="21"/>
                      <w:lang w:val="en-US" w:eastAsia="zh-CN"/>
                    </w:rPr>
                    <w:t>20</w:t>
                  </w:r>
                </w:p>
              </w:tc>
              <w:tc>
                <w:tcPr>
                  <w:tcW w:w="463" w:type="pct"/>
                  <w:vAlign w:val="center"/>
                </w:tcPr>
                <w:p w14:paraId="17E0D4E4">
                  <w:pPr>
                    <w:pStyle w:val="88"/>
                    <w:rPr>
                      <w:rFonts w:hint="default" w:eastAsia="宋体"/>
                      <w:color w:val="auto"/>
                      <w:lang w:val="en-US" w:eastAsia="zh-CN"/>
                    </w:rPr>
                  </w:pPr>
                  <w:r>
                    <w:rPr>
                      <w:rFonts w:hint="eastAsia" w:eastAsia="等线"/>
                      <w:color w:val="auto"/>
                      <w:szCs w:val="21"/>
                      <w:lang w:val="en-US" w:eastAsia="zh-CN"/>
                    </w:rPr>
                    <w:t>60</w:t>
                  </w:r>
                </w:p>
              </w:tc>
              <w:tc>
                <w:tcPr>
                  <w:tcW w:w="255" w:type="pct"/>
                  <w:vAlign w:val="center"/>
                </w:tcPr>
                <w:p w14:paraId="01919203">
                  <w:pPr>
                    <w:pStyle w:val="88"/>
                    <w:rPr>
                      <w:rFonts w:eastAsia="宋体"/>
                      <w:color w:val="auto"/>
                    </w:rPr>
                  </w:pPr>
                  <w:r>
                    <w:rPr>
                      <w:rFonts w:eastAsia="宋体"/>
                      <w:color w:val="auto"/>
                    </w:rPr>
                    <w:t>1</w:t>
                  </w:r>
                </w:p>
              </w:tc>
            </w:tr>
            <w:tr w14:paraId="0D368B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52" w:type="pct"/>
                  <w:vMerge w:val="continue"/>
                  <w:vAlign w:val="center"/>
                </w:tcPr>
                <w:p w14:paraId="122F106D">
                  <w:pPr>
                    <w:pStyle w:val="88"/>
                    <w:rPr>
                      <w:rFonts w:eastAsia="宋体"/>
                      <w:color w:val="auto"/>
                    </w:rPr>
                  </w:pPr>
                </w:p>
              </w:tc>
              <w:tc>
                <w:tcPr>
                  <w:tcW w:w="252" w:type="pct"/>
                  <w:vMerge w:val="continue"/>
                  <w:vAlign w:val="center"/>
                </w:tcPr>
                <w:p w14:paraId="06AAB6B9">
                  <w:pPr>
                    <w:pStyle w:val="88"/>
                    <w:rPr>
                      <w:rFonts w:eastAsia="宋体"/>
                      <w:color w:val="auto"/>
                    </w:rPr>
                  </w:pPr>
                </w:p>
              </w:tc>
              <w:tc>
                <w:tcPr>
                  <w:tcW w:w="253" w:type="pct"/>
                  <w:vAlign w:val="center"/>
                </w:tcPr>
                <w:p w14:paraId="0B63722C">
                  <w:pPr>
                    <w:pStyle w:val="88"/>
                    <w:rPr>
                      <w:rFonts w:eastAsia="宋体"/>
                      <w:color w:val="auto"/>
                    </w:rPr>
                  </w:pPr>
                  <w:r>
                    <w:rPr>
                      <w:rFonts w:eastAsia="宋体"/>
                      <w:color w:val="auto"/>
                    </w:rPr>
                    <w:t>3#无齿锯</w:t>
                  </w:r>
                </w:p>
              </w:tc>
              <w:tc>
                <w:tcPr>
                  <w:tcW w:w="253" w:type="pct"/>
                  <w:vAlign w:val="center"/>
                </w:tcPr>
                <w:p w14:paraId="0BA63849">
                  <w:pPr>
                    <w:pStyle w:val="88"/>
                    <w:rPr>
                      <w:rFonts w:eastAsia="宋体"/>
                      <w:color w:val="auto"/>
                    </w:rPr>
                  </w:pPr>
                  <w:r>
                    <w:rPr>
                      <w:rFonts w:eastAsia="宋体"/>
                      <w:color w:val="auto"/>
                    </w:rPr>
                    <w:t>/</w:t>
                  </w:r>
                </w:p>
              </w:tc>
              <w:tc>
                <w:tcPr>
                  <w:tcW w:w="370" w:type="pct"/>
                  <w:vAlign w:val="center"/>
                </w:tcPr>
                <w:p w14:paraId="220F33F3">
                  <w:pPr>
                    <w:pStyle w:val="88"/>
                    <w:rPr>
                      <w:rFonts w:eastAsia="宋体"/>
                      <w:color w:val="auto"/>
                    </w:rPr>
                  </w:pPr>
                  <w:r>
                    <w:rPr>
                      <w:rFonts w:eastAsia="等线"/>
                      <w:color w:val="auto"/>
                      <w:szCs w:val="21"/>
                    </w:rPr>
                    <w:t>95</w:t>
                  </w:r>
                </w:p>
              </w:tc>
              <w:tc>
                <w:tcPr>
                  <w:tcW w:w="365" w:type="pct"/>
                  <w:vMerge w:val="continue"/>
                  <w:vAlign w:val="center"/>
                </w:tcPr>
                <w:p w14:paraId="2914242D">
                  <w:pPr>
                    <w:pStyle w:val="88"/>
                    <w:rPr>
                      <w:rFonts w:eastAsia="宋体"/>
                      <w:color w:val="auto"/>
                    </w:rPr>
                  </w:pPr>
                </w:p>
              </w:tc>
              <w:tc>
                <w:tcPr>
                  <w:tcW w:w="387" w:type="pct"/>
                  <w:vAlign w:val="center"/>
                </w:tcPr>
                <w:p w14:paraId="34F1B33A">
                  <w:pPr>
                    <w:pStyle w:val="88"/>
                    <w:rPr>
                      <w:rFonts w:hint="eastAsia" w:eastAsia="等线"/>
                      <w:color w:val="auto"/>
                      <w:lang w:eastAsia="zh-CN"/>
                    </w:rPr>
                  </w:pPr>
                  <w:r>
                    <w:rPr>
                      <w:rFonts w:eastAsia="等线"/>
                      <w:color w:val="auto"/>
                      <w:szCs w:val="21"/>
                    </w:rPr>
                    <w:t>-</w:t>
                  </w:r>
                  <w:r>
                    <w:rPr>
                      <w:rFonts w:hint="eastAsia" w:eastAsia="等线"/>
                      <w:color w:val="auto"/>
                      <w:szCs w:val="21"/>
                      <w:lang w:val="en-US" w:eastAsia="zh-CN"/>
                    </w:rPr>
                    <w:t>5</w:t>
                  </w:r>
                </w:p>
              </w:tc>
              <w:tc>
                <w:tcPr>
                  <w:tcW w:w="394" w:type="pct"/>
                  <w:vAlign w:val="center"/>
                </w:tcPr>
                <w:p w14:paraId="43F759EB">
                  <w:pPr>
                    <w:pStyle w:val="88"/>
                    <w:rPr>
                      <w:rFonts w:eastAsia="宋体"/>
                      <w:color w:val="auto"/>
                    </w:rPr>
                  </w:pPr>
                  <w:r>
                    <w:rPr>
                      <w:rFonts w:eastAsia="等线"/>
                      <w:color w:val="auto"/>
                      <w:szCs w:val="21"/>
                    </w:rPr>
                    <w:t>2</w:t>
                  </w:r>
                </w:p>
              </w:tc>
              <w:tc>
                <w:tcPr>
                  <w:tcW w:w="232" w:type="pct"/>
                  <w:vAlign w:val="center"/>
                </w:tcPr>
                <w:p w14:paraId="755CD6B7">
                  <w:pPr>
                    <w:pStyle w:val="88"/>
                    <w:rPr>
                      <w:rFonts w:eastAsia="宋体"/>
                      <w:color w:val="auto"/>
                    </w:rPr>
                  </w:pPr>
                  <w:r>
                    <w:rPr>
                      <w:rFonts w:eastAsia="等线"/>
                      <w:color w:val="auto"/>
                      <w:szCs w:val="21"/>
                    </w:rPr>
                    <w:t>1</w:t>
                  </w:r>
                </w:p>
              </w:tc>
              <w:tc>
                <w:tcPr>
                  <w:tcW w:w="266" w:type="pct"/>
                  <w:vAlign w:val="center"/>
                </w:tcPr>
                <w:p w14:paraId="06F16515">
                  <w:pPr>
                    <w:pStyle w:val="88"/>
                    <w:rPr>
                      <w:rFonts w:eastAsia="宋体"/>
                      <w:color w:val="auto"/>
                    </w:rPr>
                  </w:pPr>
                  <w:r>
                    <w:rPr>
                      <w:rFonts w:eastAsia="宋体"/>
                      <w:color w:val="auto"/>
                    </w:rPr>
                    <w:t>1</w:t>
                  </w:r>
                </w:p>
              </w:tc>
              <w:tc>
                <w:tcPr>
                  <w:tcW w:w="361" w:type="pct"/>
                  <w:vAlign w:val="center"/>
                </w:tcPr>
                <w:p w14:paraId="6E4567FB">
                  <w:pPr>
                    <w:pStyle w:val="88"/>
                    <w:rPr>
                      <w:rFonts w:hint="eastAsia" w:eastAsia="等线"/>
                      <w:color w:val="auto"/>
                      <w:lang w:val="en-US" w:eastAsia="zh-CN"/>
                    </w:rPr>
                  </w:pPr>
                  <w:r>
                    <w:rPr>
                      <w:rFonts w:eastAsia="等线"/>
                      <w:color w:val="auto"/>
                      <w:szCs w:val="21"/>
                    </w:rPr>
                    <w:t>8</w:t>
                  </w:r>
                  <w:r>
                    <w:rPr>
                      <w:rFonts w:hint="eastAsia" w:eastAsia="等线"/>
                      <w:color w:val="auto"/>
                      <w:szCs w:val="21"/>
                      <w:lang w:val="en-US" w:eastAsia="zh-CN"/>
                    </w:rPr>
                    <w:t>0</w:t>
                  </w:r>
                </w:p>
              </w:tc>
              <w:tc>
                <w:tcPr>
                  <w:tcW w:w="425" w:type="pct"/>
                  <w:vMerge w:val="continue"/>
                  <w:vAlign w:val="center"/>
                </w:tcPr>
                <w:p w14:paraId="597CE66F">
                  <w:pPr>
                    <w:pStyle w:val="88"/>
                    <w:rPr>
                      <w:rFonts w:eastAsia="宋体"/>
                      <w:color w:val="auto"/>
                    </w:rPr>
                  </w:pPr>
                </w:p>
              </w:tc>
              <w:tc>
                <w:tcPr>
                  <w:tcW w:w="463" w:type="pct"/>
                  <w:vAlign w:val="center"/>
                </w:tcPr>
                <w:p w14:paraId="405EE158">
                  <w:pPr>
                    <w:pStyle w:val="88"/>
                    <w:rPr>
                      <w:rFonts w:hint="default" w:eastAsia="宋体"/>
                      <w:color w:val="auto"/>
                      <w:lang w:val="en-US" w:eastAsia="zh-CN"/>
                    </w:rPr>
                  </w:pPr>
                  <w:r>
                    <w:rPr>
                      <w:rFonts w:hint="eastAsia" w:eastAsia="等线"/>
                      <w:color w:val="auto"/>
                      <w:szCs w:val="21"/>
                      <w:lang w:val="en-US" w:eastAsia="zh-CN"/>
                    </w:rPr>
                    <w:t>20</w:t>
                  </w:r>
                </w:p>
              </w:tc>
              <w:tc>
                <w:tcPr>
                  <w:tcW w:w="463" w:type="pct"/>
                  <w:vAlign w:val="center"/>
                </w:tcPr>
                <w:p w14:paraId="3D58C616">
                  <w:pPr>
                    <w:pStyle w:val="88"/>
                    <w:rPr>
                      <w:rFonts w:hint="default" w:eastAsia="宋体"/>
                      <w:color w:val="auto"/>
                      <w:lang w:val="en-US" w:eastAsia="zh-CN"/>
                    </w:rPr>
                  </w:pPr>
                  <w:r>
                    <w:rPr>
                      <w:rFonts w:hint="eastAsia" w:eastAsia="等线"/>
                      <w:color w:val="auto"/>
                      <w:szCs w:val="21"/>
                      <w:lang w:val="en-US" w:eastAsia="zh-CN"/>
                    </w:rPr>
                    <w:t>60</w:t>
                  </w:r>
                </w:p>
              </w:tc>
              <w:tc>
                <w:tcPr>
                  <w:tcW w:w="255" w:type="pct"/>
                  <w:vAlign w:val="center"/>
                </w:tcPr>
                <w:p w14:paraId="0687B484">
                  <w:pPr>
                    <w:pStyle w:val="88"/>
                    <w:rPr>
                      <w:rFonts w:eastAsia="宋体"/>
                      <w:color w:val="auto"/>
                    </w:rPr>
                  </w:pPr>
                  <w:r>
                    <w:rPr>
                      <w:rFonts w:eastAsia="宋体"/>
                      <w:color w:val="auto"/>
                    </w:rPr>
                    <w:t>1</w:t>
                  </w:r>
                </w:p>
              </w:tc>
            </w:tr>
            <w:tr w14:paraId="44024A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0" w:hRule="atLeast"/>
                <w:jc w:val="center"/>
              </w:trPr>
              <w:tc>
                <w:tcPr>
                  <w:tcW w:w="252" w:type="pct"/>
                  <w:vMerge w:val="continue"/>
                  <w:vAlign w:val="center"/>
                </w:tcPr>
                <w:p w14:paraId="541EC9B9">
                  <w:pPr>
                    <w:pStyle w:val="88"/>
                    <w:rPr>
                      <w:rFonts w:eastAsia="宋体"/>
                      <w:color w:val="auto"/>
                    </w:rPr>
                  </w:pPr>
                </w:p>
              </w:tc>
              <w:tc>
                <w:tcPr>
                  <w:tcW w:w="252" w:type="pct"/>
                  <w:vMerge w:val="continue"/>
                  <w:vAlign w:val="center"/>
                </w:tcPr>
                <w:p w14:paraId="22C4C58C">
                  <w:pPr>
                    <w:pStyle w:val="88"/>
                    <w:rPr>
                      <w:rFonts w:eastAsia="宋体"/>
                      <w:color w:val="auto"/>
                    </w:rPr>
                  </w:pPr>
                </w:p>
              </w:tc>
              <w:tc>
                <w:tcPr>
                  <w:tcW w:w="253" w:type="pct"/>
                  <w:vAlign w:val="center"/>
                </w:tcPr>
                <w:p w14:paraId="61495A65">
                  <w:pPr>
                    <w:pStyle w:val="88"/>
                    <w:rPr>
                      <w:rFonts w:eastAsia="宋体"/>
                      <w:color w:val="auto"/>
                    </w:rPr>
                  </w:pPr>
                  <w:r>
                    <w:rPr>
                      <w:rFonts w:eastAsia="宋体"/>
                      <w:color w:val="auto"/>
                    </w:rPr>
                    <w:t>4#油液油排设备</w:t>
                  </w:r>
                </w:p>
              </w:tc>
              <w:tc>
                <w:tcPr>
                  <w:tcW w:w="253" w:type="pct"/>
                  <w:vAlign w:val="center"/>
                </w:tcPr>
                <w:p w14:paraId="0009B3E6">
                  <w:pPr>
                    <w:pStyle w:val="88"/>
                    <w:rPr>
                      <w:rFonts w:eastAsia="宋体"/>
                      <w:color w:val="auto"/>
                    </w:rPr>
                  </w:pPr>
                  <w:r>
                    <w:rPr>
                      <w:rFonts w:eastAsia="宋体"/>
                      <w:color w:val="auto"/>
                    </w:rPr>
                    <w:t>/</w:t>
                  </w:r>
                </w:p>
              </w:tc>
              <w:tc>
                <w:tcPr>
                  <w:tcW w:w="370" w:type="pct"/>
                  <w:vAlign w:val="center"/>
                </w:tcPr>
                <w:p w14:paraId="5AF6B1E9">
                  <w:pPr>
                    <w:pStyle w:val="88"/>
                    <w:rPr>
                      <w:rFonts w:hint="default" w:eastAsia="宋体"/>
                      <w:color w:val="auto"/>
                      <w:lang w:val="en-US" w:eastAsia="zh-CN"/>
                    </w:rPr>
                  </w:pPr>
                  <w:r>
                    <w:rPr>
                      <w:rFonts w:hint="eastAsia" w:eastAsia="等线"/>
                      <w:color w:val="auto"/>
                      <w:szCs w:val="21"/>
                      <w:lang w:val="en-US" w:eastAsia="zh-CN"/>
                    </w:rPr>
                    <w:t>90</w:t>
                  </w:r>
                </w:p>
              </w:tc>
              <w:tc>
                <w:tcPr>
                  <w:tcW w:w="365" w:type="pct"/>
                  <w:vMerge w:val="continue"/>
                  <w:vAlign w:val="center"/>
                </w:tcPr>
                <w:p w14:paraId="5B2E4D4E">
                  <w:pPr>
                    <w:pStyle w:val="88"/>
                    <w:rPr>
                      <w:rFonts w:eastAsia="宋体"/>
                      <w:color w:val="auto"/>
                    </w:rPr>
                  </w:pPr>
                </w:p>
              </w:tc>
              <w:tc>
                <w:tcPr>
                  <w:tcW w:w="387" w:type="pct"/>
                  <w:vAlign w:val="center"/>
                </w:tcPr>
                <w:p w14:paraId="6A4A3B3D">
                  <w:pPr>
                    <w:pStyle w:val="88"/>
                    <w:rPr>
                      <w:rFonts w:eastAsia="宋体"/>
                      <w:color w:val="auto"/>
                    </w:rPr>
                  </w:pPr>
                  <w:r>
                    <w:rPr>
                      <w:rFonts w:eastAsia="等线"/>
                      <w:color w:val="auto"/>
                      <w:szCs w:val="21"/>
                    </w:rPr>
                    <w:t>-12</w:t>
                  </w:r>
                </w:p>
              </w:tc>
              <w:tc>
                <w:tcPr>
                  <w:tcW w:w="394" w:type="pct"/>
                  <w:vAlign w:val="center"/>
                </w:tcPr>
                <w:p w14:paraId="0A99B685">
                  <w:pPr>
                    <w:pStyle w:val="88"/>
                    <w:rPr>
                      <w:rFonts w:hint="default" w:eastAsia="等线"/>
                      <w:color w:val="auto"/>
                      <w:lang w:val="en-US" w:eastAsia="zh-CN"/>
                    </w:rPr>
                  </w:pPr>
                  <w:r>
                    <w:rPr>
                      <w:rFonts w:eastAsia="等线"/>
                      <w:color w:val="auto"/>
                      <w:szCs w:val="21"/>
                    </w:rPr>
                    <w:t>-1</w:t>
                  </w:r>
                  <w:r>
                    <w:rPr>
                      <w:rFonts w:hint="eastAsia" w:eastAsia="等线"/>
                      <w:color w:val="auto"/>
                      <w:szCs w:val="21"/>
                      <w:lang w:val="en-US" w:eastAsia="zh-CN"/>
                    </w:rPr>
                    <w:t>.5</w:t>
                  </w:r>
                </w:p>
              </w:tc>
              <w:tc>
                <w:tcPr>
                  <w:tcW w:w="232" w:type="pct"/>
                  <w:vAlign w:val="center"/>
                </w:tcPr>
                <w:p w14:paraId="5BFA38DB">
                  <w:pPr>
                    <w:pStyle w:val="88"/>
                    <w:rPr>
                      <w:rFonts w:eastAsia="宋体"/>
                      <w:color w:val="auto"/>
                    </w:rPr>
                  </w:pPr>
                  <w:r>
                    <w:rPr>
                      <w:rFonts w:eastAsia="等线"/>
                      <w:color w:val="auto"/>
                      <w:szCs w:val="21"/>
                    </w:rPr>
                    <w:t>1</w:t>
                  </w:r>
                </w:p>
              </w:tc>
              <w:tc>
                <w:tcPr>
                  <w:tcW w:w="266" w:type="pct"/>
                  <w:vAlign w:val="center"/>
                </w:tcPr>
                <w:p w14:paraId="0726C002">
                  <w:pPr>
                    <w:pStyle w:val="88"/>
                    <w:rPr>
                      <w:rFonts w:eastAsia="宋体"/>
                      <w:color w:val="auto"/>
                    </w:rPr>
                  </w:pPr>
                  <w:r>
                    <w:rPr>
                      <w:rFonts w:eastAsia="宋体"/>
                      <w:color w:val="auto"/>
                    </w:rPr>
                    <w:t>1</w:t>
                  </w:r>
                </w:p>
              </w:tc>
              <w:tc>
                <w:tcPr>
                  <w:tcW w:w="361" w:type="pct"/>
                  <w:vAlign w:val="center"/>
                </w:tcPr>
                <w:p w14:paraId="0432C7A0">
                  <w:pPr>
                    <w:pStyle w:val="88"/>
                    <w:rPr>
                      <w:rFonts w:hint="eastAsia" w:eastAsia="等线"/>
                      <w:color w:val="auto"/>
                      <w:lang w:eastAsia="zh-CN"/>
                    </w:rPr>
                  </w:pPr>
                  <w:r>
                    <w:rPr>
                      <w:rFonts w:eastAsia="等线"/>
                      <w:color w:val="auto"/>
                      <w:szCs w:val="21"/>
                    </w:rPr>
                    <w:t>7</w:t>
                  </w:r>
                  <w:r>
                    <w:rPr>
                      <w:rFonts w:hint="eastAsia" w:eastAsia="等线"/>
                      <w:color w:val="auto"/>
                      <w:szCs w:val="21"/>
                      <w:lang w:val="en-US" w:eastAsia="zh-CN"/>
                    </w:rPr>
                    <w:t>5</w:t>
                  </w:r>
                </w:p>
              </w:tc>
              <w:tc>
                <w:tcPr>
                  <w:tcW w:w="425" w:type="pct"/>
                  <w:vMerge w:val="continue"/>
                  <w:vAlign w:val="center"/>
                </w:tcPr>
                <w:p w14:paraId="46D86516">
                  <w:pPr>
                    <w:pStyle w:val="88"/>
                    <w:rPr>
                      <w:rFonts w:eastAsia="宋体"/>
                      <w:color w:val="auto"/>
                    </w:rPr>
                  </w:pPr>
                </w:p>
              </w:tc>
              <w:tc>
                <w:tcPr>
                  <w:tcW w:w="463" w:type="pct"/>
                  <w:vAlign w:val="center"/>
                </w:tcPr>
                <w:p w14:paraId="6E31D152">
                  <w:pPr>
                    <w:pStyle w:val="88"/>
                    <w:rPr>
                      <w:rFonts w:hint="default" w:eastAsia="宋体"/>
                      <w:color w:val="auto"/>
                      <w:lang w:val="en-US" w:eastAsia="zh-CN"/>
                    </w:rPr>
                  </w:pPr>
                  <w:r>
                    <w:rPr>
                      <w:rFonts w:hint="eastAsia" w:eastAsia="等线"/>
                      <w:color w:val="auto"/>
                      <w:szCs w:val="21"/>
                      <w:lang w:val="en-US" w:eastAsia="zh-CN"/>
                    </w:rPr>
                    <w:t>20</w:t>
                  </w:r>
                </w:p>
              </w:tc>
              <w:tc>
                <w:tcPr>
                  <w:tcW w:w="463" w:type="pct"/>
                  <w:vAlign w:val="center"/>
                </w:tcPr>
                <w:p w14:paraId="50BE5C50">
                  <w:pPr>
                    <w:pStyle w:val="88"/>
                    <w:rPr>
                      <w:rFonts w:hint="default" w:eastAsia="宋体"/>
                      <w:color w:val="auto"/>
                      <w:lang w:val="en-US" w:eastAsia="zh-CN"/>
                    </w:rPr>
                  </w:pPr>
                  <w:r>
                    <w:rPr>
                      <w:rFonts w:hint="eastAsia" w:eastAsia="等线"/>
                      <w:color w:val="auto"/>
                      <w:szCs w:val="21"/>
                      <w:lang w:val="en-US" w:eastAsia="zh-CN"/>
                    </w:rPr>
                    <w:t>55</w:t>
                  </w:r>
                </w:p>
              </w:tc>
              <w:tc>
                <w:tcPr>
                  <w:tcW w:w="255" w:type="pct"/>
                  <w:vAlign w:val="center"/>
                </w:tcPr>
                <w:p w14:paraId="1321FA3F">
                  <w:pPr>
                    <w:pStyle w:val="88"/>
                    <w:rPr>
                      <w:rFonts w:eastAsia="宋体"/>
                      <w:color w:val="auto"/>
                    </w:rPr>
                  </w:pPr>
                  <w:r>
                    <w:rPr>
                      <w:rFonts w:eastAsia="宋体"/>
                      <w:color w:val="auto"/>
                    </w:rPr>
                    <w:t>1</w:t>
                  </w:r>
                </w:p>
              </w:tc>
            </w:tr>
            <w:tr w14:paraId="782CFE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70" w:hRule="atLeast"/>
                <w:jc w:val="center"/>
              </w:trPr>
              <w:tc>
                <w:tcPr>
                  <w:tcW w:w="252" w:type="pct"/>
                  <w:vMerge w:val="continue"/>
                  <w:vAlign w:val="center"/>
                </w:tcPr>
                <w:p w14:paraId="0A755928">
                  <w:pPr>
                    <w:pStyle w:val="88"/>
                    <w:rPr>
                      <w:rFonts w:eastAsia="宋体"/>
                      <w:color w:val="auto"/>
                    </w:rPr>
                  </w:pPr>
                </w:p>
              </w:tc>
              <w:tc>
                <w:tcPr>
                  <w:tcW w:w="252" w:type="pct"/>
                  <w:vMerge w:val="continue"/>
                  <w:vAlign w:val="center"/>
                </w:tcPr>
                <w:p w14:paraId="293824E6">
                  <w:pPr>
                    <w:pStyle w:val="88"/>
                    <w:rPr>
                      <w:rFonts w:eastAsia="宋体"/>
                      <w:color w:val="auto"/>
                    </w:rPr>
                  </w:pPr>
                </w:p>
              </w:tc>
              <w:tc>
                <w:tcPr>
                  <w:tcW w:w="253" w:type="pct"/>
                  <w:vAlign w:val="center"/>
                </w:tcPr>
                <w:p w14:paraId="74D0EA82">
                  <w:pPr>
                    <w:pStyle w:val="88"/>
                    <w:rPr>
                      <w:rFonts w:eastAsia="宋体"/>
                      <w:color w:val="auto"/>
                    </w:rPr>
                  </w:pPr>
                  <w:r>
                    <w:rPr>
                      <w:rFonts w:eastAsia="宋体"/>
                      <w:color w:val="auto"/>
                    </w:rPr>
                    <w:t>5#风机</w:t>
                  </w:r>
                </w:p>
              </w:tc>
              <w:tc>
                <w:tcPr>
                  <w:tcW w:w="253" w:type="pct"/>
                  <w:vAlign w:val="center"/>
                </w:tcPr>
                <w:p w14:paraId="5EADB82C">
                  <w:pPr>
                    <w:pStyle w:val="88"/>
                    <w:rPr>
                      <w:rFonts w:eastAsia="宋体"/>
                      <w:color w:val="auto"/>
                    </w:rPr>
                  </w:pPr>
                  <w:r>
                    <w:rPr>
                      <w:rFonts w:eastAsia="宋体"/>
                      <w:color w:val="auto"/>
                    </w:rPr>
                    <w:t>/</w:t>
                  </w:r>
                </w:p>
              </w:tc>
              <w:tc>
                <w:tcPr>
                  <w:tcW w:w="370" w:type="pct"/>
                  <w:vAlign w:val="center"/>
                </w:tcPr>
                <w:p w14:paraId="7EE0FD5D">
                  <w:pPr>
                    <w:pStyle w:val="88"/>
                    <w:rPr>
                      <w:rFonts w:eastAsia="宋体"/>
                      <w:color w:val="auto"/>
                    </w:rPr>
                  </w:pPr>
                  <w:r>
                    <w:rPr>
                      <w:rFonts w:eastAsia="等线"/>
                      <w:color w:val="auto"/>
                      <w:szCs w:val="21"/>
                    </w:rPr>
                    <w:t>85</w:t>
                  </w:r>
                </w:p>
              </w:tc>
              <w:tc>
                <w:tcPr>
                  <w:tcW w:w="365" w:type="pct"/>
                  <w:vAlign w:val="center"/>
                </w:tcPr>
                <w:p w14:paraId="71A94BED">
                  <w:pPr>
                    <w:pStyle w:val="88"/>
                    <w:rPr>
                      <w:rFonts w:eastAsia="宋体"/>
                      <w:color w:val="auto"/>
                    </w:rPr>
                  </w:pPr>
                  <w:r>
                    <w:rPr>
                      <w:rFonts w:hint="eastAsia" w:eastAsia="宋体"/>
                      <w:color w:val="auto"/>
                      <w:lang w:val="en-US" w:eastAsia="zh-CN"/>
                    </w:rPr>
                    <w:t>低噪声设备，</w:t>
                  </w:r>
                  <w:r>
                    <w:rPr>
                      <w:rFonts w:hint="eastAsia" w:eastAsia="宋体"/>
                      <w:color w:val="auto"/>
                    </w:rPr>
                    <w:t>加装隔声罩、吸声、隔声处理</w:t>
                  </w:r>
                </w:p>
              </w:tc>
              <w:tc>
                <w:tcPr>
                  <w:tcW w:w="387" w:type="pct"/>
                  <w:vAlign w:val="center"/>
                </w:tcPr>
                <w:p w14:paraId="52770FCC">
                  <w:pPr>
                    <w:pStyle w:val="88"/>
                    <w:rPr>
                      <w:rFonts w:eastAsia="宋体"/>
                      <w:color w:val="auto"/>
                    </w:rPr>
                  </w:pPr>
                  <w:r>
                    <w:rPr>
                      <w:rFonts w:eastAsia="等线"/>
                      <w:color w:val="auto"/>
                      <w:szCs w:val="21"/>
                    </w:rPr>
                    <w:t>-6</w:t>
                  </w:r>
                </w:p>
              </w:tc>
              <w:tc>
                <w:tcPr>
                  <w:tcW w:w="394" w:type="pct"/>
                  <w:vAlign w:val="center"/>
                </w:tcPr>
                <w:p w14:paraId="35FCE09E">
                  <w:pPr>
                    <w:pStyle w:val="88"/>
                    <w:rPr>
                      <w:rFonts w:eastAsia="宋体"/>
                      <w:color w:val="auto"/>
                    </w:rPr>
                  </w:pPr>
                  <w:r>
                    <w:rPr>
                      <w:rFonts w:eastAsia="等线"/>
                      <w:color w:val="auto"/>
                      <w:szCs w:val="21"/>
                    </w:rPr>
                    <w:t>-2</w:t>
                  </w:r>
                </w:p>
              </w:tc>
              <w:tc>
                <w:tcPr>
                  <w:tcW w:w="232" w:type="pct"/>
                  <w:vAlign w:val="center"/>
                </w:tcPr>
                <w:p w14:paraId="4222D8F6">
                  <w:pPr>
                    <w:pStyle w:val="88"/>
                    <w:rPr>
                      <w:rFonts w:eastAsia="宋体"/>
                      <w:color w:val="auto"/>
                    </w:rPr>
                  </w:pPr>
                  <w:r>
                    <w:rPr>
                      <w:rFonts w:eastAsia="等线"/>
                      <w:color w:val="auto"/>
                      <w:szCs w:val="21"/>
                    </w:rPr>
                    <w:t>1</w:t>
                  </w:r>
                </w:p>
              </w:tc>
              <w:tc>
                <w:tcPr>
                  <w:tcW w:w="266" w:type="pct"/>
                  <w:vAlign w:val="center"/>
                </w:tcPr>
                <w:p w14:paraId="1B3DF865">
                  <w:pPr>
                    <w:pStyle w:val="88"/>
                    <w:rPr>
                      <w:rFonts w:eastAsia="宋体"/>
                      <w:color w:val="auto"/>
                    </w:rPr>
                  </w:pPr>
                  <w:r>
                    <w:rPr>
                      <w:rFonts w:eastAsia="宋体"/>
                      <w:color w:val="auto"/>
                    </w:rPr>
                    <w:t>3</w:t>
                  </w:r>
                </w:p>
              </w:tc>
              <w:tc>
                <w:tcPr>
                  <w:tcW w:w="361" w:type="pct"/>
                  <w:vAlign w:val="center"/>
                </w:tcPr>
                <w:p w14:paraId="01B02DA0">
                  <w:pPr>
                    <w:pStyle w:val="88"/>
                    <w:rPr>
                      <w:rFonts w:hint="eastAsia" w:eastAsia="等线"/>
                      <w:color w:val="auto"/>
                      <w:lang w:eastAsia="zh-CN"/>
                    </w:rPr>
                  </w:pPr>
                  <w:r>
                    <w:rPr>
                      <w:rFonts w:eastAsia="等线"/>
                      <w:color w:val="auto"/>
                      <w:szCs w:val="21"/>
                    </w:rPr>
                    <w:t>7</w:t>
                  </w:r>
                  <w:r>
                    <w:rPr>
                      <w:rFonts w:hint="eastAsia" w:eastAsia="等线"/>
                      <w:color w:val="auto"/>
                      <w:szCs w:val="21"/>
                      <w:lang w:val="en-US" w:eastAsia="zh-CN"/>
                    </w:rPr>
                    <w:t>0</w:t>
                  </w:r>
                </w:p>
              </w:tc>
              <w:tc>
                <w:tcPr>
                  <w:tcW w:w="425" w:type="pct"/>
                  <w:vMerge w:val="continue"/>
                  <w:vAlign w:val="center"/>
                </w:tcPr>
                <w:p w14:paraId="28BD6031">
                  <w:pPr>
                    <w:pStyle w:val="88"/>
                    <w:rPr>
                      <w:rFonts w:eastAsia="宋体"/>
                      <w:color w:val="auto"/>
                    </w:rPr>
                  </w:pPr>
                </w:p>
              </w:tc>
              <w:tc>
                <w:tcPr>
                  <w:tcW w:w="463" w:type="pct"/>
                  <w:vAlign w:val="center"/>
                </w:tcPr>
                <w:p w14:paraId="2CA92F89">
                  <w:pPr>
                    <w:pStyle w:val="88"/>
                    <w:rPr>
                      <w:rFonts w:hint="default" w:ascii="Times New Roman" w:hAnsi="Times New Roman" w:eastAsia="宋体" w:cs="Times New Roman"/>
                      <w:color w:val="auto"/>
                      <w:kern w:val="0"/>
                      <w:sz w:val="21"/>
                      <w:szCs w:val="24"/>
                      <w:lang w:val="en-US" w:eastAsia="zh-CN" w:bidi="ar-SA"/>
                    </w:rPr>
                  </w:pPr>
                  <w:r>
                    <w:rPr>
                      <w:rFonts w:hint="eastAsia" w:eastAsia="等线"/>
                      <w:color w:val="auto"/>
                      <w:szCs w:val="21"/>
                      <w:lang w:val="en-US" w:eastAsia="zh-CN"/>
                    </w:rPr>
                    <w:t>20</w:t>
                  </w:r>
                </w:p>
              </w:tc>
              <w:tc>
                <w:tcPr>
                  <w:tcW w:w="463" w:type="pct"/>
                  <w:vAlign w:val="center"/>
                </w:tcPr>
                <w:p w14:paraId="7721779B">
                  <w:pPr>
                    <w:pStyle w:val="88"/>
                    <w:rPr>
                      <w:rFonts w:hint="default" w:eastAsia="宋体"/>
                      <w:color w:val="auto"/>
                      <w:lang w:val="en-US" w:eastAsia="zh-CN"/>
                    </w:rPr>
                  </w:pPr>
                  <w:r>
                    <w:rPr>
                      <w:rFonts w:hint="eastAsia" w:eastAsia="等线"/>
                      <w:color w:val="auto"/>
                      <w:szCs w:val="21"/>
                      <w:lang w:val="en-US" w:eastAsia="zh-CN"/>
                    </w:rPr>
                    <w:t>50</w:t>
                  </w:r>
                </w:p>
              </w:tc>
              <w:tc>
                <w:tcPr>
                  <w:tcW w:w="255" w:type="pct"/>
                  <w:vAlign w:val="center"/>
                </w:tcPr>
                <w:p w14:paraId="1AFBA347">
                  <w:pPr>
                    <w:pStyle w:val="88"/>
                    <w:rPr>
                      <w:rFonts w:eastAsia="宋体"/>
                      <w:color w:val="auto"/>
                    </w:rPr>
                  </w:pPr>
                  <w:r>
                    <w:rPr>
                      <w:rFonts w:eastAsia="宋体"/>
                      <w:color w:val="auto"/>
                    </w:rPr>
                    <w:t>1</w:t>
                  </w:r>
                </w:p>
              </w:tc>
            </w:tr>
          </w:tbl>
          <w:p w14:paraId="21B92E96">
            <w:pPr>
              <w:pStyle w:val="77"/>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ascii="Times New Roman" w:hAnsi="Times New Roman" w:eastAsia="宋体" w:cs="Times New Roman"/>
                <w:snapToGrid w:val="0"/>
                <w:color w:val="auto"/>
              </w:rPr>
            </w:pPr>
            <w:r>
              <w:rPr>
                <w:rFonts w:ascii="Times New Roman" w:hAnsi="Times New Roman" w:eastAsia="宋体" w:cs="Times New Roman"/>
                <w:snapToGrid w:val="0"/>
                <w:color w:val="auto"/>
              </w:rPr>
              <w:t>（</w:t>
            </w:r>
            <w:r>
              <w:rPr>
                <w:rFonts w:hint="eastAsia" w:ascii="Times New Roman" w:hAnsi="Times New Roman" w:eastAsia="宋体" w:cs="Times New Roman"/>
                <w:snapToGrid w:val="0"/>
                <w:color w:val="auto"/>
                <w:lang w:val="en-US" w:eastAsia="zh-CN"/>
              </w:rPr>
              <w:t>二</w:t>
            </w:r>
            <w:r>
              <w:rPr>
                <w:rFonts w:ascii="Times New Roman" w:hAnsi="Times New Roman" w:eastAsia="宋体" w:cs="Times New Roman"/>
                <w:snapToGrid w:val="0"/>
                <w:color w:val="auto"/>
              </w:rPr>
              <w:t>）</w:t>
            </w:r>
            <w:r>
              <w:rPr>
                <w:rFonts w:ascii="Times New Roman" w:hAnsi="Times New Roman" w:eastAsia="宋体" w:cs="Times New Roman"/>
                <w:snapToGrid w:val="0"/>
                <w:color w:val="auto"/>
                <w:lang w:val="en-US" w:eastAsia="zh-CN"/>
              </w:rPr>
              <w:t>预测方法</w:t>
            </w:r>
          </w:p>
          <w:p w14:paraId="31FFE06C">
            <w:pPr>
              <w:pStyle w:val="77"/>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ascii="Times New Roman" w:hAnsi="Times New Roman" w:eastAsia="宋体" w:cs="Times New Roman"/>
                <w:snapToGrid w:val="0"/>
                <w:color w:val="auto"/>
              </w:rPr>
            </w:pPr>
            <w:r>
              <w:rPr>
                <w:rFonts w:hint="default" w:ascii="Times New Roman" w:hAnsi="Times New Roman" w:eastAsia="宋体" w:cs="Times New Roman"/>
                <w:snapToGrid w:val="0"/>
                <w:color w:val="auto"/>
                <w:lang w:val="en-US" w:eastAsia="zh-CN"/>
              </w:rPr>
              <w:t>根据厂区周围环境噪声现状监测数据及工程投产后对厂界及环境的影响，为工程噪声污染防治提供依据。确定主要噪声源的分布，通过类比调查监测等方法对项目的主要噪声源进行分析，根据该项目主要噪声源声学参数、声源分布及噪声本底情况，利用计算机进行模式计算，预测计算点与现状测量点相同。</w:t>
            </w:r>
          </w:p>
          <w:p w14:paraId="75ECBADE">
            <w:pPr>
              <w:pStyle w:val="77"/>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ascii="Times New Roman" w:hAnsi="Times New Roman" w:eastAsia="宋体" w:cs="Times New Roman"/>
                <w:snapToGrid w:val="0"/>
                <w:color w:val="auto"/>
              </w:rPr>
            </w:pPr>
            <w:r>
              <w:rPr>
                <w:rFonts w:ascii="Times New Roman" w:hAnsi="Times New Roman" w:eastAsia="宋体" w:cs="Times New Roman"/>
                <w:snapToGrid w:val="0"/>
                <w:color w:val="auto"/>
              </w:rPr>
              <w:t>（</w:t>
            </w:r>
            <w:r>
              <w:rPr>
                <w:rFonts w:hint="eastAsia" w:ascii="Times New Roman" w:hAnsi="Times New Roman" w:eastAsia="宋体" w:cs="Times New Roman"/>
                <w:snapToGrid w:val="0"/>
                <w:color w:val="auto"/>
                <w:lang w:val="en-US" w:eastAsia="zh-CN"/>
              </w:rPr>
              <w:t>三</w:t>
            </w:r>
            <w:r>
              <w:rPr>
                <w:rFonts w:ascii="Times New Roman" w:hAnsi="Times New Roman" w:eastAsia="宋体" w:cs="Times New Roman"/>
                <w:snapToGrid w:val="0"/>
                <w:color w:val="auto"/>
              </w:rPr>
              <w:t>）</w:t>
            </w:r>
            <w:r>
              <w:rPr>
                <w:rFonts w:ascii="Times New Roman" w:hAnsi="Times New Roman" w:eastAsia="宋体" w:cs="Times New Roman"/>
                <w:snapToGrid w:val="0"/>
                <w:color w:val="auto"/>
                <w:lang w:val="en-US" w:eastAsia="zh-CN"/>
              </w:rPr>
              <w:t>预测模式</w:t>
            </w:r>
          </w:p>
          <w:p w14:paraId="5672CC16">
            <w:pPr>
              <w:pStyle w:val="77"/>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ascii="Times New Roman" w:hAnsi="Times New Roman" w:eastAsia="宋体" w:cs="Times New Roman"/>
                <w:snapToGrid w:val="0"/>
                <w:color w:val="auto"/>
              </w:rPr>
            </w:pPr>
            <w:r>
              <w:rPr>
                <w:rFonts w:ascii="Times New Roman" w:hAnsi="Times New Roman" w:eastAsia="宋体" w:cs="Times New Roman"/>
                <w:snapToGrid w:val="0"/>
                <w:color w:val="auto"/>
                <w:lang w:val="en-US" w:eastAsia="zh-CN"/>
              </w:rPr>
              <w:t>采用</w:t>
            </w:r>
            <w:r>
              <w:rPr>
                <w:rFonts w:hint="eastAsia" w:ascii="Times New Roman" w:hAnsi="Times New Roman" w:eastAsia="宋体" w:cs="Times New Roman"/>
                <w:snapToGrid w:val="0"/>
                <w:color w:val="auto"/>
                <w:lang w:val="en-US" w:eastAsia="zh-CN"/>
              </w:rPr>
              <w:t>《</w:t>
            </w:r>
            <w:r>
              <w:rPr>
                <w:rFonts w:ascii="Times New Roman" w:hAnsi="Times New Roman" w:eastAsia="宋体" w:cs="Times New Roman"/>
                <w:snapToGrid w:val="0"/>
                <w:color w:val="auto"/>
                <w:lang w:val="en-US" w:eastAsia="zh-CN"/>
              </w:rPr>
              <w:t>环境影响评价技术导则</w:t>
            </w:r>
            <w:r>
              <w:rPr>
                <w:rFonts w:hint="default" w:ascii="Times New Roman" w:hAnsi="Times New Roman" w:eastAsia="宋体" w:cs="Times New Roman"/>
                <w:snapToGrid w:val="0"/>
                <w:color w:val="auto"/>
                <w:lang w:val="en-US" w:eastAsia="zh-CN"/>
              </w:rPr>
              <w:t>—声环境</w:t>
            </w:r>
            <w:r>
              <w:rPr>
                <w:rFonts w:hint="eastAsia" w:ascii="Times New Roman" w:hAnsi="Times New Roman" w:eastAsia="宋体" w:cs="Times New Roman"/>
                <w:snapToGrid w:val="0"/>
                <w:color w:val="auto"/>
                <w:lang w:val="en-US" w:eastAsia="zh-CN"/>
              </w:rPr>
              <w:t>》</w:t>
            </w:r>
            <w:r>
              <w:rPr>
                <w:rFonts w:hint="default" w:ascii="Times New Roman" w:hAnsi="Times New Roman" w:eastAsia="宋体" w:cs="Times New Roman"/>
                <w:snapToGrid w:val="0"/>
                <w:color w:val="auto"/>
                <w:lang w:val="en-US" w:eastAsia="zh-CN"/>
              </w:rPr>
              <w:t>（HJ2.4—2021）中工业噪声预测模式。</w:t>
            </w:r>
          </w:p>
          <w:p w14:paraId="2FF0E951">
            <w:pPr>
              <w:pStyle w:val="77"/>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ascii="Times New Roman" w:hAnsi="Times New Roman" w:eastAsia="宋体" w:cs="Times New Roman"/>
                <w:snapToGrid w:val="0"/>
                <w:color w:val="auto"/>
              </w:rPr>
            </w:pPr>
            <w:r>
              <w:rPr>
                <w:rFonts w:hint="default" w:ascii="Times New Roman" w:hAnsi="Times New Roman" w:eastAsia="宋体" w:cs="Times New Roman"/>
                <w:snapToGrid w:val="0"/>
                <w:color w:val="auto"/>
                <w:lang w:val="en-US" w:eastAsia="zh-CN"/>
              </w:rPr>
              <w:t>（1）室外声源</w:t>
            </w:r>
          </w:p>
          <w:p w14:paraId="0D33EEAC">
            <w:pPr>
              <w:pStyle w:val="77"/>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ascii="Times New Roman" w:hAnsi="Times New Roman" w:eastAsia="宋体" w:cs="Times New Roman"/>
                <w:snapToGrid w:val="0"/>
                <w:color w:val="auto"/>
              </w:rPr>
            </w:pPr>
            <w:r>
              <w:rPr>
                <w:rFonts w:hint="eastAsia" w:ascii="Times New Roman" w:hAnsi="Times New Roman" w:eastAsia="宋体" w:cs="Times New Roman"/>
                <w:snapToGrid w:val="0"/>
                <w:color w:val="auto"/>
                <w:lang w:val="en-US" w:eastAsia="zh-CN"/>
              </w:rPr>
              <w:t>①</w:t>
            </w:r>
            <w:r>
              <w:rPr>
                <w:rFonts w:hint="default" w:ascii="Times New Roman" w:hAnsi="Times New Roman" w:eastAsia="宋体" w:cs="Times New Roman"/>
                <w:snapToGrid w:val="0"/>
                <w:color w:val="auto"/>
                <w:lang w:val="en-US" w:eastAsia="zh-CN"/>
              </w:rPr>
              <w:t>计算某个声源在预测点的倍频带声压级</w:t>
            </w:r>
          </w:p>
          <w:p w14:paraId="02F15777">
            <w:pPr>
              <w:pStyle w:val="77"/>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hint="eastAsia" w:ascii="Times New Roman" w:hAnsi="Times New Roman" w:eastAsia="宋体" w:cs="Times New Roman"/>
                <w:snapToGrid w:val="0"/>
                <w:color w:val="auto"/>
                <w:lang w:val="en-US" w:eastAsia="zh-CN"/>
              </w:rPr>
            </w:pPr>
            <w:r>
              <w:rPr>
                <w:rFonts w:hint="eastAsia" w:ascii="Times New Roman" w:hAnsi="Times New Roman" w:eastAsia="宋体" w:cs="Times New Roman"/>
                <w:snapToGrid w:val="0"/>
                <w:color w:val="auto"/>
                <w:lang w:val="en-US" w:eastAsia="zh-CN"/>
              </w:rPr>
              <w:object>
                <v:shape id="_x0000_i1026" o:spt="75" type="#_x0000_t75" style="height:44.7pt;width:196.4pt;" o:ole="t" filled="f" o:preferrelative="t" stroked="f" coordsize="21600,21600">
                  <v:path/>
                  <v:fill on="f" focussize="0,0"/>
                  <v:stroke on="f"/>
                  <v:imagedata r:id="rId19" o:title=""/>
                  <o:lock v:ext="edit" aspectratio="t"/>
                  <w10:wrap type="none"/>
                  <w10:anchorlock/>
                </v:shape>
                <o:OLEObject Type="Embed" ProgID="Equation.KSEE3" ShapeID="_x0000_i1026" DrawAspect="Content" ObjectID="_1468075726" r:id="rId18">
                  <o:LockedField>false</o:LockedField>
                </o:OLEObject>
              </w:object>
            </w:r>
          </w:p>
          <w:p w14:paraId="31485C3D">
            <w:pPr>
              <w:pStyle w:val="77"/>
              <w:rPr>
                <w:rFonts w:ascii="Times New Roman" w:hAnsi="Times New Roman" w:eastAsia="宋体" w:cs="Times New Roman"/>
                <w:snapToGrid w:val="0"/>
                <w:color w:val="auto"/>
              </w:rPr>
            </w:pPr>
            <w:r>
              <w:rPr>
                <w:rFonts w:ascii="Times New Roman" w:hAnsi="Times New Roman" w:eastAsia="宋体" w:cs="Times New Roman"/>
                <w:snapToGrid w:val="0"/>
                <w:color w:val="auto"/>
                <w:lang w:val="en-US" w:eastAsia="zh-CN"/>
              </w:rPr>
              <w:t>式中：</w:t>
            </w:r>
          </w:p>
          <w:p w14:paraId="18B9BBAC">
            <w:pPr>
              <w:pStyle w:val="77"/>
              <w:rPr>
                <w:rFonts w:ascii="Times New Roman" w:hAnsi="Times New Roman" w:eastAsia="宋体" w:cs="Times New Roman"/>
                <w:snapToGrid w:val="0"/>
                <w:color w:val="auto"/>
              </w:rPr>
            </w:pPr>
            <w:r>
              <w:rPr>
                <w:rFonts w:hint="default" w:ascii="Times New Roman" w:hAnsi="Times New Roman" w:eastAsia="宋体" w:cs="Times New Roman"/>
                <w:snapToGrid w:val="0"/>
                <w:color w:val="auto"/>
                <w:lang w:val="en-US" w:eastAsia="zh-CN"/>
              </w:rPr>
              <w:t>Loct(r)——点声源在预测点产生的倍频带声压级；</w:t>
            </w:r>
          </w:p>
          <w:p w14:paraId="40FE42E7">
            <w:pPr>
              <w:pStyle w:val="77"/>
              <w:rPr>
                <w:rFonts w:ascii="Times New Roman" w:hAnsi="Times New Roman" w:eastAsia="宋体" w:cs="Times New Roman"/>
                <w:snapToGrid w:val="0"/>
                <w:color w:val="auto"/>
              </w:rPr>
            </w:pPr>
            <w:r>
              <w:rPr>
                <w:rFonts w:hint="default" w:ascii="Times New Roman" w:hAnsi="Times New Roman" w:eastAsia="宋体" w:cs="Times New Roman"/>
                <w:snapToGrid w:val="0"/>
                <w:color w:val="auto"/>
                <w:lang w:val="en-US" w:eastAsia="zh-CN"/>
              </w:rPr>
              <w:t>Loct(r0)——参考位</w:t>
            </w:r>
            <w:r>
              <w:rPr>
                <w:rFonts w:hint="eastAsia" w:ascii="Times New Roman" w:hAnsi="Times New Roman" w:eastAsia="宋体" w:cs="Times New Roman"/>
                <w:snapToGrid w:val="0"/>
                <w:color w:val="auto"/>
                <w:lang w:val="en-US" w:eastAsia="zh-CN"/>
              </w:rPr>
              <w:t>置</w:t>
            </w:r>
            <w:r>
              <w:rPr>
                <w:rFonts w:hint="default" w:ascii="Times New Roman" w:hAnsi="Times New Roman" w:eastAsia="宋体" w:cs="Times New Roman"/>
                <w:snapToGrid w:val="0"/>
                <w:color w:val="auto"/>
                <w:lang w:val="en-US" w:eastAsia="zh-CN"/>
              </w:rPr>
              <w:t>r0处的倍频带声压级；</w:t>
            </w:r>
          </w:p>
          <w:p w14:paraId="1E0814B0">
            <w:pPr>
              <w:pStyle w:val="77"/>
              <w:rPr>
                <w:rFonts w:ascii="Times New Roman" w:hAnsi="Times New Roman" w:eastAsia="宋体" w:cs="Times New Roman"/>
                <w:snapToGrid w:val="0"/>
                <w:color w:val="auto"/>
              </w:rPr>
            </w:pPr>
            <w:r>
              <w:rPr>
                <w:rFonts w:hint="default" w:ascii="Times New Roman" w:hAnsi="Times New Roman" w:eastAsia="宋体" w:cs="Times New Roman"/>
                <w:snapToGrid w:val="0"/>
                <w:color w:val="auto"/>
                <w:lang w:val="en-US" w:eastAsia="zh-CN"/>
              </w:rPr>
              <w:t>r——预测点距声源的距离，m；</w:t>
            </w:r>
          </w:p>
          <w:p w14:paraId="3F4BE7DE">
            <w:pPr>
              <w:pStyle w:val="77"/>
              <w:rPr>
                <w:rFonts w:ascii="Times New Roman" w:hAnsi="Times New Roman" w:eastAsia="宋体" w:cs="Times New Roman"/>
                <w:snapToGrid w:val="0"/>
                <w:color w:val="auto"/>
              </w:rPr>
            </w:pPr>
            <w:r>
              <w:rPr>
                <w:rFonts w:hint="default" w:ascii="Times New Roman" w:hAnsi="Times New Roman" w:eastAsia="宋体" w:cs="Times New Roman"/>
                <w:snapToGrid w:val="0"/>
                <w:color w:val="auto"/>
                <w:lang w:val="en-US" w:eastAsia="zh-CN"/>
              </w:rPr>
              <w:t>r0——参考位</w:t>
            </w:r>
            <w:r>
              <w:rPr>
                <w:rFonts w:hint="eastAsia" w:ascii="Times New Roman" w:hAnsi="Times New Roman" w:eastAsia="宋体" w:cs="Times New Roman"/>
                <w:snapToGrid w:val="0"/>
                <w:color w:val="auto"/>
                <w:lang w:val="en-US" w:eastAsia="zh-CN"/>
              </w:rPr>
              <w:t>置</w:t>
            </w:r>
            <w:r>
              <w:rPr>
                <w:rFonts w:hint="default" w:ascii="Times New Roman" w:hAnsi="Times New Roman" w:eastAsia="宋体" w:cs="Times New Roman"/>
                <w:snapToGrid w:val="0"/>
                <w:color w:val="auto"/>
                <w:lang w:val="en-US" w:eastAsia="zh-CN"/>
              </w:rPr>
              <w:t>距声源的距离，m；</w:t>
            </w:r>
          </w:p>
          <w:p w14:paraId="4BC2C871">
            <w:pPr>
              <w:pStyle w:val="77"/>
              <w:rPr>
                <w:rFonts w:ascii="Times New Roman" w:hAnsi="Times New Roman" w:eastAsia="宋体" w:cs="Times New Roman"/>
                <w:snapToGrid w:val="0"/>
                <w:color w:val="auto"/>
              </w:rPr>
            </w:pPr>
            <w:r>
              <w:rPr>
                <w:rFonts w:hint="default" w:ascii="Times New Roman" w:hAnsi="Times New Roman" w:eastAsia="宋体" w:cs="Times New Roman"/>
                <w:snapToGrid w:val="0"/>
                <w:color w:val="auto"/>
                <w:lang w:val="en-US" w:eastAsia="zh-CN"/>
              </w:rPr>
              <w:t>ΔLoct——各种因素引起的衰减量。</w:t>
            </w:r>
          </w:p>
          <w:p w14:paraId="10CCDA6E">
            <w:pPr>
              <w:pStyle w:val="77"/>
              <w:rPr>
                <w:rFonts w:ascii="Times New Roman" w:hAnsi="Times New Roman" w:eastAsia="宋体" w:cs="Times New Roman"/>
                <w:snapToGrid w:val="0"/>
                <w:color w:val="auto"/>
              </w:rPr>
            </w:pPr>
            <w:r>
              <w:rPr>
                <w:rFonts w:hint="default" w:ascii="Times New Roman" w:hAnsi="Times New Roman" w:eastAsia="宋体" w:cs="Times New Roman"/>
                <w:snapToGrid w:val="0"/>
                <w:color w:val="auto"/>
                <w:lang w:val="en-US" w:eastAsia="zh-CN"/>
              </w:rPr>
              <w:t>如果已知声源的倍频带声功率级Lwoct，且声源可看作是位于地面上的，则</w:t>
            </w:r>
          </w:p>
          <w:p w14:paraId="44CD245C">
            <w:pPr>
              <w:pStyle w:val="77"/>
              <w:rPr>
                <w:rFonts w:ascii="Times New Roman" w:hAnsi="Times New Roman" w:eastAsia="宋体" w:cs="Times New Roman"/>
                <w:snapToGrid w:val="0"/>
                <w:color w:val="auto"/>
              </w:rPr>
            </w:pPr>
            <w:r>
              <w:rPr>
                <w:rFonts w:ascii="Times New Roman" w:hAnsi="Times New Roman" w:eastAsia="宋体" w:cs="Times New Roman"/>
                <w:snapToGrid w:val="0"/>
                <w:color w:val="auto"/>
              </w:rPr>
              <w:drawing>
                <wp:inline distT="0" distB="0" distL="114300" distR="114300">
                  <wp:extent cx="2266950" cy="341630"/>
                  <wp:effectExtent l="0" t="0" r="0" b="0"/>
                  <wp:docPr id="21"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7"/>
                          <pic:cNvPicPr>
                            <a:picLocks noChangeAspect="1"/>
                          </pic:cNvPicPr>
                        </pic:nvPicPr>
                        <pic:blipFill>
                          <a:blip r:embed="rId20"/>
                          <a:stretch>
                            <a:fillRect/>
                          </a:stretch>
                        </pic:blipFill>
                        <pic:spPr>
                          <a:xfrm>
                            <a:off x="0" y="0"/>
                            <a:ext cx="2266950" cy="341630"/>
                          </a:xfrm>
                          <a:prstGeom prst="rect">
                            <a:avLst/>
                          </a:prstGeom>
                          <a:noFill/>
                          <a:ln>
                            <a:noFill/>
                          </a:ln>
                        </pic:spPr>
                      </pic:pic>
                    </a:graphicData>
                  </a:graphic>
                </wp:inline>
              </w:drawing>
            </w:r>
          </w:p>
          <w:p w14:paraId="71ED1972">
            <w:pPr>
              <w:pStyle w:val="77"/>
              <w:rPr>
                <w:rFonts w:ascii="Times New Roman" w:hAnsi="Times New Roman" w:eastAsia="宋体" w:cs="Times New Roman"/>
                <w:snapToGrid w:val="0"/>
                <w:color w:val="auto"/>
              </w:rPr>
            </w:pPr>
            <w:r>
              <w:rPr>
                <w:rFonts w:hint="eastAsia" w:ascii="Times New Roman" w:hAnsi="Times New Roman" w:eastAsia="宋体" w:cs="Times New Roman"/>
                <w:snapToGrid w:val="0"/>
                <w:color w:val="auto"/>
                <w:lang w:val="en-US" w:eastAsia="zh-CN"/>
              </w:rPr>
              <w:t>②</w:t>
            </w:r>
            <w:r>
              <w:rPr>
                <w:rFonts w:ascii="Times New Roman" w:hAnsi="Times New Roman" w:eastAsia="宋体" w:cs="Times New Roman"/>
                <w:snapToGrid w:val="0"/>
                <w:color w:val="auto"/>
                <w:lang w:val="en-US" w:eastAsia="zh-CN"/>
              </w:rPr>
              <w:t>由各倍频带声压级合成计算出该声源产生的声级</w:t>
            </w:r>
            <w:r>
              <w:rPr>
                <w:rFonts w:hint="default" w:ascii="Times New Roman" w:hAnsi="Times New Roman" w:eastAsia="宋体" w:cs="Times New Roman"/>
                <w:snapToGrid w:val="0"/>
                <w:color w:val="auto"/>
                <w:lang w:val="en-US" w:eastAsia="zh-CN"/>
              </w:rPr>
              <w:t>LA。</w:t>
            </w:r>
          </w:p>
          <w:p w14:paraId="44964463">
            <w:pPr>
              <w:pStyle w:val="77"/>
              <w:rPr>
                <w:rFonts w:ascii="Times New Roman" w:hAnsi="Times New Roman" w:eastAsia="宋体" w:cs="Times New Roman"/>
                <w:snapToGrid w:val="0"/>
                <w:color w:val="auto"/>
              </w:rPr>
            </w:pPr>
            <w:r>
              <w:rPr>
                <w:rFonts w:hint="default" w:ascii="Times New Roman" w:hAnsi="Times New Roman" w:eastAsia="宋体" w:cs="Times New Roman"/>
                <w:snapToGrid w:val="0"/>
                <w:color w:val="auto"/>
                <w:lang w:val="en-US" w:eastAsia="zh-CN"/>
              </w:rPr>
              <w:t xml:space="preserve">（2）室内声源 </w:t>
            </w:r>
          </w:p>
          <w:p w14:paraId="3BE7002B">
            <w:pPr>
              <w:pStyle w:val="77"/>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hint="default" w:ascii="Times New Roman" w:hAnsi="Times New Roman" w:eastAsia="宋体" w:cs="Times New Roman"/>
                <w:snapToGrid w:val="0"/>
                <w:color w:val="auto"/>
                <w:lang w:val="en-US" w:eastAsia="zh-CN"/>
              </w:rPr>
            </w:pPr>
            <w:r>
              <w:rPr>
                <w:rFonts w:hint="eastAsia" w:ascii="Times New Roman" w:hAnsi="Times New Roman" w:eastAsia="宋体" w:cs="Times New Roman"/>
                <w:snapToGrid w:val="0"/>
                <w:color w:val="auto"/>
                <w:lang w:val="en-US" w:eastAsia="zh-CN"/>
              </w:rPr>
              <w:t>①</w:t>
            </w:r>
            <w:r>
              <w:rPr>
                <w:rFonts w:hint="default" w:ascii="Times New Roman" w:hAnsi="Times New Roman" w:eastAsia="宋体" w:cs="Times New Roman"/>
                <w:snapToGrid w:val="0"/>
                <w:color w:val="auto"/>
                <w:lang w:val="en-US" w:eastAsia="zh-CN"/>
              </w:rPr>
              <w:t>首先计算出某个室内靠近围护结构处的倍频带声压级：</w:t>
            </w:r>
          </w:p>
          <w:p w14:paraId="7A2D7179">
            <w:pPr>
              <w:pStyle w:val="77"/>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hint="eastAsia" w:ascii="Times New Roman" w:hAnsi="Times New Roman" w:eastAsia="宋体" w:cs="Times New Roman"/>
                <w:snapToGrid w:val="0"/>
                <w:color w:val="auto"/>
                <w:lang w:val="en-US" w:eastAsia="zh-CN"/>
              </w:rPr>
            </w:pPr>
            <w:r>
              <w:rPr>
                <w:rFonts w:hint="eastAsia" w:ascii="Times New Roman" w:hAnsi="Times New Roman" w:eastAsia="宋体" w:cs="Times New Roman"/>
                <w:snapToGrid w:val="0"/>
                <w:color w:val="auto"/>
                <w:lang w:val="en-US" w:eastAsia="zh-CN"/>
              </w:rPr>
              <w:object>
                <v:shape id="_x0000_i1027" o:spt="75" type="#_x0000_t75" style="height:47.15pt;width:178pt;" o:ole="t" filled="f" o:preferrelative="t" stroked="f" coordsize="21600,21600">
                  <v:path/>
                  <v:fill on="f" focussize="0,0"/>
                  <v:stroke on="f"/>
                  <v:imagedata r:id="rId22" o:title=""/>
                  <o:lock v:ext="edit" aspectratio="t"/>
                  <w10:wrap type="none"/>
                  <w10:anchorlock/>
                </v:shape>
                <o:OLEObject Type="Embed" ProgID="Equation.KSEE3" ShapeID="_x0000_i1027" DrawAspect="Content" ObjectID="_1468075727" r:id="rId21">
                  <o:LockedField>false</o:LockedField>
                </o:OLEObject>
              </w:object>
            </w:r>
          </w:p>
          <w:p w14:paraId="525ADECF">
            <w:pPr>
              <w:pStyle w:val="77"/>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ascii="Times New Roman" w:hAnsi="Times New Roman" w:eastAsia="宋体" w:cs="Times New Roman"/>
                <w:snapToGrid w:val="0"/>
                <w:color w:val="auto"/>
              </w:rPr>
            </w:pPr>
            <w:r>
              <w:rPr>
                <w:rFonts w:ascii="Times New Roman" w:hAnsi="Times New Roman" w:eastAsia="宋体" w:cs="Times New Roman"/>
                <w:snapToGrid w:val="0"/>
                <w:color w:val="auto"/>
                <w:lang w:val="en-US" w:eastAsia="zh-CN"/>
              </w:rPr>
              <w:t>式中：</w:t>
            </w:r>
            <w:r>
              <w:rPr>
                <w:rFonts w:hint="default" w:ascii="Times New Roman" w:hAnsi="Times New Roman" w:eastAsia="宋体" w:cs="Times New Roman"/>
                <w:snapToGrid w:val="0"/>
                <w:color w:val="auto"/>
                <w:lang w:val="en-US" w:eastAsia="zh-CN"/>
              </w:rPr>
              <w:t>Loct</w:t>
            </w:r>
            <w:r>
              <w:rPr>
                <w:rFonts w:hint="eastAsia" w:ascii="Times New Roman" w:hAnsi="Times New Roman" w:eastAsia="宋体" w:cs="Times New Roman"/>
                <w:snapToGrid w:val="0"/>
                <w:color w:val="auto"/>
                <w:lang w:val="en-US" w:eastAsia="zh-CN"/>
              </w:rPr>
              <w:t>，</w:t>
            </w:r>
            <w:r>
              <w:rPr>
                <w:rFonts w:hint="default" w:ascii="Times New Roman" w:hAnsi="Times New Roman" w:eastAsia="宋体" w:cs="Times New Roman"/>
                <w:snapToGrid w:val="0"/>
                <w:color w:val="auto"/>
                <w:lang w:val="en-US" w:eastAsia="zh-CN"/>
              </w:rPr>
              <w:t>1为某个室内声源在靠近围护结构处产生的倍频带声压级，</w:t>
            </w:r>
          </w:p>
          <w:p w14:paraId="164CB37B">
            <w:pPr>
              <w:pStyle w:val="77"/>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ascii="Times New Roman" w:hAnsi="Times New Roman" w:eastAsia="宋体" w:cs="Times New Roman"/>
                <w:snapToGrid w:val="0"/>
                <w:color w:val="auto"/>
              </w:rPr>
            </w:pPr>
            <w:r>
              <w:rPr>
                <w:rFonts w:hint="default" w:ascii="Times New Roman" w:hAnsi="Times New Roman" w:eastAsia="宋体" w:cs="Times New Roman"/>
                <w:snapToGrid w:val="0"/>
                <w:color w:val="auto"/>
                <w:lang w:val="en-US" w:eastAsia="zh-CN"/>
              </w:rPr>
              <w:t>Lwoct</w:t>
            </w:r>
            <w:r>
              <w:rPr>
                <w:rFonts w:ascii="Times New Roman" w:hAnsi="Times New Roman" w:eastAsia="宋体" w:cs="Times New Roman"/>
                <w:snapToGrid w:val="0"/>
                <w:color w:val="auto"/>
                <w:lang w:val="en-US" w:eastAsia="zh-CN"/>
              </w:rPr>
              <w:t>为某个声源的倍频带声功率级，</w:t>
            </w:r>
            <w:r>
              <w:rPr>
                <w:rFonts w:hint="default" w:ascii="Times New Roman" w:hAnsi="Times New Roman" w:eastAsia="宋体" w:cs="Times New Roman"/>
                <w:snapToGrid w:val="0"/>
                <w:color w:val="auto"/>
                <w:lang w:val="en-US" w:eastAsia="zh-CN"/>
              </w:rPr>
              <w:t>r1为室内某个声源与靠近围护结构处的距离，R为房间常数，Q为方向因子。</w:t>
            </w:r>
          </w:p>
          <w:p w14:paraId="332426AA">
            <w:pPr>
              <w:pStyle w:val="77"/>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ascii="Times New Roman" w:hAnsi="Times New Roman" w:eastAsia="宋体" w:cs="Times New Roman"/>
                <w:snapToGrid w:val="0"/>
                <w:color w:val="auto"/>
              </w:rPr>
            </w:pPr>
            <w:r>
              <w:rPr>
                <w:rFonts w:hint="eastAsia" w:ascii="Times New Roman" w:hAnsi="Times New Roman" w:eastAsia="宋体" w:cs="Times New Roman"/>
                <w:snapToGrid w:val="0"/>
                <w:color w:val="auto"/>
                <w:lang w:val="en-US" w:eastAsia="zh-CN"/>
              </w:rPr>
              <w:t>②</w:t>
            </w:r>
            <w:r>
              <w:rPr>
                <w:rFonts w:hint="default" w:ascii="Times New Roman" w:hAnsi="Times New Roman" w:eastAsia="宋体" w:cs="Times New Roman"/>
                <w:snapToGrid w:val="0"/>
                <w:color w:val="auto"/>
                <w:lang w:val="en-US" w:eastAsia="zh-CN"/>
              </w:rPr>
              <w:t>计算出所有室内声源在靠近围护结构处产生的总倍频带声压级：</w:t>
            </w:r>
          </w:p>
          <w:p w14:paraId="6429BC64">
            <w:pPr>
              <w:pStyle w:val="77"/>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ascii="Times New Roman" w:hAnsi="Times New Roman" w:eastAsia="宋体" w:cs="Times New Roman"/>
                <w:snapToGrid w:val="0"/>
                <w:color w:val="auto"/>
              </w:rPr>
            </w:pPr>
            <w:r>
              <w:rPr>
                <w:rFonts w:ascii="Times New Roman" w:hAnsi="Times New Roman" w:eastAsia="宋体" w:cs="Times New Roman"/>
                <w:snapToGrid w:val="0"/>
                <w:color w:val="auto"/>
              </w:rPr>
              <w:drawing>
                <wp:inline distT="0" distB="0" distL="114300" distR="114300">
                  <wp:extent cx="2447290" cy="610235"/>
                  <wp:effectExtent l="0" t="0" r="10160" b="18415"/>
                  <wp:docPr id="1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9"/>
                          <pic:cNvPicPr>
                            <a:picLocks noChangeAspect="1"/>
                          </pic:cNvPicPr>
                        </pic:nvPicPr>
                        <pic:blipFill>
                          <a:blip r:embed="rId23"/>
                          <a:stretch>
                            <a:fillRect/>
                          </a:stretch>
                        </pic:blipFill>
                        <pic:spPr>
                          <a:xfrm>
                            <a:off x="0" y="0"/>
                            <a:ext cx="2447290" cy="610235"/>
                          </a:xfrm>
                          <a:prstGeom prst="rect">
                            <a:avLst/>
                          </a:prstGeom>
                          <a:noFill/>
                          <a:ln>
                            <a:noFill/>
                          </a:ln>
                        </pic:spPr>
                      </pic:pic>
                    </a:graphicData>
                  </a:graphic>
                </wp:inline>
              </w:drawing>
            </w:r>
          </w:p>
          <w:p w14:paraId="6C320BED">
            <w:pPr>
              <w:pStyle w:val="77"/>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hint="eastAsia" w:ascii="Times New Roman" w:hAnsi="Times New Roman" w:eastAsia="宋体" w:cs="Times New Roman"/>
                <w:snapToGrid w:val="0"/>
                <w:color w:val="auto"/>
                <w:lang w:val="en-US" w:eastAsia="zh-CN"/>
              </w:rPr>
            </w:pPr>
            <w:r>
              <w:rPr>
                <w:rFonts w:hint="eastAsia" w:ascii="Times New Roman" w:hAnsi="Times New Roman" w:eastAsia="宋体" w:cs="Times New Roman"/>
                <w:snapToGrid w:val="0"/>
                <w:color w:val="auto"/>
                <w:lang w:val="en-US" w:eastAsia="zh-CN"/>
              </w:rPr>
              <w:t>③计算出室外靠近围护结构处的声压级：</w:t>
            </w:r>
          </w:p>
          <w:p w14:paraId="7A6F2F02">
            <w:pPr>
              <w:pStyle w:val="77"/>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hint="eastAsia" w:ascii="Times New Roman" w:hAnsi="Times New Roman" w:eastAsia="宋体" w:cs="Times New Roman"/>
                <w:snapToGrid w:val="0"/>
                <w:color w:val="auto"/>
                <w:lang w:val="en-US" w:eastAsia="zh-CN"/>
              </w:rPr>
            </w:pPr>
            <w:r>
              <w:rPr>
                <w:rFonts w:hint="eastAsia" w:ascii="Times New Roman" w:hAnsi="Times New Roman" w:eastAsia="宋体" w:cs="Times New Roman"/>
                <w:snapToGrid w:val="0"/>
                <w:color w:val="auto"/>
                <w:lang w:val="en-US" w:eastAsia="zh-CN"/>
              </w:rPr>
              <w:object>
                <v:shape id="_x0000_i1028" o:spt="75" type="#_x0000_t75" style="height:24pt;width:194.65pt;" o:ole="t" filled="f" o:preferrelative="t" stroked="f" coordsize="21600,21600">
                  <v:path/>
                  <v:fill on="f" focussize="0,0"/>
                  <v:stroke on="f"/>
                  <v:imagedata r:id="rId25" o:title=""/>
                  <o:lock v:ext="edit" aspectratio="t"/>
                  <w10:wrap type="none"/>
                  <w10:anchorlock/>
                </v:shape>
                <o:OLEObject Type="Embed" ProgID="Equation.KSEE3" ShapeID="_x0000_i1028" DrawAspect="Content" ObjectID="_1468075728" r:id="rId24">
                  <o:LockedField>false</o:LockedField>
                </o:OLEObject>
              </w:object>
            </w:r>
          </w:p>
          <w:p w14:paraId="747E9707">
            <w:pPr>
              <w:pStyle w:val="77"/>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ascii="Times New Roman" w:hAnsi="Times New Roman" w:eastAsia="宋体" w:cs="Times New Roman"/>
                <w:snapToGrid w:val="0"/>
                <w:color w:val="auto"/>
              </w:rPr>
            </w:pPr>
            <w:r>
              <w:rPr>
                <w:rFonts w:hint="eastAsia" w:ascii="Times New Roman" w:hAnsi="Times New Roman" w:eastAsia="宋体" w:cs="Times New Roman"/>
                <w:snapToGrid w:val="0"/>
                <w:color w:val="auto"/>
                <w:lang w:val="en-US" w:eastAsia="zh-CN"/>
              </w:rPr>
              <w:t>④</w:t>
            </w:r>
            <w:r>
              <w:rPr>
                <w:rFonts w:ascii="Times New Roman" w:hAnsi="Times New Roman" w:eastAsia="宋体" w:cs="Times New Roman"/>
                <w:snapToGrid w:val="0"/>
                <w:color w:val="auto"/>
                <w:lang w:val="en-US" w:eastAsia="zh-CN"/>
              </w:rPr>
              <w:t>将室外声级</w:t>
            </w:r>
            <w:r>
              <w:rPr>
                <w:rFonts w:hint="default" w:ascii="Times New Roman" w:hAnsi="Times New Roman" w:eastAsia="宋体" w:cs="Times New Roman"/>
                <w:snapToGrid w:val="0"/>
                <w:color w:val="auto"/>
                <w:lang w:val="en-US" w:eastAsia="zh-CN"/>
              </w:rPr>
              <w:t>Loct,2(T)和透声面积换算成等效的室外声源，计算出等效声源第i个倍频带的声功率级Lwoct：</w:t>
            </w:r>
          </w:p>
          <w:p w14:paraId="6432D923">
            <w:pPr>
              <w:pStyle w:val="77"/>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hint="eastAsia" w:ascii="Times New Roman" w:hAnsi="Times New Roman" w:eastAsia="宋体" w:cs="Times New Roman"/>
                <w:snapToGrid w:val="0"/>
                <w:color w:val="auto"/>
                <w:lang w:val="en-US" w:eastAsia="zh-CN"/>
              </w:rPr>
            </w:pPr>
            <w:r>
              <w:rPr>
                <w:rFonts w:hint="eastAsia" w:ascii="Times New Roman" w:hAnsi="Times New Roman" w:eastAsia="宋体" w:cs="Times New Roman"/>
                <w:snapToGrid w:val="0"/>
                <w:color w:val="auto"/>
                <w:lang w:val="en-US" w:eastAsia="zh-CN"/>
              </w:rPr>
              <w:object>
                <v:shape id="_x0000_i1029" o:spt="75" type="#_x0000_t75" style="height:26.3pt;width:163.7pt;" o:ole="t" filled="f" o:preferrelative="t" stroked="f" coordsize="21600,21600">
                  <v:path/>
                  <v:fill on="f" focussize="0,0"/>
                  <v:stroke on="f"/>
                  <v:imagedata r:id="rId27" o:title=""/>
                  <o:lock v:ext="edit" aspectratio="t"/>
                  <w10:wrap type="none"/>
                  <w10:anchorlock/>
                </v:shape>
                <o:OLEObject Type="Embed" ProgID="Equation.KSEE3" ShapeID="_x0000_i1029" DrawAspect="Content" ObjectID="_1468075729" r:id="rId26">
                  <o:LockedField>false</o:LockedField>
                </o:OLEObject>
              </w:object>
            </w:r>
          </w:p>
          <w:p w14:paraId="77F22530">
            <w:pPr>
              <w:pStyle w:val="77"/>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hint="default" w:ascii="Times New Roman" w:hAnsi="Times New Roman" w:eastAsia="宋体" w:cs="Times New Roman"/>
                <w:snapToGrid w:val="0"/>
                <w:color w:val="auto"/>
                <w:lang w:val="en-US" w:eastAsia="zh-CN"/>
              </w:rPr>
            </w:pPr>
            <w:r>
              <w:rPr>
                <w:rFonts w:ascii="Times New Roman" w:hAnsi="Times New Roman" w:eastAsia="宋体" w:cs="Times New Roman"/>
                <w:snapToGrid w:val="0"/>
                <w:color w:val="auto"/>
                <w:lang w:val="en-US" w:eastAsia="zh-CN"/>
              </w:rPr>
              <w:t>式中：</w:t>
            </w:r>
            <w:r>
              <w:rPr>
                <w:rFonts w:hint="default" w:ascii="Times New Roman" w:hAnsi="Times New Roman" w:eastAsia="宋体" w:cs="Times New Roman"/>
                <w:snapToGrid w:val="0"/>
                <w:color w:val="auto"/>
                <w:lang w:val="en-US" w:eastAsia="zh-CN"/>
              </w:rPr>
              <w:t>S为透声面积，m2。</w:t>
            </w:r>
          </w:p>
          <w:p w14:paraId="7B8E52D5">
            <w:pPr>
              <w:pStyle w:val="77"/>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ascii="Times New Roman" w:hAnsi="Times New Roman" w:eastAsia="宋体" w:cs="Times New Roman"/>
                <w:snapToGrid w:val="0"/>
                <w:color w:val="auto"/>
              </w:rPr>
            </w:pPr>
            <w:r>
              <w:rPr>
                <w:rFonts w:hint="eastAsia" w:ascii="Times New Roman" w:hAnsi="Times New Roman" w:eastAsia="宋体" w:cs="Times New Roman"/>
                <w:snapToGrid w:val="0"/>
                <w:color w:val="auto"/>
                <w:lang w:val="en-US" w:eastAsia="zh-CN"/>
              </w:rPr>
              <w:t>⑤</w:t>
            </w:r>
            <w:r>
              <w:rPr>
                <w:rFonts w:hint="default" w:ascii="Times New Roman" w:hAnsi="Times New Roman" w:eastAsia="宋体" w:cs="Times New Roman"/>
                <w:snapToGrid w:val="0"/>
                <w:color w:val="auto"/>
                <w:lang w:val="en-US" w:eastAsia="zh-CN"/>
              </w:rPr>
              <w:t>等效室外声源的位</w:t>
            </w:r>
            <w:r>
              <w:rPr>
                <w:rFonts w:hint="eastAsia" w:ascii="Times New Roman" w:hAnsi="Times New Roman" w:eastAsia="宋体" w:cs="Times New Roman"/>
                <w:snapToGrid w:val="0"/>
                <w:color w:val="auto"/>
                <w:lang w:val="en-US" w:eastAsia="zh-CN"/>
              </w:rPr>
              <w:t>置</w:t>
            </w:r>
            <w:r>
              <w:rPr>
                <w:rFonts w:hint="default" w:ascii="Times New Roman" w:hAnsi="Times New Roman" w:eastAsia="宋体" w:cs="Times New Roman"/>
                <w:snapToGrid w:val="0"/>
                <w:color w:val="auto"/>
                <w:lang w:val="en-US" w:eastAsia="zh-CN"/>
              </w:rPr>
              <w:t>为围护结构的位</w:t>
            </w:r>
            <w:r>
              <w:rPr>
                <w:rFonts w:hint="eastAsia" w:ascii="Times New Roman" w:hAnsi="Times New Roman" w:eastAsia="宋体" w:cs="Times New Roman"/>
                <w:snapToGrid w:val="0"/>
                <w:color w:val="auto"/>
                <w:lang w:val="en-US" w:eastAsia="zh-CN"/>
              </w:rPr>
              <w:t>置</w:t>
            </w:r>
            <w:r>
              <w:rPr>
                <w:rFonts w:hint="default" w:ascii="Times New Roman" w:hAnsi="Times New Roman" w:eastAsia="宋体" w:cs="Times New Roman"/>
                <w:snapToGrid w:val="0"/>
                <w:color w:val="auto"/>
                <w:lang w:val="en-US" w:eastAsia="zh-CN"/>
              </w:rPr>
              <w:t>，其倍频带声功率级为Lwoct，由此按室外声源方法计算等效室外声源在预测点产生的声级。</w:t>
            </w:r>
          </w:p>
          <w:p w14:paraId="5B69B5DC">
            <w:pPr>
              <w:pStyle w:val="77"/>
              <w:rPr>
                <w:rFonts w:ascii="Times New Roman" w:hAnsi="Times New Roman" w:eastAsia="宋体" w:cs="Times New Roman"/>
                <w:snapToGrid w:val="0"/>
                <w:color w:val="auto"/>
              </w:rPr>
            </w:pPr>
            <w:r>
              <w:rPr>
                <w:rFonts w:ascii="Times New Roman" w:hAnsi="Times New Roman" w:eastAsia="宋体" w:cs="Times New Roman"/>
                <w:snapToGrid w:val="0"/>
                <w:color w:val="auto"/>
                <w:lang w:val="en-US" w:eastAsia="zh-CN"/>
              </w:rPr>
              <w:t>（</w:t>
            </w:r>
            <w:r>
              <w:rPr>
                <w:rFonts w:hint="default" w:ascii="Times New Roman" w:hAnsi="Times New Roman" w:eastAsia="宋体" w:cs="Times New Roman"/>
                <w:snapToGrid w:val="0"/>
                <w:color w:val="auto"/>
                <w:lang w:val="en-US" w:eastAsia="zh-CN"/>
              </w:rPr>
              <w:t>3）计算总声压级</w:t>
            </w:r>
          </w:p>
          <w:p w14:paraId="2651A4AF">
            <w:pPr>
              <w:pStyle w:val="77"/>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ascii="Times New Roman" w:hAnsi="Times New Roman" w:eastAsia="宋体" w:cs="Times New Roman"/>
                <w:snapToGrid w:val="0"/>
                <w:color w:val="auto"/>
              </w:rPr>
            </w:pPr>
            <w:r>
              <w:rPr>
                <w:rFonts w:hint="default" w:ascii="Times New Roman" w:hAnsi="Times New Roman" w:eastAsia="宋体" w:cs="Times New Roman"/>
                <w:snapToGrid w:val="0"/>
                <w:color w:val="auto"/>
                <w:lang w:val="en-US" w:eastAsia="zh-CN"/>
              </w:rPr>
              <w:t>设第i个室外声源在预测点产生的A声级为LAin,i，在T时间内该声源工作时间为tin,i；第j个等效室外声源在预测点产生的A声级为LAout,j，在T时间内该声源工作时间为tout,j，则预测点的总等效声级为：</w:t>
            </w:r>
          </w:p>
          <w:p w14:paraId="686855DA">
            <w:pPr>
              <w:pStyle w:val="77"/>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hint="eastAsia" w:ascii="Times New Roman" w:hAnsi="Times New Roman" w:eastAsia="宋体" w:cs="Times New Roman"/>
                <w:snapToGrid w:val="0"/>
                <w:color w:val="auto"/>
                <w:lang w:val="en-US" w:eastAsia="zh-CN"/>
              </w:rPr>
            </w:pPr>
            <w:r>
              <w:rPr>
                <w:rFonts w:hint="eastAsia" w:ascii="Times New Roman" w:hAnsi="Times New Roman" w:eastAsia="宋体" w:cs="Times New Roman"/>
                <w:snapToGrid w:val="0"/>
                <w:color w:val="auto"/>
                <w:lang w:val="en-US" w:eastAsia="zh-CN"/>
              </w:rPr>
              <w:object>
                <v:shape id="_x0000_i1030" o:spt="75" type="#_x0000_t75" style="height:47.2pt;width:335.25pt;" o:ole="t" filled="f" o:preferrelative="t" stroked="f" coordsize="21600,21600">
                  <v:path/>
                  <v:fill on="f" focussize="0,0"/>
                  <v:stroke on="f"/>
                  <v:imagedata r:id="rId29" o:title=""/>
                  <o:lock v:ext="edit" aspectratio="t"/>
                  <w10:wrap type="none"/>
                  <w10:anchorlock/>
                </v:shape>
                <o:OLEObject Type="Embed" ProgID="Equation.KSEE3" ShapeID="_x0000_i1030" DrawAspect="Content" ObjectID="_1468075730" r:id="rId28">
                  <o:LockedField>false</o:LockedField>
                </o:OLEObject>
              </w:object>
            </w:r>
          </w:p>
          <w:p w14:paraId="25428BFB">
            <w:pPr>
              <w:pStyle w:val="77"/>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hint="default" w:ascii="Times New Roman" w:hAnsi="Times New Roman" w:eastAsia="宋体" w:cs="Times New Roman"/>
                <w:snapToGrid w:val="0"/>
                <w:color w:val="auto"/>
                <w:lang w:val="en-US" w:eastAsia="zh-CN"/>
              </w:rPr>
            </w:pPr>
            <w:r>
              <w:rPr>
                <w:rFonts w:ascii="Times New Roman" w:hAnsi="Times New Roman" w:eastAsia="宋体" w:cs="Times New Roman"/>
                <w:snapToGrid w:val="0"/>
                <w:color w:val="auto"/>
                <w:lang w:val="en-US" w:eastAsia="zh-CN"/>
              </w:rPr>
              <w:t>式中：</w:t>
            </w:r>
            <w:r>
              <w:rPr>
                <w:rFonts w:hint="default" w:ascii="Times New Roman" w:hAnsi="Times New Roman" w:eastAsia="宋体" w:cs="Times New Roman"/>
                <w:snapToGrid w:val="0"/>
                <w:color w:val="auto"/>
                <w:lang w:val="en-US" w:eastAsia="zh-CN"/>
              </w:rPr>
              <w:t>T为计算等效声级的时间，N为室外声源个数，M为等效室外声源个数。</w:t>
            </w:r>
          </w:p>
          <w:p w14:paraId="43F2DA63">
            <w:pPr>
              <w:pStyle w:val="77"/>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ascii="Times New Roman" w:hAnsi="Times New Roman" w:eastAsia="宋体" w:cs="Times New Roman"/>
                <w:snapToGrid w:val="0"/>
                <w:color w:val="auto"/>
              </w:rPr>
            </w:pPr>
            <w:r>
              <w:rPr>
                <w:rFonts w:ascii="Times New Roman" w:hAnsi="Times New Roman" w:eastAsia="宋体" w:cs="Times New Roman"/>
                <w:snapToGrid w:val="0"/>
                <w:color w:val="auto"/>
              </w:rPr>
              <w:t>（</w:t>
            </w:r>
            <w:r>
              <w:rPr>
                <w:rFonts w:hint="eastAsia" w:ascii="Times New Roman" w:hAnsi="Times New Roman" w:eastAsia="宋体" w:cs="Times New Roman"/>
                <w:snapToGrid w:val="0"/>
                <w:color w:val="auto"/>
                <w:lang w:val="en-US" w:eastAsia="zh-CN"/>
              </w:rPr>
              <w:t>四</w:t>
            </w:r>
            <w:r>
              <w:rPr>
                <w:rFonts w:ascii="Times New Roman" w:hAnsi="Times New Roman" w:eastAsia="宋体" w:cs="Times New Roman"/>
                <w:snapToGrid w:val="0"/>
                <w:color w:val="auto"/>
              </w:rPr>
              <w:t>）</w:t>
            </w:r>
            <w:r>
              <w:rPr>
                <w:rFonts w:ascii="Times New Roman" w:hAnsi="Times New Roman" w:eastAsia="宋体" w:cs="Times New Roman"/>
                <w:snapToGrid w:val="0"/>
                <w:color w:val="auto"/>
                <w:lang w:val="en-US" w:eastAsia="zh-CN"/>
              </w:rPr>
              <w:t>预测结果及评价</w:t>
            </w:r>
          </w:p>
          <w:p w14:paraId="7872ED93">
            <w:pPr>
              <w:pStyle w:val="77"/>
              <w:keepNext w:val="0"/>
              <w:keepLines w:val="0"/>
              <w:pageBreakBefore w:val="0"/>
              <w:widowControl w:val="0"/>
              <w:kinsoku/>
              <w:wordWrap/>
              <w:overflowPunct/>
              <w:topLinePunct w:val="0"/>
              <w:autoSpaceDE w:val="0"/>
              <w:autoSpaceDN w:val="0"/>
              <w:bidi w:val="0"/>
              <w:adjustRightInd w:val="0"/>
              <w:snapToGrid w:val="0"/>
              <w:spacing w:line="360" w:lineRule="auto"/>
              <w:textAlignment w:val="auto"/>
              <w:rPr>
                <w:rFonts w:ascii="Times New Roman" w:hAnsi="Times New Roman" w:eastAsia="宋体" w:cs="Times New Roman"/>
                <w:snapToGrid w:val="0"/>
                <w:color w:val="auto"/>
              </w:rPr>
            </w:pPr>
            <w:r>
              <w:rPr>
                <w:rFonts w:hint="default" w:ascii="Times New Roman" w:hAnsi="Times New Roman" w:eastAsia="宋体" w:cs="Times New Roman"/>
                <w:snapToGrid w:val="0"/>
                <w:color w:val="auto"/>
                <w:lang w:val="en-US" w:eastAsia="zh-CN"/>
              </w:rPr>
              <w:t>本项目运行期厂界噪声预测结果见表5-2-</w:t>
            </w:r>
            <w:r>
              <w:rPr>
                <w:rFonts w:hint="eastAsia" w:ascii="Times New Roman" w:hAnsi="Times New Roman" w:eastAsia="宋体" w:cs="Times New Roman"/>
                <w:snapToGrid w:val="0"/>
                <w:color w:val="auto"/>
                <w:lang w:val="en-US" w:eastAsia="zh-CN"/>
              </w:rPr>
              <w:t>60</w:t>
            </w:r>
            <w:r>
              <w:rPr>
                <w:rFonts w:hint="default" w:ascii="Times New Roman" w:hAnsi="Times New Roman" w:eastAsia="宋体" w:cs="Times New Roman"/>
                <w:snapToGrid w:val="0"/>
                <w:color w:val="auto"/>
                <w:lang w:val="en-US" w:eastAsia="zh-CN"/>
              </w:rPr>
              <w:t>，噪声预测图见图5-2-</w:t>
            </w:r>
            <w:r>
              <w:rPr>
                <w:rFonts w:hint="eastAsia" w:ascii="Times New Roman" w:hAnsi="Times New Roman" w:eastAsia="宋体" w:cs="Times New Roman"/>
                <w:snapToGrid w:val="0"/>
                <w:color w:val="auto"/>
                <w:lang w:val="en-US" w:eastAsia="zh-CN"/>
              </w:rPr>
              <w:t>61</w:t>
            </w:r>
            <w:r>
              <w:rPr>
                <w:rFonts w:hint="default" w:ascii="Times New Roman" w:hAnsi="Times New Roman" w:eastAsia="宋体" w:cs="Times New Roman"/>
                <w:snapToGrid w:val="0"/>
                <w:color w:val="auto"/>
                <w:lang w:val="en-US" w:eastAsia="zh-CN"/>
              </w:rPr>
              <w:t>。</w:t>
            </w:r>
          </w:p>
          <w:p w14:paraId="360C2BD4">
            <w:pPr>
              <w:pStyle w:val="115"/>
              <w:bidi w:val="0"/>
              <w:rPr>
                <w:color w:val="auto"/>
              </w:rPr>
            </w:pPr>
            <w:r>
              <w:rPr>
                <w:color w:val="auto"/>
                <w:lang w:val="en-US" w:eastAsia="zh-CN"/>
              </w:rPr>
              <w:t>表</w:t>
            </w:r>
            <w:r>
              <w:rPr>
                <w:rFonts w:hint="default"/>
                <w:color w:val="auto"/>
                <w:lang w:val="en-US" w:eastAsia="zh-CN"/>
              </w:rPr>
              <w:t>5-2-</w:t>
            </w:r>
            <w:r>
              <w:rPr>
                <w:rFonts w:hint="eastAsia"/>
                <w:color w:val="auto"/>
                <w:lang w:val="en-US" w:eastAsia="zh-CN"/>
              </w:rPr>
              <w:t>60</w:t>
            </w:r>
            <w:r>
              <w:rPr>
                <w:rFonts w:hint="default"/>
                <w:color w:val="auto"/>
                <w:lang w:val="en-US" w:eastAsia="zh-CN"/>
              </w:rPr>
              <w:t xml:space="preserve"> 厂界噪声贡献值</w:t>
            </w:r>
            <w:r>
              <w:rPr>
                <w:rFonts w:hint="eastAsia"/>
                <w:color w:val="auto"/>
                <w:lang w:val="en-US" w:eastAsia="zh-CN"/>
              </w:rPr>
              <w:t xml:space="preserve">  </w:t>
            </w:r>
            <w:r>
              <w:rPr>
                <w:rFonts w:hint="default"/>
                <w:color w:val="auto"/>
                <w:lang w:val="en-US" w:eastAsia="zh-CN"/>
              </w:rPr>
              <w:t>单位</w:t>
            </w:r>
            <w:r>
              <w:rPr>
                <w:rFonts w:hint="eastAsia"/>
                <w:color w:val="auto"/>
                <w:lang w:val="en-US" w:eastAsia="zh-CN"/>
              </w:rPr>
              <w:t>：</w:t>
            </w:r>
            <w:r>
              <w:rPr>
                <w:rFonts w:hint="default"/>
                <w:color w:val="auto"/>
                <w:lang w:val="en-US" w:eastAsia="zh-CN"/>
              </w:rPr>
              <w:t>dB(A)</w:t>
            </w:r>
          </w:p>
          <w:tbl>
            <w:tblPr>
              <w:tblStyle w:val="20"/>
              <w:tblW w:w="4992"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61"/>
              <w:gridCol w:w="3765"/>
            </w:tblGrid>
            <w:tr w14:paraId="6644F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563" w:type="pct"/>
                  <w:tcBorders>
                    <w:top w:val="single" w:color="auto" w:sz="12" w:space="0"/>
                    <w:left w:val="nil"/>
                  </w:tcBorders>
                  <w:vAlign w:val="center"/>
                </w:tcPr>
                <w:p w14:paraId="6F6476F0">
                  <w:pPr>
                    <w:pStyle w:val="39"/>
                    <w:keepNext w:val="0"/>
                    <w:keepLines w:val="0"/>
                    <w:suppressLineNumbers w:val="0"/>
                    <w:bidi w:val="0"/>
                    <w:spacing w:beforeAutospacing="0" w:afterAutospacing="0"/>
                    <w:jc w:val="center"/>
                    <w:rPr>
                      <w:rFonts w:hint="eastAsia"/>
                      <w:color w:val="auto"/>
                      <w:lang w:val="en-US" w:eastAsia="zh-CN"/>
                    </w:rPr>
                  </w:pPr>
                  <w:r>
                    <w:rPr>
                      <w:rFonts w:hint="eastAsia"/>
                      <w:color w:val="auto"/>
                      <w:lang w:val="en-US" w:eastAsia="zh-CN"/>
                    </w:rPr>
                    <w:t>监测点位</w:t>
                  </w:r>
                </w:p>
              </w:tc>
              <w:tc>
                <w:tcPr>
                  <w:tcW w:w="2436" w:type="pct"/>
                  <w:tcBorders>
                    <w:top w:val="single" w:color="auto" w:sz="12" w:space="0"/>
                    <w:right w:val="nil"/>
                  </w:tcBorders>
                  <w:vAlign w:val="center"/>
                </w:tcPr>
                <w:p w14:paraId="143B2C0C">
                  <w:pPr>
                    <w:pStyle w:val="39"/>
                    <w:keepNext w:val="0"/>
                    <w:keepLines w:val="0"/>
                    <w:suppressLineNumbers w:val="0"/>
                    <w:bidi w:val="0"/>
                    <w:spacing w:beforeAutospacing="0" w:afterAutospacing="0"/>
                    <w:jc w:val="center"/>
                    <w:rPr>
                      <w:rFonts w:hint="default"/>
                      <w:color w:val="auto"/>
                      <w:lang w:val="en-US" w:eastAsia="zh-CN"/>
                    </w:rPr>
                  </w:pPr>
                  <w:r>
                    <w:rPr>
                      <w:rFonts w:hint="eastAsia"/>
                      <w:color w:val="auto"/>
                      <w:lang w:val="en-US" w:eastAsia="zh-CN"/>
                    </w:rPr>
                    <w:t>贡献值</w:t>
                  </w:r>
                </w:p>
              </w:tc>
            </w:tr>
            <w:tr w14:paraId="39A57E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63" w:type="pct"/>
                  <w:tcBorders>
                    <w:left w:val="nil"/>
                  </w:tcBorders>
                  <w:vAlign w:val="center"/>
                </w:tcPr>
                <w:p w14:paraId="233B38A4">
                  <w:pPr>
                    <w:pStyle w:val="39"/>
                    <w:keepNext w:val="0"/>
                    <w:keepLines w:val="0"/>
                    <w:suppressLineNumbers w:val="0"/>
                    <w:bidi w:val="0"/>
                    <w:spacing w:beforeAutospacing="0" w:afterAutospacing="0"/>
                    <w:jc w:val="center"/>
                    <w:rPr>
                      <w:rFonts w:hint="eastAsia"/>
                      <w:color w:val="auto"/>
                      <w:lang w:val="en-US" w:eastAsia="zh-CN"/>
                    </w:rPr>
                  </w:pPr>
                  <w:r>
                    <w:rPr>
                      <w:rFonts w:hint="eastAsia"/>
                      <w:color w:val="auto"/>
                      <w:lang w:val="en-US" w:eastAsia="zh-CN"/>
                    </w:rPr>
                    <w:t>厂界东6m处</w:t>
                  </w:r>
                </w:p>
              </w:tc>
              <w:tc>
                <w:tcPr>
                  <w:tcW w:w="2436" w:type="pct"/>
                  <w:tcBorders>
                    <w:right w:val="nil"/>
                  </w:tcBorders>
                  <w:vAlign w:val="center"/>
                </w:tcPr>
                <w:p w14:paraId="66876E59">
                  <w:pPr>
                    <w:pStyle w:val="116"/>
                    <w:keepNext w:val="0"/>
                    <w:keepLines w:val="0"/>
                    <w:suppressLineNumbers w:val="0"/>
                    <w:bidi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22.54</w:t>
                  </w:r>
                </w:p>
              </w:tc>
            </w:tr>
            <w:tr w14:paraId="0399FC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63" w:type="pct"/>
                  <w:tcBorders>
                    <w:left w:val="nil"/>
                    <w:bottom w:val="single" w:color="auto" w:sz="12" w:space="0"/>
                  </w:tcBorders>
                  <w:vAlign w:val="center"/>
                </w:tcPr>
                <w:p w14:paraId="3C1D47D1">
                  <w:pPr>
                    <w:pStyle w:val="39"/>
                    <w:keepNext w:val="0"/>
                    <w:keepLines w:val="0"/>
                    <w:suppressLineNumbers w:val="0"/>
                    <w:bidi w:val="0"/>
                    <w:spacing w:beforeAutospacing="0" w:afterAutospacing="0"/>
                    <w:jc w:val="center"/>
                    <w:rPr>
                      <w:rFonts w:hint="default"/>
                      <w:color w:val="auto"/>
                      <w:lang w:val="en-US" w:eastAsia="zh-CN"/>
                    </w:rPr>
                  </w:pPr>
                  <w:r>
                    <w:rPr>
                      <w:rFonts w:hint="eastAsia"/>
                      <w:color w:val="auto"/>
                      <w:lang w:val="en-US" w:eastAsia="zh-CN"/>
                    </w:rPr>
                    <w:t>厂界西20m处</w:t>
                  </w:r>
                </w:p>
              </w:tc>
              <w:tc>
                <w:tcPr>
                  <w:tcW w:w="2436" w:type="pct"/>
                  <w:tcBorders>
                    <w:bottom w:val="single" w:color="auto" w:sz="12" w:space="0"/>
                    <w:right w:val="nil"/>
                  </w:tcBorders>
                  <w:vAlign w:val="center"/>
                </w:tcPr>
                <w:p w14:paraId="2C3E075F">
                  <w:pPr>
                    <w:pStyle w:val="116"/>
                    <w:keepNext w:val="0"/>
                    <w:keepLines w:val="0"/>
                    <w:suppressLineNumbers w:val="0"/>
                    <w:bidi w:val="0"/>
                    <w:spacing w:before="0" w:beforeAutospacing="0" w:after="0" w:afterAutospacing="0"/>
                    <w:ind w:left="0" w:right="0"/>
                    <w:jc w:val="center"/>
                    <w:rPr>
                      <w:rFonts w:hint="default" w:eastAsia="宋体"/>
                      <w:color w:val="auto"/>
                      <w:lang w:val="en-US" w:eastAsia="zh-CN"/>
                    </w:rPr>
                  </w:pPr>
                  <w:r>
                    <w:rPr>
                      <w:rFonts w:hint="eastAsia"/>
                      <w:color w:val="auto"/>
                      <w:lang w:val="en-US" w:eastAsia="zh-CN"/>
                    </w:rPr>
                    <w:t>16.77</w:t>
                  </w:r>
                </w:p>
              </w:tc>
            </w:tr>
          </w:tbl>
          <w:p w14:paraId="07AD084C">
            <w:pPr>
              <w:pStyle w:val="115"/>
              <w:bidi w:val="0"/>
              <w:ind w:left="0" w:leftChars="0" w:firstLine="0" w:firstLineChars="0"/>
              <w:jc w:val="both"/>
              <w:rPr>
                <w:color w:val="auto"/>
                <w:lang w:val="en-US" w:eastAsia="zh-CN"/>
              </w:rPr>
            </w:pPr>
          </w:p>
          <w:p w14:paraId="31E9F0B8">
            <w:pPr>
              <w:pStyle w:val="115"/>
              <w:keepNext w:val="0"/>
              <w:keepLines w:val="0"/>
              <w:pageBreakBefore w:val="0"/>
              <w:widowControl w:val="0"/>
              <w:kinsoku/>
              <w:wordWrap/>
              <w:overflowPunct/>
              <w:topLinePunct w:val="0"/>
              <w:autoSpaceDE w:val="0"/>
              <w:autoSpaceDN w:val="0"/>
              <w:bidi w:val="0"/>
              <w:adjustRightInd/>
              <w:snapToGrid/>
              <w:spacing w:line="240" w:lineRule="auto"/>
              <w:ind w:firstLine="0" w:firstLineChars="0"/>
              <w:textAlignment w:val="auto"/>
              <w:rPr>
                <w:color w:val="auto"/>
                <w:lang w:val="en-US" w:eastAsia="zh-CN"/>
              </w:rPr>
            </w:pPr>
            <w:r>
              <w:drawing>
                <wp:inline distT="0" distB="0" distL="114300" distR="114300">
                  <wp:extent cx="4925060" cy="3915410"/>
                  <wp:effectExtent l="0" t="0" r="8890" b="889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30"/>
                          <a:stretch>
                            <a:fillRect/>
                          </a:stretch>
                        </pic:blipFill>
                        <pic:spPr>
                          <a:xfrm>
                            <a:off x="0" y="0"/>
                            <a:ext cx="4925060" cy="3915410"/>
                          </a:xfrm>
                          <a:prstGeom prst="rect">
                            <a:avLst/>
                          </a:prstGeom>
                          <a:noFill/>
                          <a:ln>
                            <a:noFill/>
                          </a:ln>
                        </pic:spPr>
                      </pic:pic>
                    </a:graphicData>
                  </a:graphic>
                </wp:inline>
              </w:drawing>
            </w:r>
          </w:p>
          <w:p w14:paraId="25C56502">
            <w:pPr>
              <w:pStyle w:val="115"/>
              <w:bidi w:val="0"/>
              <w:rPr>
                <w:color w:val="auto"/>
              </w:rPr>
            </w:pPr>
            <w:r>
              <w:rPr>
                <w:color w:val="auto"/>
                <w:lang w:val="en-US" w:eastAsia="zh-CN"/>
              </w:rPr>
              <w:t>图</w:t>
            </w:r>
            <w:r>
              <w:rPr>
                <w:rFonts w:hint="default"/>
                <w:color w:val="auto"/>
                <w:lang w:val="en-US" w:eastAsia="zh-CN"/>
              </w:rPr>
              <w:t>5-2-</w:t>
            </w:r>
            <w:r>
              <w:rPr>
                <w:rFonts w:hint="eastAsia"/>
                <w:color w:val="auto"/>
                <w:lang w:val="en-US" w:eastAsia="zh-CN"/>
              </w:rPr>
              <w:t xml:space="preserve">61 </w:t>
            </w:r>
            <w:r>
              <w:rPr>
                <w:rFonts w:hint="default"/>
                <w:color w:val="auto"/>
                <w:lang w:val="en-US" w:eastAsia="zh-CN"/>
              </w:rPr>
              <w:t>噪声预测图</w:t>
            </w:r>
          </w:p>
          <w:p w14:paraId="6F85179D">
            <w:pPr>
              <w:pStyle w:val="84"/>
              <w:rPr>
                <w:b w:val="0"/>
                <w:bCs w:val="0"/>
                <w:color w:val="auto"/>
              </w:rPr>
            </w:pPr>
            <w:r>
              <w:rPr>
                <w:b w:val="0"/>
                <w:bCs w:val="0"/>
                <w:color w:val="auto"/>
              </w:rPr>
              <w:t>（</w:t>
            </w:r>
            <w:r>
              <w:rPr>
                <w:rFonts w:hint="eastAsia"/>
                <w:b w:val="0"/>
                <w:bCs w:val="0"/>
                <w:color w:val="auto"/>
                <w:lang w:val="en-US" w:eastAsia="zh-CN"/>
              </w:rPr>
              <w:t>四</w:t>
            </w:r>
            <w:r>
              <w:rPr>
                <w:b w:val="0"/>
                <w:bCs w:val="0"/>
                <w:color w:val="auto"/>
              </w:rPr>
              <w:t>）项目采取降噪措施</w:t>
            </w:r>
          </w:p>
          <w:p w14:paraId="502D4447">
            <w:pPr>
              <w:pStyle w:val="77"/>
              <w:rPr>
                <w:snapToGrid w:val="0"/>
                <w:color w:val="auto"/>
              </w:rPr>
            </w:pPr>
            <w:r>
              <w:rPr>
                <w:snapToGrid w:val="0"/>
                <w:color w:val="auto"/>
              </w:rPr>
              <w:t>本项目噪声源多为间断性噪声源，产生噪声的时段仅在白天。项目在设备上考虑选择低噪设备，主要噪声防治措施如下：</w:t>
            </w:r>
          </w:p>
          <w:p w14:paraId="48149E9C">
            <w:pPr>
              <w:pStyle w:val="77"/>
              <w:rPr>
                <w:snapToGrid w:val="0"/>
                <w:color w:val="auto"/>
              </w:rPr>
            </w:pPr>
            <w:r>
              <w:rPr>
                <w:rFonts w:hint="eastAsia" w:ascii="宋体" w:hAnsi="宋体" w:cs="宋体"/>
                <w:snapToGrid w:val="0"/>
                <w:color w:val="auto"/>
              </w:rPr>
              <w:t>①</w:t>
            </w:r>
            <w:r>
              <w:rPr>
                <w:snapToGrid w:val="0"/>
                <w:color w:val="auto"/>
              </w:rPr>
              <w:t>选择低噪声设备：选用满足国际标准的低噪声、低振动设备；除选择比较好的设备外一般还需要采取消声器、基础减振等措施进行综合降噪。</w:t>
            </w:r>
          </w:p>
          <w:p w14:paraId="5F27D8D6">
            <w:pPr>
              <w:pStyle w:val="77"/>
              <w:rPr>
                <w:snapToGrid w:val="0"/>
                <w:color w:val="auto"/>
              </w:rPr>
            </w:pPr>
            <w:r>
              <w:rPr>
                <w:rFonts w:hint="eastAsia" w:ascii="宋体" w:hAnsi="宋体" w:cs="宋体"/>
                <w:snapToGrid w:val="0"/>
                <w:color w:val="auto"/>
              </w:rPr>
              <w:t>②</w:t>
            </w:r>
            <w:r>
              <w:rPr>
                <w:snapToGrid w:val="0"/>
                <w:color w:val="auto"/>
              </w:rPr>
              <w:t>建筑物隔声：通过建筑物封闭隔声和房屋内壁铺设吸声材料吸声降噪，可降低噪声厂界值，减轻影响。</w:t>
            </w:r>
          </w:p>
          <w:p w14:paraId="50D1013F">
            <w:pPr>
              <w:pStyle w:val="77"/>
              <w:rPr>
                <w:snapToGrid w:val="0"/>
                <w:color w:val="auto"/>
              </w:rPr>
            </w:pPr>
            <w:r>
              <w:rPr>
                <w:rFonts w:hint="eastAsia" w:ascii="宋体" w:hAnsi="宋体" w:cs="宋体"/>
                <w:snapToGrid w:val="0"/>
                <w:color w:val="auto"/>
              </w:rPr>
              <w:t>③</w:t>
            </w:r>
            <w:r>
              <w:rPr>
                <w:snapToGrid w:val="0"/>
                <w:color w:val="auto"/>
              </w:rPr>
              <w:t>对设备进行日常维护，保障设备的正常运行，并且要求操作人员严格规范操作，防止因设备故障或者操作不当带来的额外噪声。</w:t>
            </w:r>
          </w:p>
          <w:p w14:paraId="565D69D1">
            <w:pPr>
              <w:pStyle w:val="77"/>
              <w:rPr>
                <w:snapToGrid w:val="0"/>
                <w:color w:val="FF0000"/>
              </w:rPr>
            </w:pPr>
            <w:r>
              <w:rPr>
                <w:snapToGrid w:val="0"/>
                <w:color w:val="auto"/>
              </w:rPr>
              <w:t>根据厂区整体布置对噪声设备进行合理布局，集中控制。本项目厂界噪声可满足《工业企业厂界环境噪声排放标准》（GB12348-2008）表1中2类标准的要求。</w:t>
            </w:r>
            <w:r>
              <w:rPr>
                <w:rFonts w:hint="eastAsia"/>
                <w:color w:val="FF0000"/>
                <w:lang w:val="en-US" w:eastAsia="zh-CN"/>
              </w:rPr>
              <w:t>通过采取选用低噪声设备、合理布局、基础减震、建筑物隔声、距离衰减后，敏感目标噪声可以满足《声环境质量标准》（GB3096-2008）2类区标准。</w:t>
            </w:r>
          </w:p>
          <w:p w14:paraId="79280F1C">
            <w:pPr>
              <w:pStyle w:val="84"/>
              <w:rPr>
                <w:snapToGrid w:val="0"/>
                <w:color w:val="auto"/>
              </w:rPr>
            </w:pPr>
            <w:r>
              <w:rPr>
                <w:snapToGrid w:val="0"/>
                <w:color w:val="auto"/>
              </w:rPr>
              <w:t>（三）噪声环境影响分析</w:t>
            </w:r>
          </w:p>
          <w:p w14:paraId="79AE47F7">
            <w:pPr>
              <w:pStyle w:val="77"/>
              <w:rPr>
                <w:rFonts w:hint="default" w:eastAsia="宋体"/>
                <w:color w:val="auto"/>
                <w:lang w:val="en-US" w:eastAsia="zh-CN"/>
              </w:rPr>
            </w:pPr>
            <w:r>
              <w:rPr>
                <w:rFonts w:hint="eastAsia"/>
                <w:color w:val="auto"/>
              </w:rPr>
              <w:t>本</w:t>
            </w:r>
            <w:r>
              <w:rPr>
                <w:color w:val="auto"/>
              </w:rPr>
              <w:t>项目运行期产生的噪声主要来源于车间设备运行时产生的噪声。通过优化平面布置，</w:t>
            </w:r>
            <w:r>
              <w:rPr>
                <w:color w:val="auto"/>
                <w:szCs w:val="21"/>
              </w:rPr>
              <w:t>选用低噪声设备，车间采用隔声门窗，建筑上采取隔声、吸声措施，振动较大的设备采取独立基础</w:t>
            </w:r>
            <w:r>
              <w:rPr>
                <w:rFonts w:hint="eastAsia"/>
                <w:color w:val="auto"/>
                <w:szCs w:val="21"/>
                <w:lang w:val="en-US" w:eastAsia="zh-CN"/>
              </w:rPr>
              <w:t>并</w:t>
            </w:r>
            <w:r>
              <w:rPr>
                <w:color w:val="auto"/>
              </w:rPr>
              <w:t>远离居民区</w:t>
            </w:r>
            <w:r>
              <w:rPr>
                <w:color w:val="auto"/>
                <w:szCs w:val="21"/>
              </w:rPr>
              <w:t>，设置减振器等措施，通过厂区距离衰减后对外环境影响较小</w:t>
            </w:r>
            <w:r>
              <w:rPr>
                <w:color w:val="auto"/>
              </w:rPr>
              <w:t>，项目产生的噪声可以被周围环境接受，厂界噪声可满足《工业企业厂界环境噪声排放标准》（GB12348-2008）表1中2类标准的要求。</w:t>
            </w:r>
          </w:p>
          <w:p w14:paraId="7AFDC7F3">
            <w:pPr>
              <w:pStyle w:val="84"/>
              <w:rPr>
                <w:color w:val="auto"/>
              </w:rPr>
            </w:pPr>
            <w:r>
              <w:rPr>
                <w:color w:val="auto"/>
              </w:rPr>
              <w:t>（四）监测要求</w:t>
            </w:r>
          </w:p>
          <w:p w14:paraId="03FA05D5">
            <w:pPr>
              <w:pStyle w:val="77"/>
              <w:rPr>
                <w:color w:val="auto"/>
              </w:rPr>
            </w:pPr>
            <w:r>
              <w:rPr>
                <w:color w:val="auto"/>
              </w:rPr>
              <w:t>根据《排污许可证申请与核发技术规范 废弃资源加工工业》（HJ1034-2019）、《排污单位自行监测技术指南 总则》（HJ 819-2017）及项目排污特点制定，针对本项目噪声排放情况，企业需定期委托有资质的单位进行监测，确保达标排放，减轻对周围环境的污染。具体监测计划见下表。</w:t>
            </w:r>
          </w:p>
          <w:p w14:paraId="142C21E7">
            <w:pPr>
              <w:pStyle w:val="78"/>
              <w:rPr>
                <w:color w:val="auto"/>
              </w:rPr>
            </w:pPr>
            <w:r>
              <w:rPr>
                <w:color w:val="auto"/>
              </w:rPr>
              <w:t>表4-</w:t>
            </w:r>
            <w:r>
              <w:rPr>
                <w:rFonts w:hint="eastAsia"/>
                <w:color w:val="auto"/>
                <w:lang w:val="en-US" w:eastAsia="zh-CN"/>
              </w:rPr>
              <w:t>7</w:t>
            </w:r>
            <w:r>
              <w:rPr>
                <w:color w:val="auto"/>
              </w:rPr>
              <w:t xml:space="preserve"> 噪声监测计划一览表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1168"/>
              <w:gridCol w:w="1198"/>
              <w:gridCol w:w="2776"/>
              <w:gridCol w:w="2606"/>
            </w:tblGrid>
            <w:tr w14:paraId="22A5FD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54" w:type="pct"/>
                  <w:vAlign w:val="center"/>
                </w:tcPr>
                <w:p w14:paraId="4B02B960">
                  <w:pPr>
                    <w:pStyle w:val="51"/>
                    <w:keepNext/>
                    <w:rPr>
                      <w:color w:val="auto"/>
                      <w:szCs w:val="21"/>
                      <w:lang w:val="zh-CN"/>
                    </w:rPr>
                  </w:pPr>
                  <w:r>
                    <w:rPr>
                      <w:color w:val="auto"/>
                      <w:szCs w:val="21"/>
                      <w:lang w:val="zh-CN"/>
                    </w:rPr>
                    <w:t>类别</w:t>
                  </w:r>
                </w:p>
              </w:tc>
              <w:tc>
                <w:tcPr>
                  <w:tcW w:w="773" w:type="pct"/>
                  <w:vAlign w:val="center"/>
                </w:tcPr>
                <w:p w14:paraId="4C0D4033">
                  <w:pPr>
                    <w:pStyle w:val="51"/>
                    <w:keepNext/>
                    <w:rPr>
                      <w:color w:val="auto"/>
                      <w:szCs w:val="21"/>
                      <w:lang w:val="zh-CN"/>
                    </w:rPr>
                  </w:pPr>
                  <w:r>
                    <w:rPr>
                      <w:color w:val="auto"/>
                      <w:szCs w:val="21"/>
                      <w:lang w:val="zh-CN"/>
                    </w:rPr>
                    <w:t>监测项目</w:t>
                  </w:r>
                </w:p>
              </w:tc>
              <w:tc>
                <w:tcPr>
                  <w:tcW w:w="1791" w:type="pct"/>
                  <w:vAlign w:val="center"/>
                </w:tcPr>
                <w:p w14:paraId="18A93282">
                  <w:pPr>
                    <w:pStyle w:val="51"/>
                    <w:keepNext/>
                    <w:rPr>
                      <w:color w:val="auto"/>
                      <w:szCs w:val="21"/>
                      <w:lang w:val="zh-CN"/>
                    </w:rPr>
                  </w:pPr>
                  <w:r>
                    <w:rPr>
                      <w:color w:val="auto"/>
                      <w:szCs w:val="21"/>
                      <w:lang w:val="zh-CN"/>
                    </w:rPr>
                    <w:t>监测点</w:t>
                  </w:r>
                </w:p>
              </w:tc>
              <w:tc>
                <w:tcPr>
                  <w:tcW w:w="1681" w:type="pct"/>
                  <w:vAlign w:val="center"/>
                </w:tcPr>
                <w:p w14:paraId="33D7D9AD">
                  <w:pPr>
                    <w:pStyle w:val="51"/>
                    <w:keepNext/>
                    <w:rPr>
                      <w:color w:val="auto"/>
                      <w:szCs w:val="21"/>
                      <w:lang w:val="zh-CN"/>
                    </w:rPr>
                  </w:pPr>
                  <w:r>
                    <w:rPr>
                      <w:color w:val="auto"/>
                      <w:szCs w:val="21"/>
                      <w:lang w:val="zh-CN"/>
                    </w:rPr>
                    <w:t>监测频率</w:t>
                  </w:r>
                </w:p>
              </w:tc>
            </w:tr>
            <w:tr w14:paraId="1AB296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 w:hRule="atLeast"/>
                <w:jc w:val="center"/>
              </w:trPr>
              <w:tc>
                <w:tcPr>
                  <w:tcW w:w="754" w:type="pct"/>
                  <w:vAlign w:val="center"/>
                </w:tcPr>
                <w:p w14:paraId="67D86F79">
                  <w:pPr>
                    <w:pStyle w:val="51"/>
                    <w:keepNext/>
                    <w:rPr>
                      <w:color w:val="auto"/>
                      <w:szCs w:val="21"/>
                      <w:lang w:val="zh-CN"/>
                    </w:rPr>
                  </w:pPr>
                  <w:r>
                    <w:rPr>
                      <w:color w:val="auto"/>
                      <w:szCs w:val="21"/>
                      <w:lang w:val="zh-CN"/>
                    </w:rPr>
                    <w:t>噪声</w:t>
                  </w:r>
                </w:p>
              </w:tc>
              <w:tc>
                <w:tcPr>
                  <w:tcW w:w="773" w:type="pct"/>
                  <w:vAlign w:val="center"/>
                </w:tcPr>
                <w:p w14:paraId="32931C97">
                  <w:pPr>
                    <w:pStyle w:val="51"/>
                    <w:keepNext/>
                    <w:rPr>
                      <w:color w:val="auto"/>
                      <w:szCs w:val="21"/>
                      <w:lang w:val="zh-CN"/>
                    </w:rPr>
                  </w:pPr>
                  <w:r>
                    <w:rPr>
                      <w:color w:val="auto"/>
                      <w:szCs w:val="21"/>
                      <w:lang w:val="zh-CN"/>
                    </w:rPr>
                    <w:t>Leq</w:t>
                  </w:r>
                </w:p>
              </w:tc>
              <w:tc>
                <w:tcPr>
                  <w:tcW w:w="1791" w:type="pct"/>
                  <w:vAlign w:val="center"/>
                </w:tcPr>
                <w:p w14:paraId="2FAC5682">
                  <w:pPr>
                    <w:pStyle w:val="51"/>
                    <w:keepNext/>
                    <w:rPr>
                      <w:color w:val="auto"/>
                      <w:szCs w:val="21"/>
                      <w:lang w:val="zh-CN"/>
                    </w:rPr>
                  </w:pPr>
                  <w:r>
                    <w:rPr>
                      <w:color w:val="auto"/>
                      <w:szCs w:val="21"/>
                      <w:lang w:val="zh-CN"/>
                    </w:rPr>
                    <w:t>厂界外</w:t>
                  </w:r>
                  <w:r>
                    <w:rPr>
                      <w:rFonts w:hint="eastAsia"/>
                      <w:color w:val="auto"/>
                      <w:szCs w:val="21"/>
                      <w:lang w:val="en-US" w:eastAsia="zh-CN"/>
                    </w:rPr>
                    <w:t>四周</w:t>
                  </w:r>
                  <w:r>
                    <w:rPr>
                      <w:color w:val="auto"/>
                      <w:szCs w:val="21"/>
                      <w:lang w:val="zh-CN"/>
                    </w:rPr>
                    <w:t>1m处</w:t>
                  </w:r>
                </w:p>
              </w:tc>
              <w:tc>
                <w:tcPr>
                  <w:tcW w:w="1681" w:type="pct"/>
                  <w:vAlign w:val="center"/>
                </w:tcPr>
                <w:p w14:paraId="28E0DF85">
                  <w:pPr>
                    <w:pStyle w:val="51"/>
                    <w:keepNext/>
                    <w:rPr>
                      <w:rFonts w:hint="eastAsia" w:eastAsia="宋体"/>
                      <w:color w:val="auto"/>
                      <w:szCs w:val="21"/>
                      <w:lang w:val="zh-CN" w:eastAsia="zh-CN"/>
                    </w:rPr>
                  </w:pPr>
                  <w:r>
                    <w:rPr>
                      <w:color w:val="auto"/>
                      <w:szCs w:val="21"/>
                    </w:rPr>
                    <w:t>1次/季度</w:t>
                  </w:r>
                  <w:r>
                    <w:rPr>
                      <w:rFonts w:hint="eastAsia"/>
                      <w:color w:val="auto"/>
                      <w:szCs w:val="21"/>
                      <w:lang w:eastAsia="zh-CN"/>
                    </w:rPr>
                    <w:t>，每次连续1天，昼间监测一次</w:t>
                  </w:r>
                </w:p>
              </w:tc>
            </w:tr>
          </w:tbl>
          <w:p w14:paraId="7AF125CC">
            <w:pPr>
              <w:pStyle w:val="84"/>
              <w:rPr>
                <w:color w:val="auto"/>
              </w:rPr>
            </w:pPr>
            <w:r>
              <w:rPr>
                <w:color w:val="auto"/>
              </w:rPr>
              <w:t>四、固体废物</w:t>
            </w:r>
          </w:p>
          <w:p w14:paraId="15C6FF66">
            <w:pPr>
              <w:pStyle w:val="77"/>
              <w:rPr>
                <w:color w:val="auto"/>
              </w:rPr>
            </w:pPr>
            <w:r>
              <w:rPr>
                <w:color w:val="auto"/>
              </w:rPr>
              <w:t>固体废物主要为职工生活垃圾、一般固体废物（</w:t>
            </w:r>
            <w:r>
              <w:rPr>
                <w:rFonts w:hint="eastAsia"/>
                <w:color w:val="auto"/>
                <w:lang w:eastAsia="zh-CN"/>
              </w:rPr>
              <w:t>移动式布袋除尘器</w:t>
            </w:r>
            <w:r>
              <w:rPr>
                <w:color w:val="auto"/>
              </w:rPr>
              <w:t>收尘</w:t>
            </w:r>
            <w:r>
              <w:rPr>
                <w:rFonts w:hint="eastAsia"/>
                <w:color w:val="auto"/>
              </w:rPr>
              <w:t>，</w:t>
            </w:r>
            <w:r>
              <w:rPr>
                <w:color w:val="auto"/>
              </w:rPr>
              <w:t>废电子电器部件</w:t>
            </w:r>
            <w:r>
              <w:rPr>
                <w:rFonts w:hint="eastAsia"/>
                <w:color w:val="auto"/>
              </w:rPr>
              <w:t>，</w:t>
            </w:r>
            <w:r>
              <w:rPr>
                <w:color w:val="auto"/>
              </w:rPr>
              <w:t>不可利用废物</w:t>
            </w:r>
            <w:r>
              <w:rPr>
                <w:rFonts w:hint="eastAsia"/>
                <w:color w:val="auto"/>
              </w:rPr>
              <w:t>，</w:t>
            </w:r>
            <w:r>
              <w:rPr>
                <w:rFonts w:hint="eastAsia"/>
                <w:color w:val="auto"/>
                <w:lang w:val="en-US" w:eastAsia="zh-CN"/>
              </w:rPr>
              <w:t>泥土</w:t>
            </w:r>
            <w:r>
              <w:rPr>
                <w:color w:val="auto"/>
              </w:rPr>
              <w:t>）和危险废物（</w:t>
            </w:r>
            <w:r>
              <w:rPr>
                <w:bCs/>
                <w:color w:val="auto"/>
              </w:rPr>
              <w:t>废蓄电池，废油液，废防冻液，废电容器</w:t>
            </w:r>
            <w:r>
              <w:rPr>
                <w:rFonts w:hint="eastAsia"/>
                <w:bCs/>
                <w:color w:val="auto"/>
                <w:lang w:eastAsia="zh-CN"/>
              </w:rPr>
              <w:t>，</w:t>
            </w:r>
            <w:r>
              <w:rPr>
                <w:rFonts w:hint="eastAsia"/>
                <w:bCs/>
                <w:color w:val="auto"/>
                <w:lang w:val="en-US" w:eastAsia="zh-CN"/>
              </w:rPr>
              <w:t>废活性炭，</w:t>
            </w:r>
            <w:r>
              <w:rPr>
                <w:bCs/>
                <w:color w:val="auto"/>
              </w:rPr>
              <w:t>沾有油污的手套、抹布、废墩布</w:t>
            </w:r>
            <w:r>
              <w:rPr>
                <w:rFonts w:hint="eastAsia"/>
                <w:bCs/>
                <w:color w:val="auto"/>
                <w:lang w:eastAsia="zh-CN"/>
              </w:rPr>
              <w:t>，</w:t>
            </w:r>
            <w:r>
              <w:rPr>
                <w:rFonts w:hint="eastAsia"/>
                <w:bCs/>
                <w:color w:val="auto"/>
                <w:lang w:val="en-US" w:eastAsia="zh-CN"/>
              </w:rPr>
              <w:t>石棉废物</w:t>
            </w:r>
            <w:r>
              <w:rPr>
                <w:color w:val="auto"/>
              </w:rPr>
              <w:t>）等。</w:t>
            </w:r>
          </w:p>
          <w:p w14:paraId="03CC0421">
            <w:pPr>
              <w:pStyle w:val="84"/>
              <w:rPr>
                <w:color w:val="auto"/>
              </w:rPr>
            </w:pPr>
            <w:r>
              <w:rPr>
                <w:color w:val="auto"/>
              </w:rPr>
              <w:t>（一）生活垃圾</w:t>
            </w:r>
          </w:p>
          <w:p w14:paraId="15E3B0ED">
            <w:pPr>
              <w:pStyle w:val="77"/>
              <w:rPr>
                <w:color w:val="auto"/>
              </w:rPr>
            </w:pPr>
            <w:r>
              <w:rPr>
                <w:color w:val="auto"/>
              </w:rPr>
              <w:t>本项目职工有</w:t>
            </w:r>
            <w:r>
              <w:rPr>
                <w:rFonts w:hint="eastAsia"/>
                <w:color w:val="auto"/>
                <w:lang w:val="en-US" w:eastAsia="zh-CN"/>
              </w:rPr>
              <w:t>5人</w:t>
            </w:r>
            <w:r>
              <w:rPr>
                <w:color w:val="auto"/>
              </w:rPr>
              <w:t>，生活垃圾按0.5kg/人 天计算，产生量为0.00</w:t>
            </w:r>
            <w:r>
              <w:rPr>
                <w:rFonts w:hint="eastAsia"/>
                <w:color w:val="auto"/>
                <w:lang w:val="en-US" w:eastAsia="zh-CN"/>
              </w:rPr>
              <w:t>5</w:t>
            </w:r>
            <w:r>
              <w:rPr>
                <w:color w:val="auto"/>
              </w:rPr>
              <w:t>t/d，</w:t>
            </w:r>
            <w:r>
              <w:rPr>
                <w:rFonts w:hint="eastAsia"/>
                <w:color w:val="auto"/>
                <w:lang w:val="en-US" w:eastAsia="zh-CN"/>
              </w:rPr>
              <w:t>1.5</w:t>
            </w:r>
            <w:r>
              <w:rPr>
                <w:color w:val="auto"/>
              </w:rPr>
              <w:t>t/a。集中收集，由市政环卫部门统一清运处理。</w:t>
            </w:r>
          </w:p>
          <w:p w14:paraId="198AB64B">
            <w:pPr>
              <w:pStyle w:val="84"/>
              <w:rPr>
                <w:color w:val="auto"/>
              </w:rPr>
            </w:pPr>
            <w:r>
              <w:rPr>
                <w:color w:val="auto"/>
              </w:rPr>
              <w:t>（二）一般固体废物</w:t>
            </w:r>
          </w:p>
          <w:p w14:paraId="706E696D">
            <w:pPr>
              <w:pStyle w:val="77"/>
              <w:rPr>
                <w:color w:val="auto"/>
              </w:rPr>
            </w:pPr>
            <w:r>
              <w:rPr>
                <w:rFonts w:hint="eastAsia" w:ascii="宋体" w:hAnsi="宋体" w:cs="宋体"/>
                <w:color w:val="auto"/>
              </w:rPr>
              <w:t>①</w:t>
            </w:r>
            <w:r>
              <w:rPr>
                <w:rFonts w:hint="eastAsia"/>
                <w:color w:val="auto"/>
                <w:lang w:eastAsia="zh-CN"/>
              </w:rPr>
              <w:t>移动式布袋除尘器</w:t>
            </w:r>
            <w:r>
              <w:rPr>
                <w:color w:val="auto"/>
              </w:rPr>
              <w:t>收尘</w:t>
            </w:r>
          </w:p>
          <w:p w14:paraId="6B936436">
            <w:pPr>
              <w:pStyle w:val="77"/>
              <w:rPr>
                <w:color w:val="auto"/>
              </w:rPr>
            </w:pPr>
            <w:r>
              <w:rPr>
                <w:color w:val="auto"/>
              </w:rPr>
              <w:t>本项目在切割工位净化处理过程中，</w:t>
            </w:r>
            <w:r>
              <w:rPr>
                <w:color w:val="auto"/>
                <w:szCs w:val="21"/>
              </w:rPr>
              <w:t>移动式</w:t>
            </w:r>
            <w:r>
              <w:rPr>
                <w:rFonts w:hint="eastAsia"/>
                <w:color w:val="auto"/>
                <w:szCs w:val="21"/>
              </w:rPr>
              <w:t>布袋除尘器</w:t>
            </w:r>
            <w:r>
              <w:rPr>
                <w:color w:val="auto"/>
              </w:rPr>
              <w:t>会收集一定量的粉尘，主要成分为金属尘，收尘量约为0.</w:t>
            </w:r>
            <w:r>
              <w:rPr>
                <w:rFonts w:hint="eastAsia"/>
                <w:color w:val="auto"/>
                <w:lang w:val="en-US" w:eastAsia="zh-CN"/>
              </w:rPr>
              <w:t>0099</w:t>
            </w:r>
            <w:r>
              <w:rPr>
                <w:color w:val="auto"/>
              </w:rPr>
              <w:t>t/a，集中收集，外售综合利用。</w:t>
            </w:r>
          </w:p>
          <w:p w14:paraId="7126F8B8">
            <w:pPr>
              <w:pStyle w:val="77"/>
              <w:rPr>
                <w:color w:val="auto"/>
              </w:rPr>
            </w:pPr>
            <w:r>
              <w:rPr>
                <w:rFonts w:hint="eastAsia" w:ascii="宋体" w:hAnsi="宋体" w:cs="宋体"/>
                <w:color w:val="auto"/>
              </w:rPr>
              <w:t>②</w:t>
            </w:r>
            <w:r>
              <w:rPr>
                <w:color w:val="auto"/>
              </w:rPr>
              <w:t>废电子电器部件</w:t>
            </w:r>
          </w:p>
          <w:p w14:paraId="1EE82E99">
            <w:pPr>
              <w:pStyle w:val="77"/>
              <w:rPr>
                <w:color w:val="auto"/>
              </w:rPr>
            </w:pPr>
            <w:r>
              <w:rPr>
                <w:color w:val="auto"/>
              </w:rPr>
              <w:t>本项目报废农业机械拆解过程中产生的各种电子电器部件产生量为</w:t>
            </w:r>
            <w:r>
              <w:rPr>
                <w:rFonts w:hint="eastAsia"/>
                <w:color w:val="auto"/>
                <w:lang w:val="en-US" w:eastAsia="zh-CN"/>
              </w:rPr>
              <w:t>150</w:t>
            </w:r>
            <w:r>
              <w:rPr>
                <w:color w:val="auto"/>
              </w:rPr>
              <w:t>t/a，包括仪表盘、电动机和发电机、电线电缆以及其他电子电器，不再进一步拆解，不属于危险废物，根据《电子废物污染环境防治管理办法》（2008年2月1日），应交由有废弃电子产品处理资格的企业进行处置。</w:t>
            </w:r>
          </w:p>
          <w:p w14:paraId="03CBD03D">
            <w:pPr>
              <w:pStyle w:val="77"/>
              <w:rPr>
                <w:color w:val="auto"/>
              </w:rPr>
            </w:pPr>
            <w:r>
              <w:rPr>
                <w:rFonts w:hint="eastAsia" w:ascii="宋体" w:hAnsi="宋体" w:cs="宋体"/>
                <w:color w:val="auto"/>
              </w:rPr>
              <w:t>③</w:t>
            </w:r>
            <w:r>
              <w:rPr>
                <w:color w:val="auto"/>
              </w:rPr>
              <w:t>不可利用废物</w:t>
            </w:r>
          </w:p>
          <w:p w14:paraId="4E370C07">
            <w:pPr>
              <w:pStyle w:val="77"/>
              <w:rPr>
                <w:color w:val="auto"/>
              </w:rPr>
            </w:pPr>
            <w:r>
              <w:rPr>
                <w:color w:val="auto"/>
              </w:rPr>
              <w:t>主要为废棉、麻织物、废海绵、废皮革等，产生量为</w:t>
            </w:r>
            <w:r>
              <w:rPr>
                <w:rFonts w:hint="eastAsia"/>
                <w:color w:val="auto"/>
                <w:lang w:val="en-US" w:eastAsia="zh-CN"/>
              </w:rPr>
              <w:t>960</w:t>
            </w:r>
            <w:r>
              <w:rPr>
                <w:color w:val="auto"/>
              </w:rPr>
              <w:t>t/a，集中收集，由市政部门统一清运。</w:t>
            </w:r>
          </w:p>
          <w:p w14:paraId="7F04E7D0">
            <w:pPr>
              <w:pStyle w:val="77"/>
              <w:rPr>
                <w:rFonts w:hint="eastAsia"/>
                <w:color w:val="auto"/>
              </w:rPr>
            </w:pPr>
            <w:r>
              <w:rPr>
                <w:rFonts w:hint="eastAsia"/>
                <w:color w:val="auto"/>
              </w:rPr>
              <w:t>④泥土</w:t>
            </w:r>
          </w:p>
          <w:p w14:paraId="0ECBFF94">
            <w:pPr>
              <w:pStyle w:val="77"/>
              <w:rPr>
                <w:color w:val="auto"/>
              </w:rPr>
            </w:pPr>
            <w:r>
              <w:rPr>
                <w:rFonts w:hint="eastAsia"/>
                <w:color w:val="auto"/>
              </w:rPr>
              <w:t>本项目拆解前需要对报废农业机动车进行清洁处理，去除机械外部的非原机所属的覆盖物，覆盖物主要为泥土，产生的量约为</w:t>
            </w:r>
            <w:r>
              <w:rPr>
                <w:rFonts w:hint="eastAsia"/>
                <w:color w:val="auto"/>
                <w:lang w:val="en-US" w:eastAsia="zh-CN"/>
              </w:rPr>
              <w:t>1</w:t>
            </w:r>
            <w:r>
              <w:rPr>
                <w:rFonts w:hint="eastAsia"/>
                <w:color w:val="auto"/>
              </w:rPr>
              <w:t>t/a，集中收集，由市政环卫部门统一清运处理。</w:t>
            </w:r>
          </w:p>
          <w:p w14:paraId="39CC51D0">
            <w:pPr>
              <w:pStyle w:val="78"/>
              <w:rPr>
                <w:color w:val="auto"/>
              </w:rPr>
            </w:pPr>
            <w:r>
              <w:rPr>
                <w:color w:val="auto"/>
              </w:rPr>
              <w:t>表4-</w:t>
            </w:r>
            <w:r>
              <w:rPr>
                <w:rFonts w:hint="eastAsia"/>
                <w:color w:val="auto"/>
                <w:lang w:val="en-US" w:eastAsia="zh-CN"/>
              </w:rPr>
              <w:t>8</w:t>
            </w:r>
            <w:r>
              <w:rPr>
                <w:color w:val="auto"/>
              </w:rPr>
              <w:t xml:space="preserve"> 本项目一般固体废物一览表</w:t>
            </w:r>
          </w:p>
          <w:tbl>
            <w:tblPr>
              <w:tblStyle w:val="20"/>
              <w:tblW w:w="5000" w:type="pct"/>
              <w:tblInd w:w="0"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34"/>
              <w:gridCol w:w="2516"/>
              <w:gridCol w:w="1315"/>
              <w:gridCol w:w="1169"/>
              <w:gridCol w:w="2014"/>
            </w:tblGrid>
            <w:tr w14:paraId="56901C8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34" w:type="dxa"/>
                  <w:vAlign w:val="center"/>
                </w:tcPr>
                <w:p w14:paraId="5CD8DC9C">
                  <w:pPr>
                    <w:pStyle w:val="51"/>
                    <w:rPr>
                      <w:color w:val="auto"/>
                      <w:szCs w:val="21"/>
                    </w:rPr>
                  </w:pPr>
                  <w:r>
                    <w:rPr>
                      <w:color w:val="auto"/>
                      <w:szCs w:val="21"/>
                    </w:rPr>
                    <w:t>序号</w:t>
                  </w:r>
                </w:p>
              </w:tc>
              <w:tc>
                <w:tcPr>
                  <w:tcW w:w="2517" w:type="dxa"/>
                  <w:vAlign w:val="center"/>
                </w:tcPr>
                <w:p w14:paraId="025A2BD5">
                  <w:pPr>
                    <w:pStyle w:val="51"/>
                    <w:rPr>
                      <w:color w:val="auto"/>
                      <w:szCs w:val="21"/>
                    </w:rPr>
                  </w:pPr>
                  <w:r>
                    <w:rPr>
                      <w:color w:val="auto"/>
                    </w:rPr>
                    <w:t>一般固体废物</w:t>
                  </w:r>
                  <w:r>
                    <w:rPr>
                      <w:color w:val="auto"/>
                      <w:szCs w:val="21"/>
                    </w:rPr>
                    <w:t>名称</w:t>
                  </w:r>
                </w:p>
              </w:tc>
              <w:tc>
                <w:tcPr>
                  <w:tcW w:w="1315" w:type="dxa"/>
                  <w:vAlign w:val="center"/>
                </w:tcPr>
                <w:p w14:paraId="527E6197">
                  <w:pPr>
                    <w:pStyle w:val="51"/>
                    <w:rPr>
                      <w:color w:val="auto"/>
                      <w:szCs w:val="21"/>
                    </w:rPr>
                  </w:pPr>
                  <w:r>
                    <w:rPr>
                      <w:color w:val="auto"/>
                      <w:szCs w:val="21"/>
                    </w:rPr>
                    <w:t>代码</w:t>
                  </w:r>
                </w:p>
              </w:tc>
              <w:tc>
                <w:tcPr>
                  <w:tcW w:w="1169" w:type="dxa"/>
                  <w:vAlign w:val="center"/>
                </w:tcPr>
                <w:p w14:paraId="4B3D3EF4">
                  <w:pPr>
                    <w:pStyle w:val="51"/>
                    <w:rPr>
                      <w:color w:val="auto"/>
                      <w:szCs w:val="21"/>
                    </w:rPr>
                  </w:pPr>
                  <w:r>
                    <w:rPr>
                      <w:color w:val="auto"/>
                      <w:szCs w:val="21"/>
                    </w:rPr>
                    <w:t>产生量t/a</w:t>
                  </w:r>
                </w:p>
              </w:tc>
              <w:tc>
                <w:tcPr>
                  <w:tcW w:w="2014" w:type="dxa"/>
                  <w:vAlign w:val="center"/>
                </w:tcPr>
                <w:p w14:paraId="379F1D32">
                  <w:pPr>
                    <w:pStyle w:val="51"/>
                    <w:rPr>
                      <w:color w:val="auto"/>
                      <w:szCs w:val="21"/>
                    </w:rPr>
                  </w:pPr>
                  <w:r>
                    <w:rPr>
                      <w:color w:val="auto"/>
                      <w:szCs w:val="21"/>
                    </w:rPr>
                    <w:t>处置方式</w:t>
                  </w:r>
                </w:p>
              </w:tc>
            </w:tr>
            <w:tr w14:paraId="52CCBD9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34" w:type="dxa"/>
                  <w:vAlign w:val="center"/>
                </w:tcPr>
                <w:p w14:paraId="3C6584EF">
                  <w:pPr>
                    <w:pStyle w:val="51"/>
                    <w:rPr>
                      <w:color w:val="auto"/>
                      <w:szCs w:val="21"/>
                    </w:rPr>
                  </w:pPr>
                  <w:r>
                    <w:rPr>
                      <w:color w:val="auto"/>
                      <w:szCs w:val="21"/>
                    </w:rPr>
                    <w:t>1</w:t>
                  </w:r>
                </w:p>
              </w:tc>
              <w:tc>
                <w:tcPr>
                  <w:tcW w:w="2517" w:type="dxa"/>
                  <w:vAlign w:val="center"/>
                </w:tcPr>
                <w:p w14:paraId="1CD7400C">
                  <w:pPr>
                    <w:pStyle w:val="51"/>
                    <w:rPr>
                      <w:color w:val="auto"/>
                      <w:szCs w:val="21"/>
                    </w:rPr>
                  </w:pPr>
                  <w:r>
                    <w:rPr>
                      <w:rFonts w:hint="eastAsia"/>
                      <w:bCs/>
                      <w:color w:val="auto"/>
                      <w:szCs w:val="21"/>
                      <w:lang w:eastAsia="zh-CN"/>
                    </w:rPr>
                    <w:t>移动式布袋除尘器</w:t>
                  </w:r>
                  <w:r>
                    <w:rPr>
                      <w:bCs/>
                      <w:color w:val="auto"/>
                      <w:szCs w:val="21"/>
                    </w:rPr>
                    <w:t>收尘</w:t>
                  </w:r>
                </w:p>
              </w:tc>
              <w:tc>
                <w:tcPr>
                  <w:tcW w:w="1315" w:type="dxa"/>
                  <w:vAlign w:val="center"/>
                </w:tcPr>
                <w:p w14:paraId="3174BD96">
                  <w:pPr>
                    <w:pStyle w:val="51"/>
                    <w:rPr>
                      <w:color w:val="auto"/>
                    </w:rPr>
                  </w:pPr>
                  <w:r>
                    <w:rPr>
                      <w:rFonts w:hint="eastAsia"/>
                      <w:color w:val="auto"/>
                    </w:rPr>
                    <w:t>900-006-S62</w:t>
                  </w:r>
                </w:p>
              </w:tc>
              <w:tc>
                <w:tcPr>
                  <w:tcW w:w="1169" w:type="dxa"/>
                  <w:vAlign w:val="center"/>
                </w:tcPr>
                <w:p w14:paraId="685A06B4">
                  <w:pPr>
                    <w:pStyle w:val="51"/>
                    <w:rPr>
                      <w:rFonts w:hint="default" w:eastAsia="宋体"/>
                      <w:color w:val="auto"/>
                      <w:lang w:val="en-US" w:eastAsia="zh-CN"/>
                    </w:rPr>
                  </w:pPr>
                  <w:r>
                    <w:rPr>
                      <w:color w:val="auto"/>
                    </w:rPr>
                    <w:t>0.</w:t>
                  </w:r>
                  <w:r>
                    <w:rPr>
                      <w:rFonts w:hint="eastAsia"/>
                      <w:color w:val="auto"/>
                      <w:lang w:val="en-US" w:eastAsia="zh-CN"/>
                    </w:rPr>
                    <w:t>0099</w:t>
                  </w:r>
                </w:p>
              </w:tc>
              <w:tc>
                <w:tcPr>
                  <w:tcW w:w="2014" w:type="dxa"/>
                  <w:vAlign w:val="center"/>
                </w:tcPr>
                <w:p w14:paraId="56AA9DAD">
                  <w:pPr>
                    <w:pStyle w:val="51"/>
                    <w:jc w:val="both"/>
                    <w:rPr>
                      <w:rFonts w:hint="eastAsia" w:eastAsia="宋体"/>
                      <w:color w:val="auto"/>
                      <w:lang w:eastAsia="zh-CN"/>
                    </w:rPr>
                  </w:pPr>
                  <w:r>
                    <w:rPr>
                      <w:color w:val="auto"/>
                    </w:rPr>
                    <w:t>集中收集，外售综合利用</w:t>
                  </w:r>
                  <w:r>
                    <w:rPr>
                      <w:rFonts w:hint="eastAsia"/>
                      <w:color w:val="auto"/>
                      <w:lang w:eastAsia="zh-CN"/>
                    </w:rPr>
                    <w:t>。</w:t>
                  </w:r>
                </w:p>
              </w:tc>
            </w:tr>
            <w:tr w14:paraId="64C6C91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 w:hRule="atLeast"/>
              </w:trPr>
              <w:tc>
                <w:tcPr>
                  <w:tcW w:w="734" w:type="dxa"/>
                  <w:vAlign w:val="center"/>
                </w:tcPr>
                <w:p w14:paraId="131D7F23">
                  <w:pPr>
                    <w:pStyle w:val="51"/>
                    <w:rPr>
                      <w:color w:val="auto"/>
                      <w:szCs w:val="21"/>
                    </w:rPr>
                  </w:pPr>
                  <w:r>
                    <w:rPr>
                      <w:color w:val="auto"/>
                      <w:szCs w:val="21"/>
                    </w:rPr>
                    <w:t>2</w:t>
                  </w:r>
                </w:p>
              </w:tc>
              <w:tc>
                <w:tcPr>
                  <w:tcW w:w="2517" w:type="dxa"/>
                  <w:vAlign w:val="center"/>
                </w:tcPr>
                <w:p w14:paraId="1D8AB062">
                  <w:pPr>
                    <w:pStyle w:val="51"/>
                    <w:rPr>
                      <w:bCs/>
                      <w:color w:val="auto"/>
                      <w:szCs w:val="21"/>
                    </w:rPr>
                  </w:pPr>
                  <w:r>
                    <w:rPr>
                      <w:color w:val="auto"/>
                      <w:szCs w:val="21"/>
                    </w:rPr>
                    <w:t>废电子电器部件</w:t>
                  </w:r>
                </w:p>
              </w:tc>
              <w:tc>
                <w:tcPr>
                  <w:tcW w:w="1315" w:type="dxa"/>
                  <w:vAlign w:val="center"/>
                </w:tcPr>
                <w:p w14:paraId="79B88FFA">
                  <w:pPr>
                    <w:pStyle w:val="51"/>
                    <w:rPr>
                      <w:color w:val="auto"/>
                    </w:rPr>
                  </w:pPr>
                  <w:r>
                    <w:rPr>
                      <w:rFonts w:hint="eastAsia"/>
                      <w:color w:val="auto"/>
                    </w:rPr>
                    <w:t>900-006-S62</w:t>
                  </w:r>
                </w:p>
              </w:tc>
              <w:tc>
                <w:tcPr>
                  <w:tcW w:w="1169" w:type="dxa"/>
                  <w:vAlign w:val="center"/>
                </w:tcPr>
                <w:p w14:paraId="7DB22C1A">
                  <w:pPr>
                    <w:pStyle w:val="51"/>
                    <w:rPr>
                      <w:rFonts w:hint="default" w:eastAsia="宋体"/>
                      <w:color w:val="auto"/>
                      <w:lang w:val="en-US" w:eastAsia="zh-CN"/>
                    </w:rPr>
                  </w:pPr>
                  <w:r>
                    <w:rPr>
                      <w:rFonts w:hint="eastAsia"/>
                      <w:color w:val="auto"/>
                      <w:szCs w:val="21"/>
                      <w:lang w:val="en-US" w:eastAsia="zh-CN"/>
                    </w:rPr>
                    <w:t>150</w:t>
                  </w:r>
                </w:p>
              </w:tc>
              <w:tc>
                <w:tcPr>
                  <w:tcW w:w="2014" w:type="dxa"/>
                  <w:vAlign w:val="center"/>
                </w:tcPr>
                <w:p w14:paraId="5DE3CED2">
                  <w:pPr>
                    <w:pStyle w:val="51"/>
                    <w:jc w:val="both"/>
                    <w:rPr>
                      <w:rFonts w:hint="eastAsia" w:eastAsia="宋体"/>
                      <w:color w:val="auto"/>
                      <w:lang w:eastAsia="zh-CN"/>
                    </w:rPr>
                  </w:pPr>
                  <w:r>
                    <w:rPr>
                      <w:color w:val="auto"/>
                    </w:rPr>
                    <w:t>交由有废弃电子产品处理资格的企业进行处置</w:t>
                  </w:r>
                  <w:r>
                    <w:rPr>
                      <w:rFonts w:hint="eastAsia"/>
                      <w:color w:val="auto"/>
                      <w:lang w:eastAsia="zh-CN"/>
                    </w:rPr>
                    <w:t>。</w:t>
                  </w:r>
                </w:p>
              </w:tc>
            </w:tr>
            <w:tr w14:paraId="13683C0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34" w:type="dxa"/>
                  <w:vAlign w:val="center"/>
                </w:tcPr>
                <w:p w14:paraId="1B60C1B4">
                  <w:pPr>
                    <w:pStyle w:val="51"/>
                    <w:rPr>
                      <w:color w:val="auto"/>
                      <w:szCs w:val="21"/>
                    </w:rPr>
                  </w:pPr>
                  <w:r>
                    <w:rPr>
                      <w:color w:val="auto"/>
                      <w:szCs w:val="21"/>
                    </w:rPr>
                    <w:t>3</w:t>
                  </w:r>
                </w:p>
              </w:tc>
              <w:tc>
                <w:tcPr>
                  <w:tcW w:w="2517" w:type="dxa"/>
                  <w:vAlign w:val="center"/>
                </w:tcPr>
                <w:p w14:paraId="66A41809">
                  <w:pPr>
                    <w:pStyle w:val="51"/>
                    <w:rPr>
                      <w:color w:val="auto"/>
                      <w:szCs w:val="21"/>
                    </w:rPr>
                  </w:pPr>
                  <w:r>
                    <w:rPr>
                      <w:color w:val="auto"/>
                      <w:szCs w:val="21"/>
                    </w:rPr>
                    <w:t>不可利用废物</w:t>
                  </w:r>
                </w:p>
              </w:tc>
              <w:tc>
                <w:tcPr>
                  <w:tcW w:w="1315" w:type="dxa"/>
                  <w:vAlign w:val="center"/>
                </w:tcPr>
                <w:p w14:paraId="0BF310C5">
                  <w:pPr>
                    <w:pStyle w:val="51"/>
                    <w:rPr>
                      <w:rFonts w:hint="eastAsia"/>
                      <w:color w:val="auto"/>
                    </w:rPr>
                  </w:pPr>
                  <w:r>
                    <w:rPr>
                      <w:rFonts w:hint="eastAsia"/>
                      <w:color w:val="auto"/>
                    </w:rPr>
                    <w:t>900-005-S62</w:t>
                  </w:r>
                </w:p>
                <w:p w14:paraId="3B6E2115">
                  <w:pPr>
                    <w:pStyle w:val="51"/>
                    <w:rPr>
                      <w:color w:val="auto"/>
                    </w:rPr>
                  </w:pPr>
                  <w:r>
                    <w:rPr>
                      <w:rFonts w:hint="eastAsia"/>
                      <w:color w:val="auto"/>
                    </w:rPr>
                    <w:t xml:space="preserve">900-002-S62 </w:t>
                  </w:r>
                </w:p>
              </w:tc>
              <w:tc>
                <w:tcPr>
                  <w:tcW w:w="1169" w:type="dxa"/>
                  <w:vAlign w:val="center"/>
                </w:tcPr>
                <w:p w14:paraId="7ED090B2">
                  <w:pPr>
                    <w:pStyle w:val="51"/>
                    <w:rPr>
                      <w:rFonts w:hint="default" w:eastAsia="宋体"/>
                      <w:color w:val="auto"/>
                      <w:szCs w:val="21"/>
                      <w:lang w:val="en-US" w:eastAsia="zh-CN"/>
                    </w:rPr>
                  </w:pPr>
                  <w:r>
                    <w:rPr>
                      <w:rFonts w:hint="eastAsia"/>
                      <w:color w:val="auto"/>
                      <w:lang w:val="en-US" w:eastAsia="zh-CN"/>
                    </w:rPr>
                    <w:t>960</w:t>
                  </w:r>
                </w:p>
              </w:tc>
              <w:tc>
                <w:tcPr>
                  <w:tcW w:w="2014" w:type="dxa"/>
                  <w:vAlign w:val="center"/>
                </w:tcPr>
                <w:p w14:paraId="70E24BEF">
                  <w:pPr>
                    <w:pStyle w:val="51"/>
                    <w:jc w:val="both"/>
                    <w:rPr>
                      <w:rFonts w:hint="eastAsia" w:eastAsia="宋体"/>
                      <w:color w:val="auto"/>
                      <w:lang w:eastAsia="zh-CN"/>
                    </w:rPr>
                  </w:pPr>
                  <w:r>
                    <w:rPr>
                      <w:color w:val="auto"/>
                    </w:rPr>
                    <w:t>集中收集，由市政部门统一清运</w:t>
                  </w:r>
                  <w:r>
                    <w:rPr>
                      <w:rFonts w:hint="eastAsia"/>
                      <w:color w:val="auto"/>
                      <w:lang w:eastAsia="zh-CN"/>
                    </w:rPr>
                    <w:t>。</w:t>
                  </w:r>
                </w:p>
              </w:tc>
            </w:tr>
            <w:tr w14:paraId="7B5D737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734" w:type="dxa"/>
                  <w:vAlign w:val="center"/>
                </w:tcPr>
                <w:p w14:paraId="52D20E23">
                  <w:pPr>
                    <w:pStyle w:val="51"/>
                    <w:rPr>
                      <w:rFonts w:hint="eastAsia" w:eastAsia="宋体"/>
                      <w:color w:val="auto"/>
                      <w:szCs w:val="21"/>
                      <w:lang w:val="en-US" w:eastAsia="zh-CN"/>
                    </w:rPr>
                  </w:pPr>
                  <w:r>
                    <w:rPr>
                      <w:rFonts w:hint="eastAsia"/>
                      <w:color w:val="auto"/>
                      <w:szCs w:val="21"/>
                      <w:lang w:val="en-US" w:eastAsia="zh-CN"/>
                    </w:rPr>
                    <w:t>4</w:t>
                  </w:r>
                </w:p>
              </w:tc>
              <w:tc>
                <w:tcPr>
                  <w:tcW w:w="2517" w:type="dxa"/>
                  <w:vAlign w:val="center"/>
                </w:tcPr>
                <w:p w14:paraId="24B85A86">
                  <w:pPr>
                    <w:pStyle w:val="51"/>
                    <w:rPr>
                      <w:rFonts w:hint="eastAsia" w:eastAsia="宋体"/>
                      <w:color w:val="auto"/>
                      <w:szCs w:val="21"/>
                      <w:lang w:val="en-US" w:eastAsia="zh-CN"/>
                    </w:rPr>
                  </w:pPr>
                  <w:r>
                    <w:rPr>
                      <w:rFonts w:hint="eastAsia"/>
                      <w:color w:val="auto"/>
                      <w:szCs w:val="21"/>
                      <w:lang w:val="en-US" w:eastAsia="zh-CN"/>
                    </w:rPr>
                    <w:t>泥土</w:t>
                  </w:r>
                </w:p>
              </w:tc>
              <w:tc>
                <w:tcPr>
                  <w:tcW w:w="1315" w:type="dxa"/>
                  <w:vAlign w:val="center"/>
                </w:tcPr>
                <w:p w14:paraId="0BB88400">
                  <w:pPr>
                    <w:pStyle w:val="51"/>
                    <w:rPr>
                      <w:color w:val="auto"/>
                    </w:rPr>
                  </w:pPr>
                  <w:r>
                    <w:rPr>
                      <w:rFonts w:hint="eastAsia"/>
                      <w:color w:val="auto"/>
                    </w:rPr>
                    <w:t>900-006-S62</w:t>
                  </w:r>
                </w:p>
              </w:tc>
              <w:tc>
                <w:tcPr>
                  <w:tcW w:w="1169" w:type="dxa"/>
                  <w:vAlign w:val="center"/>
                </w:tcPr>
                <w:p w14:paraId="35132943">
                  <w:pPr>
                    <w:pStyle w:val="51"/>
                    <w:rPr>
                      <w:rFonts w:hint="default"/>
                      <w:color w:val="auto"/>
                      <w:lang w:val="en-US" w:eastAsia="zh-CN"/>
                    </w:rPr>
                  </w:pPr>
                  <w:r>
                    <w:rPr>
                      <w:rFonts w:hint="eastAsia"/>
                      <w:color w:val="auto"/>
                      <w:szCs w:val="21"/>
                      <w:lang w:val="en-US" w:eastAsia="zh-CN"/>
                    </w:rPr>
                    <w:t>1</w:t>
                  </w:r>
                </w:p>
              </w:tc>
              <w:tc>
                <w:tcPr>
                  <w:tcW w:w="2014" w:type="dxa"/>
                  <w:vAlign w:val="center"/>
                </w:tcPr>
                <w:p w14:paraId="3A9905CC">
                  <w:pPr>
                    <w:pStyle w:val="51"/>
                    <w:jc w:val="both"/>
                    <w:rPr>
                      <w:color w:val="auto"/>
                    </w:rPr>
                  </w:pPr>
                  <w:r>
                    <w:rPr>
                      <w:color w:val="auto"/>
                      <w:szCs w:val="21"/>
                    </w:rPr>
                    <w:t>集中收集，由市政部门统一清运处理。</w:t>
                  </w:r>
                </w:p>
              </w:tc>
            </w:tr>
          </w:tbl>
          <w:p w14:paraId="4F03E471">
            <w:pPr>
              <w:pStyle w:val="77"/>
              <w:rPr>
                <w:rFonts w:hint="eastAsia" w:ascii="Times New Roman" w:hAnsi="Times New Roman" w:eastAsia="宋体" w:cs="Times New Roman"/>
                <w:color w:val="auto"/>
                <w:lang w:val="en-US" w:eastAsia="zh-CN"/>
              </w:rPr>
            </w:pPr>
            <w:r>
              <w:rPr>
                <w:rFonts w:hint="eastAsia" w:ascii="Times New Roman" w:hAnsi="Times New Roman" w:eastAsia="宋体" w:cs="Times New Roman"/>
                <w:color w:val="auto"/>
                <w:lang w:val="en-US" w:eastAsia="zh-CN"/>
              </w:rPr>
              <w:t>一般工业固体废物环境管理要求：①产生工业固体废物的单位应当建立健全工业固体废物产生、收集、贮存、运输、利用、处置全过程的污染环境防治责任制度，建立工业固体废物管理台账，如实记录产生工业固体废物的种类、数量、流向、贮存、利用、处置等信息，实现工业固体废物可追溯、可查询，并采取防治工业固体废物污染环境的措施。②禁止向生活垃圾收集设施中投放工业固体废物。③产生工业固体废物的单位委托他人运输、利用、处置工业固体废物的，应当对受托方的主体资格和技术能力进行核实，依法签订书面合同，在合同中约定污染防治要求。受托方运输、利用、处置工业固体废物，应当依照有关法律法规的规定和合同约定履行污染防治要求，并将运输、利用、处置情况告知产生工业固体废物的单位。</w:t>
            </w:r>
          </w:p>
          <w:p w14:paraId="4B913CAD">
            <w:pPr>
              <w:pStyle w:val="84"/>
              <w:rPr>
                <w:color w:val="auto"/>
              </w:rPr>
            </w:pPr>
            <w:r>
              <w:rPr>
                <w:color w:val="auto"/>
              </w:rPr>
              <w:t>（三）危险废物</w:t>
            </w:r>
          </w:p>
          <w:p w14:paraId="606C3398">
            <w:pPr>
              <w:pStyle w:val="77"/>
              <w:rPr>
                <w:color w:val="auto"/>
              </w:rPr>
            </w:pPr>
            <w:r>
              <w:rPr>
                <w:color w:val="auto"/>
              </w:rPr>
              <w:t>1、产生量</w:t>
            </w:r>
          </w:p>
          <w:p w14:paraId="349C509A">
            <w:pPr>
              <w:pStyle w:val="77"/>
              <w:rPr>
                <w:color w:val="auto"/>
              </w:rPr>
            </w:pPr>
            <w:r>
              <w:rPr>
                <w:rFonts w:hint="eastAsia" w:ascii="宋体" w:hAnsi="宋体" w:cs="宋体"/>
                <w:color w:val="auto"/>
              </w:rPr>
              <w:t>①</w:t>
            </w:r>
            <w:r>
              <w:rPr>
                <w:color w:val="auto"/>
              </w:rPr>
              <w:t>废蓄电池：HW31其他废物（900-044-49），产生量为</w:t>
            </w:r>
            <w:r>
              <w:rPr>
                <w:rFonts w:hint="eastAsia"/>
                <w:color w:val="auto"/>
                <w:lang w:val="en-US" w:eastAsia="zh-CN"/>
              </w:rPr>
              <w:t>225</w:t>
            </w:r>
            <w:r>
              <w:rPr>
                <w:color w:val="auto"/>
              </w:rPr>
              <w:t>t/a，暂存于</w:t>
            </w:r>
            <w:r>
              <w:rPr>
                <w:rFonts w:hint="eastAsia"/>
                <w:color w:val="auto"/>
                <w:lang w:eastAsia="zh-CN"/>
              </w:rPr>
              <w:t>危险废物贮存库</w:t>
            </w:r>
            <w:r>
              <w:rPr>
                <w:color w:val="auto"/>
              </w:rPr>
              <w:t>专用存储区耐酸容器内，</w:t>
            </w:r>
            <w:r>
              <w:rPr>
                <w:rFonts w:hint="eastAsia"/>
                <w:color w:val="auto"/>
              </w:rPr>
              <w:t>定期交由持有相应类别危险废物经营许可证的单位处理</w:t>
            </w:r>
            <w:r>
              <w:rPr>
                <w:color w:val="auto"/>
              </w:rPr>
              <w:t>。</w:t>
            </w:r>
          </w:p>
          <w:p w14:paraId="59E14001">
            <w:pPr>
              <w:pStyle w:val="77"/>
              <w:rPr>
                <w:color w:val="auto"/>
              </w:rPr>
            </w:pPr>
            <w:r>
              <w:rPr>
                <w:rFonts w:hint="eastAsia" w:ascii="宋体" w:hAnsi="宋体" w:cs="宋体"/>
                <w:color w:val="auto"/>
              </w:rPr>
              <w:t>②</w:t>
            </w:r>
            <w:r>
              <w:rPr>
                <w:color w:val="auto"/>
              </w:rPr>
              <w:t>废油液：HW08废矿物油与含矿物油废物（900-199-08），包括柴油、机油、</w:t>
            </w:r>
            <w:r>
              <w:rPr>
                <w:color w:val="FF0000"/>
              </w:rPr>
              <w:t>油水分离器浮油</w:t>
            </w:r>
            <w:r>
              <w:rPr>
                <w:rFonts w:hint="eastAsia"/>
                <w:color w:val="FF0000"/>
                <w:lang w:val="en-US" w:eastAsia="zh-CN"/>
              </w:rPr>
              <w:t>和油泥</w:t>
            </w:r>
            <w:r>
              <w:rPr>
                <w:color w:val="auto"/>
              </w:rPr>
              <w:t>等，产生量为</w:t>
            </w:r>
            <w:r>
              <w:rPr>
                <w:rFonts w:hint="eastAsia"/>
                <w:color w:val="auto"/>
                <w:lang w:val="en-US" w:eastAsia="zh-CN"/>
              </w:rPr>
              <w:t>330</w:t>
            </w:r>
            <w:r>
              <w:rPr>
                <w:color w:val="auto"/>
              </w:rPr>
              <w:t>t/a，暂存于</w:t>
            </w:r>
            <w:r>
              <w:rPr>
                <w:rFonts w:hint="eastAsia"/>
                <w:color w:val="auto"/>
                <w:lang w:eastAsia="zh-CN"/>
              </w:rPr>
              <w:t>危险废物贮存库</w:t>
            </w:r>
            <w:r>
              <w:rPr>
                <w:color w:val="auto"/>
              </w:rPr>
              <w:t>专用储罐中，</w:t>
            </w:r>
            <w:r>
              <w:rPr>
                <w:rFonts w:hint="eastAsia"/>
                <w:color w:val="auto"/>
              </w:rPr>
              <w:t>定期交由持有相应类别危险废物经营许可证的单位处理</w:t>
            </w:r>
            <w:r>
              <w:rPr>
                <w:color w:val="auto"/>
              </w:rPr>
              <w:t>。</w:t>
            </w:r>
          </w:p>
          <w:p w14:paraId="19E1F93E">
            <w:pPr>
              <w:pStyle w:val="77"/>
              <w:rPr>
                <w:color w:val="auto"/>
              </w:rPr>
            </w:pPr>
            <w:r>
              <w:rPr>
                <w:rFonts w:hint="eastAsia" w:ascii="宋体" w:hAnsi="宋体" w:cs="宋体"/>
                <w:color w:val="auto"/>
              </w:rPr>
              <w:t>③</w:t>
            </w:r>
            <w:r>
              <w:rPr>
                <w:color w:val="auto"/>
              </w:rPr>
              <w:t>废电容器：HW10多氯联苯类废物（900-008-10），产生量为</w:t>
            </w:r>
            <w:r>
              <w:rPr>
                <w:rFonts w:hint="eastAsia"/>
                <w:color w:val="auto"/>
                <w:lang w:val="en-US" w:eastAsia="zh-CN"/>
              </w:rPr>
              <w:t>6</w:t>
            </w:r>
            <w:r>
              <w:rPr>
                <w:color w:val="auto"/>
              </w:rPr>
              <w:t>t/a，暂存于</w:t>
            </w:r>
            <w:r>
              <w:rPr>
                <w:rFonts w:hint="eastAsia"/>
                <w:color w:val="auto"/>
                <w:lang w:eastAsia="zh-CN"/>
              </w:rPr>
              <w:t>危险废物贮存库</w:t>
            </w:r>
            <w:r>
              <w:rPr>
                <w:color w:val="auto"/>
              </w:rPr>
              <w:t>专用存储区专用密闭容器中，</w:t>
            </w:r>
            <w:r>
              <w:rPr>
                <w:rFonts w:hint="eastAsia"/>
                <w:color w:val="auto"/>
              </w:rPr>
              <w:t>定期交由持有相应类别危险废物经营许可证的单位处理</w:t>
            </w:r>
            <w:r>
              <w:rPr>
                <w:color w:val="auto"/>
              </w:rPr>
              <w:t>。</w:t>
            </w:r>
          </w:p>
          <w:p w14:paraId="62CD608D">
            <w:pPr>
              <w:pStyle w:val="77"/>
              <w:rPr>
                <w:bCs/>
                <w:color w:val="auto"/>
                <w:szCs w:val="21"/>
              </w:rPr>
            </w:pPr>
            <w:r>
              <w:rPr>
                <w:rFonts w:hint="eastAsia" w:ascii="宋体" w:hAnsi="宋体" w:cs="宋体"/>
                <w:color w:val="auto"/>
              </w:rPr>
              <w:t>④</w:t>
            </w:r>
            <w:r>
              <w:rPr>
                <w:color w:val="auto"/>
              </w:rPr>
              <w:t>废防冻液：主要成分为乙二醇，产生量为</w:t>
            </w:r>
            <w:r>
              <w:rPr>
                <w:rFonts w:hint="eastAsia"/>
                <w:color w:val="auto"/>
                <w:lang w:val="en-US" w:eastAsia="zh-CN"/>
              </w:rPr>
              <w:t>15</w:t>
            </w:r>
            <w:r>
              <w:rPr>
                <w:color w:val="auto"/>
              </w:rPr>
              <w:t>t/a。</w:t>
            </w:r>
            <w:r>
              <w:rPr>
                <w:rFonts w:hint="eastAsia"/>
                <w:color w:val="auto"/>
              </w:rPr>
              <w:t>属于《国家危险废物名录》（2021 版）中“HW06 废有机溶剂与含有机溶剂废物”，中的“900-404-06 工业生产中作为清洗剂、萃取剂、溶剂或反应介质使用后废弃的其他列入《危险化学品目录》的有机溶剂，以及在使用前混合的含有一种或多种上述溶剂的混合/调和溶剂”，经分类收集后暂存于废油液暂存间，定期交有资质单位处理。</w:t>
            </w:r>
          </w:p>
          <w:p w14:paraId="19056170">
            <w:pPr>
              <w:pStyle w:val="77"/>
              <w:rPr>
                <w:rFonts w:hint="eastAsia"/>
                <w:bCs/>
                <w:color w:val="auto"/>
                <w:szCs w:val="21"/>
              </w:rPr>
            </w:pPr>
            <w:r>
              <w:rPr>
                <w:rFonts w:hint="eastAsia"/>
                <w:bCs/>
                <w:color w:val="auto"/>
                <w:szCs w:val="21"/>
              </w:rPr>
              <w:t>⑤沾有油污的手套、抹布、废墩布：HW49其他废物（900-041-49），产生量为0.</w:t>
            </w:r>
            <w:r>
              <w:rPr>
                <w:rFonts w:hint="eastAsia"/>
                <w:bCs/>
                <w:color w:val="auto"/>
                <w:szCs w:val="21"/>
                <w:lang w:val="en-US" w:eastAsia="zh-CN"/>
              </w:rPr>
              <w:t>1</w:t>
            </w:r>
            <w:r>
              <w:rPr>
                <w:rFonts w:hint="eastAsia"/>
                <w:bCs/>
                <w:color w:val="auto"/>
                <w:szCs w:val="21"/>
              </w:rPr>
              <w:t>t/a，</w:t>
            </w:r>
            <w:r>
              <w:rPr>
                <w:rFonts w:hint="eastAsia"/>
                <w:bCs/>
                <w:color w:val="auto"/>
                <w:szCs w:val="21"/>
                <w:lang w:val="en-US" w:eastAsia="zh-CN"/>
              </w:rPr>
              <w:t>未混入生活垃圾，暂存于危险废物贮存库内，定期交由持有相应类别危险废物经营许可证的单位处理</w:t>
            </w:r>
            <w:r>
              <w:rPr>
                <w:rFonts w:hint="eastAsia"/>
                <w:bCs/>
                <w:color w:val="auto"/>
                <w:szCs w:val="21"/>
              </w:rPr>
              <w:t>。</w:t>
            </w:r>
          </w:p>
          <w:p w14:paraId="549ABBE9">
            <w:pPr>
              <w:pStyle w:val="77"/>
              <w:rPr>
                <w:rFonts w:hint="eastAsia"/>
                <w:bCs/>
                <w:color w:val="auto"/>
                <w:szCs w:val="21"/>
                <w:lang w:val="en-US" w:eastAsia="zh-CN"/>
              </w:rPr>
            </w:pPr>
            <w:r>
              <w:rPr>
                <w:rFonts w:hint="eastAsia"/>
                <w:bCs/>
                <w:color w:val="auto"/>
                <w:szCs w:val="21"/>
              </w:rPr>
              <w:t>⑥</w:t>
            </w:r>
            <w:r>
              <w:rPr>
                <w:rFonts w:hint="eastAsia"/>
                <w:bCs/>
                <w:color w:val="auto"/>
                <w:szCs w:val="21"/>
                <w:lang w:val="en-US" w:eastAsia="zh-CN"/>
              </w:rPr>
              <w:t>石棉废物：HW36石棉废物（900-032-36），产生量为6t/a，暂存于危险废物贮存库专用存储区专用密闭容器中，定期交由持有相应类别危险废物经营许可证的单位处理。</w:t>
            </w:r>
          </w:p>
          <w:p w14:paraId="524471A5">
            <w:pPr>
              <w:pStyle w:val="77"/>
              <w:rPr>
                <w:rFonts w:hint="default"/>
                <w:bCs/>
                <w:color w:val="auto"/>
                <w:szCs w:val="21"/>
                <w:lang w:val="en-US" w:eastAsia="zh-CN"/>
              </w:rPr>
            </w:pPr>
            <w:r>
              <w:rPr>
                <w:rFonts w:hint="eastAsia"/>
                <w:bCs/>
                <w:color w:val="auto"/>
                <w:szCs w:val="21"/>
                <w:lang w:val="en-US" w:eastAsia="zh-CN"/>
              </w:rPr>
              <w:t>⑦废活性炭：HW49其他废物（900-039-49），</w:t>
            </w:r>
            <w:r>
              <w:rPr>
                <w:rFonts w:hint="eastAsia"/>
                <w:bCs/>
                <w:color w:val="auto"/>
                <w:szCs w:val="21"/>
              </w:rPr>
              <w:t>产生量为</w:t>
            </w:r>
            <w:r>
              <w:rPr>
                <w:rFonts w:hint="eastAsia"/>
                <w:bCs/>
                <w:color w:val="auto"/>
                <w:szCs w:val="21"/>
                <w:lang w:val="en-US" w:eastAsia="zh-CN"/>
              </w:rPr>
              <w:t>1</w:t>
            </w:r>
            <w:r>
              <w:rPr>
                <w:rFonts w:hint="eastAsia"/>
                <w:bCs/>
                <w:color w:val="auto"/>
                <w:szCs w:val="21"/>
              </w:rPr>
              <w:t>t/a，</w:t>
            </w:r>
            <w:r>
              <w:rPr>
                <w:rFonts w:hint="eastAsia"/>
                <w:bCs/>
                <w:color w:val="auto"/>
                <w:szCs w:val="21"/>
                <w:lang w:val="en-US" w:eastAsia="zh-CN"/>
              </w:rPr>
              <w:t>暂存于危险废物贮存库内，定期交由持有相应类别危险废物经营许可证的单位处理</w:t>
            </w:r>
            <w:r>
              <w:rPr>
                <w:rFonts w:hint="eastAsia"/>
                <w:bCs/>
                <w:color w:val="auto"/>
                <w:szCs w:val="21"/>
              </w:rPr>
              <w:t>。</w:t>
            </w:r>
          </w:p>
          <w:p w14:paraId="40FB4042">
            <w:pPr>
              <w:pStyle w:val="78"/>
              <w:rPr>
                <w:color w:val="auto"/>
              </w:rPr>
            </w:pPr>
            <w:r>
              <w:rPr>
                <w:color w:val="auto"/>
              </w:rPr>
              <w:t>表4-</w:t>
            </w:r>
            <w:r>
              <w:rPr>
                <w:rFonts w:hint="eastAsia"/>
                <w:color w:val="auto"/>
                <w:lang w:val="en-US" w:eastAsia="zh-CN"/>
              </w:rPr>
              <w:t>9</w:t>
            </w:r>
            <w:r>
              <w:rPr>
                <w:color w:val="auto"/>
              </w:rPr>
              <w:t xml:space="preserve"> 危险废物产生源强汇总表</w:t>
            </w:r>
          </w:p>
          <w:tbl>
            <w:tblPr>
              <w:tblStyle w:val="19"/>
              <w:tblW w:w="5000"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5" w:type="dxa"/>
                <w:bottom w:w="0" w:type="dxa"/>
                <w:right w:w="15" w:type="dxa"/>
              </w:tblCellMar>
            </w:tblPr>
            <w:tblGrid>
              <w:gridCol w:w="395"/>
              <w:gridCol w:w="609"/>
              <w:gridCol w:w="1299"/>
              <w:gridCol w:w="1974"/>
              <w:gridCol w:w="533"/>
              <w:gridCol w:w="433"/>
              <w:gridCol w:w="307"/>
              <w:gridCol w:w="488"/>
              <w:gridCol w:w="489"/>
              <w:gridCol w:w="287"/>
              <w:gridCol w:w="404"/>
              <w:gridCol w:w="530"/>
            </w:tblGrid>
            <w:tr w14:paraId="7EE2E9B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trHeight w:val="260" w:hRule="atLeast"/>
              </w:trPr>
              <w:tc>
                <w:tcPr>
                  <w:tcW w:w="384" w:type="dxa"/>
                  <w:vMerge w:val="restart"/>
                  <w:vAlign w:val="center"/>
                </w:tcPr>
                <w:p w14:paraId="104933EC">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bCs/>
                      <w:color w:val="auto"/>
                      <w:szCs w:val="21"/>
                      <w:lang w:bidi="ar"/>
                    </w:rPr>
                    <w:t>工艺</w:t>
                  </w:r>
                </w:p>
              </w:tc>
              <w:tc>
                <w:tcPr>
                  <w:tcW w:w="591" w:type="dxa"/>
                  <w:vMerge w:val="restart"/>
                  <w:vAlign w:val="center"/>
                </w:tcPr>
                <w:p w14:paraId="38799FF1">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bCs/>
                      <w:color w:val="auto"/>
                      <w:szCs w:val="21"/>
                      <w:lang w:bidi="ar"/>
                    </w:rPr>
                    <w:t>危险废物名称</w:t>
                  </w:r>
                </w:p>
              </w:tc>
              <w:tc>
                <w:tcPr>
                  <w:tcW w:w="1262" w:type="dxa"/>
                  <w:vMerge w:val="restart"/>
                  <w:vAlign w:val="center"/>
                </w:tcPr>
                <w:p w14:paraId="2FA3DBF5">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bCs/>
                      <w:color w:val="auto"/>
                      <w:szCs w:val="21"/>
                      <w:lang w:bidi="ar"/>
                    </w:rPr>
                    <w:t>危险废物类别</w:t>
                  </w:r>
                </w:p>
              </w:tc>
              <w:tc>
                <w:tcPr>
                  <w:tcW w:w="1917" w:type="dxa"/>
                  <w:vMerge w:val="restart"/>
                  <w:vAlign w:val="center"/>
                </w:tcPr>
                <w:p w14:paraId="05E2B694">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bCs/>
                      <w:color w:val="auto"/>
                      <w:szCs w:val="21"/>
                      <w:lang w:bidi="ar"/>
                    </w:rPr>
                    <w:t>危险废物代码</w:t>
                  </w:r>
                </w:p>
              </w:tc>
              <w:tc>
                <w:tcPr>
                  <w:tcW w:w="518" w:type="dxa"/>
                  <w:vMerge w:val="restart"/>
                  <w:vAlign w:val="center"/>
                </w:tcPr>
                <w:p w14:paraId="2FB5F856">
                  <w:pPr>
                    <w:keepNext/>
                    <w:keepLines/>
                    <w:pageBreakBefore w:val="0"/>
                    <w:widowControl/>
                    <w:kinsoku/>
                    <w:wordWrap/>
                    <w:overflowPunct w:val="0"/>
                    <w:topLinePunct w:val="0"/>
                    <w:autoSpaceDE/>
                    <w:autoSpaceDN/>
                    <w:bidi w:val="0"/>
                    <w:spacing w:line="260" w:lineRule="exact"/>
                    <w:jc w:val="center"/>
                    <w:textAlignment w:val="auto"/>
                    <w:rPr>
                      <w:bCs/>
                      <w:color w:val="auto"/>
                      <w:szCs w:val="21"/>
                      <w:lang w:bidi="ar"/>
                    </w:rPr>
                  </w:pPr>
                  <w:r>
                    <w:rPr>
                      <w:bCs/>
                      <w:color w:val="auto"/>
                      <w:szCs w:val="21"/>
                      <w:lang w:bidi="ar"/>
                    </w:rPr>
                    <w:t>产生量</w:t>
                  </w:r>
                </w:p>
                <w:p w14:paraId="44FCB6CE">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bCs/>
                      <w:color w:val="auto"/>
                      <w:szCs w:val="21"/>
                      <w:lang w:bidi="ar"/>
                    </w:rPr>
                    <w:t>（吨/年）</w:t>
                  </w:r>
                </w:p>
              </w:tc>
              <w:tc>
                <w:tcPr>
                  <w:tcW w:w="421" w:type="dxa"/>
                  <w:vMerge w:val="restart"/>
                  <w:vAlign w:val="center"/>
                </w:tcPr>
                <w:p w14:paraId="59A4FD44">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bCs/>
                      <w:color w:val="auto"/>
                      <w:szCs w:val="21"/>
                      <w:lang w:bidi="ar"/>
                    </w:rPr>
                    <w:t>产生工序及装置</w:t>
                  </w:r>
                </w:p>
              </w:tc>
              <w:tc>
                <w:tcPr>
                  <w:tcW w:w="298" w:type="dxa"/>
                  <w:vMerge w:val="restart"/>
                  <w:vAlign w:val="center"/>
                </w:tcPr>
                <w:p w14:paraId="5DD700AD">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bCs/>
                      <w:color w:val="auto"/>
                      <w:szCs w:val="21"/>
                      <w:lang w:bidi="ar"/>
                    </w:rPr>
                    <w:t>形态</w:t>
                  </w:r>
                </w:p>
              </w:tc>
              <w:tc>
                <w:tcPr>
                  <w:tcW w:w="474" w:type="dxa"/>
                  <w:vMerge w:val="restart"/>
                  <w:vAlign w:val="center"/>
                </w:tcPr>
                <w:p w14:paraId="0143CDED">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bCs/>
                      <w:color w:val="auto"/>
                      <w:szCs w:val="21"/>
                      <w:lang w:bidi="ar"/>
                    </w:rPr>
                    <w:t>主要成分</w:t>
                  </w:r>
                </w:p>
              </w:tc>
              <w:tc>
                <w:tcPr>
                  <w:tcW w:w="475" w:type="dxa"/>
                  <w:vMerge w:val="restart"/>
                  <w:vAlign w:val="center"/>
                </w:tcPr>
                <w:p w14:paraId="5F7D4089">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bCs/>
                      <w:color w:val="auto"/>
                      <w:szCs w:val="21"/>
                      <w:lang w:bidi="ar"/>
                    </w:rPr>
                    <w:t>有害成分</w:t>
                  </w:r>
                </w:p>
              </w:tc>
              <w:tc>
                <w:tcPr>
                  <w:tcW w:w="279" w:type="dxa"/>
                  <w:vMerge w:val="restart"/>
                  <w:vAlign w:val="center"/>
                </w:tcPr>
                <w:p w14:paraId="2B906F5E">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bCs/>
                      <w:color w:val="auto"/>
                      <w:szCs w:val="21"/>
                      <w:lang w:bidi="ar"/>
                    </w:rPr>
                    <w:t>产废周期</w:t>
                  </w:r>
                </w:p>
              </w:tc>
              <w:tc>
                <w:tcPr>
                  <w:tcW w:w="381" w:type="dxa"/>
                  <w:vMerge w:val="restart"/>
                  <w:vAlign w:val="center"/>
                </w:tcPr>
                <w:p w14:paraId="21F2250E">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bCs/>
                      <w:color w:val="auto"/>
                      <w:szCs w:val="21"/>
                      <w:lang w:bidi="ar"/>
                    </w:rPr>
                    <w:t>危险特性</w:t>
                  </w:r>
                </w:p>
              </w:tc>
              <w:tc>
                <w:tcPr>
                  <w:tcW w:w="514" w:type="dxa"/>
                  <w:vMerge w:val="restart"/>
                  <w:vAlign w:val="center"/>
                </w:tcPr>
                <w:p w14:paraId="2AD11C54">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bCs/>
                      <w:color w:val="auto"/>
                      <w:szCs w:val="21"/>
                      <w:lang w:bidi="ar"/>
                    </w:rPr>
                    <w:t>污染防治措施</w:t>
                  </w:r>
                </w:p>
              </w:tc>
            </w:tr>
            <w:tr w14:paraId="075A8DC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trHeight w:val="260" w:hRule="atLeast"/>
              </w:trPr>
              <w:tc>
                <w:tcPr>
                  <w:tcW w:w="384" w:type="dxa"/>
                  <w:vMerge w:val="continue"/>
                  <w:vAlign w:val="center"/>
                </w:tcPr>
                <w:p w14:paraId="5A9B3517">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591" w:type="dxa"/>
                  <w:vMerge w:val="continue"/>
                  <w:vAlign w:val="center"/>
                </w:tcPr>
                <w:p w14:paraId="0BDF3517">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1262" w:type="dxa"/>
                  <w:vMerge w:val="continue"/>
                  <w:vAlign w:val="center"/>
                </w:tcPr>
                <w:p w14:paraId="792654A2">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1917" w:type="dxa"/>
                  <w:vMerge w:val="continue"/>
                  <w:vAlign w:val="center"/>
                </w:tcPr>
                <w:p w14:paraId="7568269E">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518" w:type="dxa"/>
                  <w:vMerge w:val="continue"/>
                  <w:vAlign w:val="center"/>
                </w:tcPr>
                <w:p w14:paraId="20451132">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421" w:type="dxa"/>
                  <w:vMerge w:val="continue"/>
                  <w:vAlign w:val="center"/>
                </w:tcPr>
                <w:p w14:paraId="310F8F0C">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298" w:type="dxa"/>
                  <w:vMerge w:val="continue"/>
                  <w:vAlign w:val="center"/>
                </w:tcPr>
                <w:p w14:paraId="3A56CA78">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474" w:type="dxa"/>
                  <w:vMerge w:val="continue"/>
                  <w:vAlign w:val="center"/>
                </w:tcPr>
                <w:p w14:paraId="09D6D9D7">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475" w:type="dxa"/>
                  <w:vMerge w:val="continue"/>
                  <w:vAlign w:val="center"/>
                </w:tcPr>
                <w:p w14:paraId="3A4AE17D">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279" w:type="dxa"/>
                  <w:vMerge w:val="continue"/>
                  <w:vAlign w:val="center"/>
                </w:tcPr>
                <w:p w14:paraId="38F5C8DC">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381" w:type="dxa"/>
                  <w:vMerge w:val="continue"/>
                  <w:vAlign w:val="center"/>
                </w:tcPr>
                <w:p w14:paraId="52677A2E">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514" w:type="dxa"/>
                  <w:vMerge w:val="continue"/>
                  <w:vAlign w:val="center"/>
                </w:tcPr>
                <w:p w14:paraId="653A593B">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r>
            <w:tr w14:paraId="7349204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trPr>
              <w:tc>
                <w:tcPr>
                  <w:tcW w:w="384" w:type="dxa"/>
                  <w:vMerge w:val="restart"/>
                  <w:vAlign w:val="center"/>
                </w:tcPr>
                <w:p w14:paraId="589F73D6">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snapToGrid w:val="0"/>
                      <w:color w:val="auto"/>
                      <w:kern w:val="0"/>
                      <w:szCs w:val="21"/>
                    </w:rPr>
                    <w:t>废农用机械</w:t>
                  </w:r>
                  <w:r>
                    <w:rPr>
                      <w:bCs/>
                      <w:color w:val="auto"/>
                      <w:szCs w:val="21"/>
                    </w:rPr>
                    <w:t>拆解</w:t>
                  </w:r>
                </w:p>
              </w:tc>
              <w:tc>
                <w:tcPr>
                  <w:tcW w:w="591" w:type="dxa"/>
                  <w:vAlign w:val="center"/>
                </w:tcPr>
                <w:p w14:paraId="66FC888F">
                  <w:pPr>
                    <w:keepNext/>
                    <w:keepLines/>
                    <w:pageBreakBefore w:val="0"/>
                    <w:widowControl/>
                    <w:kinsoku/>
                    <w:wordWrap/>
                    <w:overflowPunct w:val="0"/>
                    <w:topLinePunct w:val="0"/>
                    <w:autoSpaceDE/>
                    <w:autoSpaceDN/>
                    <w:bidi w:val="0"/>
                    <w:jc w:val="center"/>
                    <w:textAlignment w:val="auto"/>
                    <w:rPr>
                      <w:bCs/>
                      <w:color w:val="auto"/>
                      <w:kern w:val="0"/>
                      <w:szCs w:val="21"/>
                    </w:rPr>
                  </w:pPr>
                  <w:r>
                    <w:rPr>
                      <w:bCs/>
                      <w:color w:val="auto"/>
                      <w:kern w:val="0"/>
                      <w:szCs w:val="21"/>
                    </w:rPr>
                    <w:t>废蓄电池</w:t>
                  </w:r>
                </w:p>
              </w:tc>
              <w:tc>
                <w:tcPr>
                  <w:tcW w:w="1262" w:type="dxa"/>
                  <w:vAlign w:val="center"/>
                </w:tcPr>
                <w:p w14:paraId="1F55AD1D">
                  <w:pPr>
                    <w:keepNext/>
                    <w:keepLines/>
                    <w:pageBreakBefore w:val="0"/>
                    <w:widowControl/>
                    <w:kinsoku/>
                    <w:wordWrap/>
                    <w:overflowPunct w:val="0"/>
                    <w:topLinePunct w:val="0"/>
                    <w:autoSpaceDE/>
                    <w:autoSpaceDN/>
                    <w:bidi w:val="0"/>
                    <w:jc w:val="center"/>
                    <w:textAlignment w:val="auto"/>
                    <w:rPr>
                      <w:bCs/>
                      <w:color w:val="auto"/>
                      <w:szCs w:val="21"/>
                    </w:rPr>
                  </w:pPr>
                  <w:r>
                    <w:rPr>
                      <w:color w:val="auto"/>
                      <w:kern w:val="0"/>
                      <w:szCs w:val="21"/>
                    </w:rPr>
                    <w:t>HW31</w:t>
                  </w:r>
                </w:p>
              </w:tc>
              <w:tc>
                <w:tcPr>
                  <w:tcW w:w="1917" w:type="dxa"/>
                  <w:vAlign w:val="center"/>
                </w:tcPr>
                <w:p w14:paraId="2136293A">
                  <w:pPr>
                    <w:keepNext/>
                    <w:keepLines/>
                    <w:pageBreakBefore w:val="0"/>
                    <w:widowControl/>
                    <w:kinsoku/>
                    <w:wordWrap/>
                    <w:overflowPunct w:val="0"/>
                    <w:topLinePunct w:val="0"/>
                    <w:autoSpaceDE/>
                    <w:autoSpaceDN/>
                    <w:bidi w:val="0"/>
                    <w:jc w:val="center"/>
                    <w:textAlignment w:val="auto"/>
                    <w:rPr>
                      <w:bCs/>
                      <w:color w:val="auto"/>
                      <w:szCs w:val="21"/>
                    </w:rPr>
                  </w:pPr>
                  <w:r>
                    <w:rPr>
                      <w:bCs/>
                      <w:color w:val="auto"/>
                      <w:szCs w:val="21"/>
                    </w:rPr>
                    <w:t>900-044-49</w:t>
                  </w:r>
                </w:p>
              </w:tc>
              <w:tc>
                <w:tcPr>
                  <w:tcW w:w="518" w:type="dxa"/>
                  <w:vAlign w:val="center"/>
                </w:tcPr>
                <w:p w14:paraId="1FF53C72">
                  <w:pPr>
                    <w:keepNext/>
                    <w:keepLines/>
                    <w:pageBreakBefore w:val="0"/>
                    <w:widowControl/>
                    <w:kinsoku/>
                    <w:wordWrap/>
                    <w:overflowPunct w:val="0"/>
                    <w:topLinePunct w:val="0"/>
                    <w:autoSpaceDE/>
                    <w:autoSpaceDN/>
                    <w:bidi w:val="0"/>
                    <w:jc w:val="center"/>
                    <w:textAlignment w:val="auto"/>
                    <w:rPr>
                      <w:rFonts w:hint="default" w:eastAsia="宋体"/>
                      <w:bCs/>
                      <w:color w:val="auto"/>
                      <w:szCs w:val="21"/>
                      <w:lang w:val="en-US" w:eastAsia="zh-CN"/>
                    </w:rPr>
                  </w:pPr>
                  <w:r>
                    <w:rPr>
                      <w:rFonts w:hint="eastAsia"/>
                      <w:color w:val="auto"/>
                      <w:kern w:val="0"/>
                      <w:szCs w:val="21"/>
                      <w:lang w:val="en-US" w:eastAsia="zh-CN"/>
                    </w:rPr>
                    <w:t>225</w:t>
                  </w:r>
                </w:p>
              </w:tc>
              <w:tc>
                <w:tcPr>
                  <w:tcW w:w="421" w:type="dxa"/>
                  <w:vAlign w:val="center"/>
                </w:tcPr>
                <w:p w14:paraId="4A0526A4">
                  <w:pPr>
                    <w:keepNext/>
                    <w:keepLines/>
                    <w:pageBreakBefore w:val="0"/>
                    <w:widowControl/>
                    <w:kinsoku/>
                    <w:wordWrap/>
                    <w:overflowPunct w:val="0"/>
                    <w:topLinePunct w:val="0"/>
                    <w:autoSpaceDE/>
                    <w:autoSpaceDN/>
                    <w:bidi w:val="0"/>
                    <w:jc w:val="center"/>
                    <w:textAlignment w:val="auto"/>
                    <w:rPr>
                      <w:bCs/>
                      <w:color w:val="auto"/>
                      <w:szCs w:val="21"/>
                    </w:rPr>
                  </w:pPr>
                  <w:r>
                    <w:rPr>
                      <w:bCs/>
                      <w:color w:val="auto"/>
                      <w:szCs w:val="21"/>
                    </w:rPr>
                    <w:t>预处理工序</w:t>
                  </w:r>
                </w:p>
              </w:tc>
              <w:tc>
                <w:tcPr>
                  <w:tcW w:w="298" w:type="dxa"/>
                  <w:vAlign w:val="center"/>
                </w:tcPr>
                <w:p w14:paraId="5C61E19B">
                  <w:pPr>
                    <w:keepNext/>
                    <w:keepLines/>
                    <w:pageBreakBefore w:val="0"/>
                    <w:widowControl/>
                    <w:kinsoku/>
                    <w:wordWrap/>
                    <w:overflowPunct w:val="0"/>
                    <w:topLinePunct w:val="0"/>
                    <w:autoSpaceDE/>
                    <w:autoSpaceDN/>
                    <w:bidi w:val="0"/>
                    <w:jc w:val="center"/>
                    <w:textAlignment w:val="auto"/>
                    <w:rPr>
                      <w:bCs/>
                      <w:color w:val="auto"/>
                      <w:szCs w:val="21"/>
                    </w:rPr>
                  </w:pPr>
                  <w:r>
                    <w:rPr>
                      <w:bCs/>
                      <w:color w:val="auto"/>
                      <w:szCs w:val="21"/>
                    </w:rPr>
                    <w:t>固体</w:t>
                  </w:r>
                </w:p>
              </w:tc>
              <w:tc>
                <w:tcPr>
                  <w:tcW w:w="474" w:type="dxa"/>
                  <w:vAlign w:val="center"/>
                </w:tcPr>
                <w:p w14:paraId="66DB8B27">
                  <w:pPr>
                    <w:keepNext/>
                    <w:keepLines/>
                    <w:pageBreakBefore w:val="0"/>
                    <w:widowControl/>
                    <w:kinsoku/>
                    <w:wordWrap/>
                    <w:overflowPunct w:val="0"/>
                    <w:topLinePunct w:val="0"/>
                    <w:autoSpaceDE/>
                    <w:autoSpaceDN/>
                    <w:bidi w:val="0"/>
                    <w:jc w:val="center"/>
                    <w:textAlignment w:val="auto"/>
                    <w:rPr>
                      <w:bCs/>
                      <w:color w:val="auto"/>
                      <w:kern w:val="0"/>
                      <w:szCs w:val="21"/>
                    </w:rPr>
                  </w:pPr>
                  <w:r>
                    <w:rPr>
                      <w:bCs/>
                      <w:color w:val="auto"/>
                      <w:kern w:val="0"/>
                      <w:szCs w:val="21"/>
                      <w:lang w:val="en-GB"/>
                    </w:rPr>
                    <w:t>铅及其化合物、硫酸</w:t>
                  </w:r>
                </w:p>
              </w:tc>
              <w:tc>
                <w:tcPr>
                  <w:tcW w:w="475" w:type="dxa"/>
                  <w:vAlign w:val="center"/>
                </w:tcPr>
                <w:p w14:paraId="01F6253D">
                  <w:pPr>
                    <w:keepNext/>
                    <w:keepLines/>
                    <w:pageBreakBefore w:val="0"/>
                    <w:widowControl/>
                    <w:kinsoku/>
                    <w:wordWrap/>
                    <w:overflowPunct w:val="0"/>
                    <w:topLinePunct w:val="0"/>
                    <w:autoSpaceDE/>
                    <w:autoSpaceDN/>
                    <w:bidi w:val="0"/>
                    <w:jc w:val="center"/>
                    <w:textAlignment w:val="auto"/>
                    <w:rPr>
                      <w:bCs/>
                      <w:color w:val="auto"/>
                      <w:kern w:val="0"/>
                      <w:szCs w:val="21"/>
                    </w:rPr>
                  </w:pPr>
                  <w:r>
                    <w:rPr>
                      <w:bCs/>
                      <w:color w:val="auto"/>
                      <w:kern w:val="0"/>
                      <w:szCs w:val="21"/>
                      <w:lang w:val="en-GB"/>
                    </w:rPr>
                    <w:t>铅及其化合物、硫酸</w:t>
                  </w:r>
                </w:p>
              </w:tc>
              <w:tc>
                <w:tcPr>
                  <w:tcW w:w="279" w:type="dxa"/>
                  <w:vAlign w:val="center"/>
                </w:tcPr>
                <w:p w14:paraId="534FA9DB">
                  <w:pPr>
                    <w:keepNext/>
                    <w:keepLines/>
                    <w:pageBreakBefore w:val="0"/>
                    <w:widowControl/>
                    <w:kinsoku/>
                    <w:wordWrap/>
                    <w:overflowPunct w:val="0"/>
                    <w:topLinePunct w:val="0"/>
                    <w:autoSpaceDE/>
                    <w:autoSpaceDN/>
                    <w:bidi w:val="0"/>
                    <w:jc w:val="center"/>
                    <w:textAlignment w:val="auto"/>
                    <w:rPr>
                      <w:bCs/>
                      <w:color w:val="auto"/>
                      <w:szCs w:val="21"/>
                    </w:rPr>
                  </w:pPr>
                  <w:r>
                    <w:rPr>
                      <w:bCs/>
                      <w:color w:val="auto"/>
                      <w:szCs w:val="21"/>
                    </w:rPr>
                    <w:t>连续</w:t>
                  </w:r>
                </w:p>
              </w:tc>
              <w:tc>
                <w:tcPr>
                  <w:tcW w:w="381" w:type="dxa"/>
                  <w:vAlign w:val="center"/>
                </w:tcPr>
                <w:p w14:paraId="62D2FFF9">
                  <w:pPr>
                    <w:keepNext/>
                    <w:keepLines/>
                    <w:pageBreakBefore w:val="0"/>
                    <w:widowControl/>
                    <w:kinsoku/>
                    <w:wordWrap/>
                    <w:overflowPunct w:val="0"/>
                    <w:topLinePunct w:val="0"/>
                    <w:autoSpaceDE/>
                    <w:autoSpaceDN/>
                    <w:bidi w:val="0"/>
                    <w:jc w:val="center"/>
                    <w:textAlignment w:val="auto"/>
                    <w:rPr>
                      <w:bCs/>
                      <w:color w:val="auto"/>
                      <w:szCs w:val="21"/>
                    </w:rPr>
                  </w:pPr>
                  <w:r>
                    <w:rPr>
                      <w:bCs/>
                      <w:color w:val="auto"/>
                      <w:szCs w:val="21"/>
                      <w:lang w:bidi="ar"/>
                    </w:rPr>
                    <w:t>T</w:t>
                  </w:r>
                </w:p>
              </w:tc>
              <w:tc>
                <w:tcPr>
                  <w:tcW w:w="514" w:type="dxa"/>
                  <w:vAlign w:val="center"/>
                </w:tcPr>
                <w:p w14:paraId="1746EA33">
                  <w:pPr>
                    <w:keepNext/>
                    <w:keepLines/>
                    <w:pageBreakBefore w:val="0"/>
                    <w:widowControl/>
                    <w:kinsoku/>
                    <w:wordWrap/>
                    <w:overflowPunct w:val="0"/>
                    <w:topLinePunct w:val="0"/>
                    <w:autoSpaceDE/>
                    <w:autoSpaceDN/>
                    <w:bidi w:val="0"/>
                    <w:jc w:val="center"/>
                    <w:textAlignment w:val="auto"/>
                    <w:rPr>
                      <w:bCs/>
                      <w:color w:val="auto"/>
                      <w:szCs w:val="21"/>
                    </w:rPr>
                  </w:pPr>
                  <w:r>
                    <w:rPr>
                      <w:bCs/>
                      <w:color w:val="auto"/>
                      <w:szCs w:val="21"/>
                      <w:lang w:bidi="ar"/>
                    </w:rPr>
                    <w:t>送有资质单位处置</w:t>
                  </w:r>
                </w:p>
              </w:tc>
            </w:tr>
            <w:tr w14:paraId="2C81FF0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trPr>
              <w:tc>
                <w:tcPr>
                  <w:tcW w:w="384" w:type="dxa"/>
                  <w:vMerge w:val="continue"/>
                  <w:vAlign w:val="center"/>
                </w:tcPr>
                <w:p w14:paraId="29BB40D4">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591" w:type="dxa"/>
                  <w:vAlign w:val="center"/>
                </w:tcPr>
                <w:p w14:paraId="0F104FF4">
                  <w:pPr>
                    <w:keepNext/>
                    <w:keepLines/>
                    <w:pageBreakBefore w:val="0"/>
                    <w:widowControl/>
                    <w:kinsoku/>
                    <w:wordWrap/>
                    <w:overflowPunct w:val="0"/>
                    <w:topLinePunct w:val="0"/>
                    <w:autoSpaceDE/>
                    <w:autoSpaceDN/>
                    <w:bidi w:val="0"/>
                    <w:jc w:val="center"/>
                    <w:textAlignment w:val="auto"/>
                    <w:rPr>
                      <w:bCs/>
                      <w:color w:val="auto"/>
                      <w:kern w:val="0"/>
                      <w:szCs w:val="21"/>
                    </w:rPr>
                  </w:pPr>
                  <w:r>
                    <w:rPr>
                      <w:bCs/>
                      <w:color w:val="auto"/>
                      <w:kern w:val="0"/>
                      <w:szCs w:val="21"/>
                    </w:rPr>
                    <w:t>废电容器</w:t>
                  </w:r>
                </w:p>
              </w:tc>
              <w:tc>
                <w:tcPr>
                  <w:tcW w:w="1262" w:type="dxa"/>
                  <w:vAlign w:val="center"/>
                </w:tcPr>
                <w:p w14:paraId="5F395EE4">
                  <w:pPr>
                    <w:keepNext/>
                    <w:keepLines/>
                    <w:pageBreakBefore w:val="0"/>
                    <w:widowControl/>
                    <w:kinsoku/>
                    <w:wordWrap/>
                    <w:overflowPunct w:val="0"/>
                    <w:topLinePunct w:val="0"/>
                    <w:autoSpaceDE/>
                    <w:autoSpaceDN/>
                    <w:bidi w:val="0"/>
                    <w:jc w:val="center"/>
                    <w:textAlignment w:val="auto"/>
                    <w:rPr>
                      <w:color w:val="auto"/>
                      <w:kern w:val="0"/>
                      <w:szCs w:val="21"/>
                    </w:rPr>
                  </w:pPr>
                  <w:r>
                    <w:rPr>
                      <w:color w:val="auto"/>
                      <w:szCs w:val="21"/>
                      <w:lang w:val="en-GB"/>
                    </w:rPr>
                    <w:t>HW49</w:t>
                  </w:r>
                </w:p>
              </w:tc>
              <w:tc>
                <w:tcPr>
                  <w:tcW w:w="1917" w:type="dxa"/>
                  <w:vAlign w:val="center"/>
                </w:tcPr>
                <w:p w14:paraId="49367640">
                  <w:pPr>
                    <w:keepNext/>
                    <w:keepLines/>
                    <w:pageBreakBefore w:val="0"/>
                    <w:widowControl/>
                    <w:kinsoku/>
                    <w:wordWrap/>
                    <w:overflowPunct w:val="0"/>
                    <w:topLinePunct w:val="0"/>
                    <w:autoSpaceDE/>
                    <w:autoSpaceDN/>
                    <w:bidi w:val="0"/>
                    <w:jc w:val="center"/>
                    <w:textAlignment w:val="auto"/>
                    <w:rPr>
                      <w:bCs/>
                      <w:color w:val="auto"/>
                      <w:szCs w:val="21"/>
                    </w:rPr>
                  </w:pPr>
                  <w:r>
                    <w:rPr>
                      <w:color w:val="auto"/>
                      <w:szCs w:val="21"/>
                      <w:lang w:val="en-GB"/>
                    </w:rPr>
                    <w:t>900-008-10</w:t>
                  </w:r>
                </w:p>
              </w:tc>
              <w:tc>
                <w:tcPr>
                  <w:tcW w:w="518" w:type="dxa"/>
                  <w:vAlign w:val="center"/>
                </w:tcPr>
                <w:p w14:paraId="46D009E5">
                  <w:pPr>
                    <w:keepNext/>
                    <w:keepLines/>
                    <w:pageBreakBefore w:val="0"/>
                    <w:widowControl/>
                    <w:kinsoku/>
                    <w:wordWrap/>
                    <w:overflowPunct w:val="0"/>
                    <w:topLinePunct w:val="0"/>
                    <w:autoSpaceDE/>
                    <w:autoSpaceDN/>
                    <w:bidi w:val="0"/>
                    <w:jc w:val="center"/>
                    <w:textAlignment w:val="auto"/>
                    <w:rPr>
                      <w:rFonts w:hint="default" w:eastAsia="宋体"/>
                      <w:color w:val="auto"/>
                      <w:kern w:val="0"/>
                      <w:szCs w:val="21"/>
                      <w:lang w:val="en-US" w:eastAsia="zh-CN"/>
                    </w:rPr>
                  </w:pPr>
                  <w:r>
                    <w:rPr>
                      <w:rFonts w:hint="eastAsia"/>
                      <w:color w:val="auto"/>
                      <w:lang w:val="en-US" w:eastAsia="zh-CN"/>
                    </w:rPr>
                    <w:t>6</w:t>
                  </w:r>
                </w:p>
              </w:tc>
              <w:tc>
                <w:tcPr>
                  <w:tcW w:w="421" w:type="dxa"/>
                  <w:vAlign w:val="center"/>
                </w:tcPr>
                <w:p w14:paraId="6AB7962D">
                  <w:pPr>
                    <w:keepNext/>
                    <w:keepLines/>
                    <w:pageBreakBefore w:val="0"/>
                    <w:widowControl/>
                    <w:kinsoku/>
                    <w:wordWrap/>
                    <w:overflowPunct w:val="0"/>
                    <w:topLinePunct w:val="0"/>
                    <w:autoSpaceDE/>
                    <w:autoSpaceDN/>
                    <w:bidi w:val="0"/>
                    <w:jc w:val="center"/>
                    <w:textAlignment w:val="auto"/>
                    <w:rPr>
                      <w:bCs/>
                      <w:color w:val="auto"/>
                      <w:szCs w:val="21"/>
                    </w:rPr>
                  </w:pPr>
                  <w:r>
                    <w:rPr>
                      <w:color w:val="auto"/>
                      <w:szCs w:val="21"/>
                    </w:rPr>
                    <w:t>内部拆解工序</w:t>
                  </w:r>
                </w:p>
              </w:tc>
              <w:tc>
                <w:tcPr>
                  <w:tcW w:w="298" w:type="dxa"/>
                  <w:vAlign w:val="center"/>
                </w:tcPr>
                <w:p w14:paraId="0D9F1276">
                  <w:pPr>
                    <w:keepNext/>
                    <w:keepLines/>
                    <w:pageBreakBefore w:val="0"/>
                    <w:widowControl/>
                    <w:kinsoku/>
                    <w:wordWrap/>
                    <w:overflowPunct w:val="0"/>
                    <w:topLinePunct w:val="0"/>
                    <w:autoSpaceDE/>
                    <w:autoSpaceDN/>
                    <w:bidi w:val="0"/>
                    <w:jc w:val="center"/>
                    <w:textAlignment w:val="auto"/>
                    <w:rPr>
                      <w:bCs/>
                      <w:color w:val="auto"/>
                      <w:szCs w:val="21"/>
                    </w:rPr>
                  </w:pPr>
                  <w:r>
                    <w:rPr>
                      <w:bCs/>
                      <w:color w:val="auto"/>
                      <w:szCs w:val="21"/>
                    </w:rPr>
                    <w:t>固体</w:t>
                  </w:r>
                </w:p>
              </w:tc>
              <w:tc>
                <w:tcPr>
                  <w:tcW w:w="474" w:type="dxa"/>
                  <w:vAlign w:val="center"/>
                </w:tcPr>
                <w:p w14:paraId="3AFEC5B6">
                  <w:pPr>
                    <w:keepNext/>
                    <w:keepLines/>
                    <w:pageBreakBefore w:val="0"/>
                    <w:widowControl/>
                    <w:kinsoku/>
                    <w:wordWrap/>
                    <w:overflowPunct w:val="0"/>
                    <w:topLinePunct w:val="0"/>
                    <w:autoSpaceDE/>
                    <w:autoSpaceDN/>
                    <w:bidi w:val="0"/>
                    <w:jc w:val="center"/>
                    <w:textAlignment w:val="auto"/>
                    <w:rPr>
                      <w:bCs/>
                      <w:color w:val="auto"/>
                      <w:kern w:val="0"/>
                      <w:szCs w:val="21"/>
                      <w:lang w:val="en-GB"/>
                    </w:rPr>
                  </w:pPr>
                  <w:r>
                    <w:rPr>
                      <w:bCs/>
                      <w:color w:val="auto"/>
                      <w:szCs w:val="21"/>
                    </w:rPr>
                    <w:t>废电路板</w:t>
                  </w:r>
                </w:p>
              </w:tc>
              <w:tc>
                <w:tcPr>
                  <w:tcW w:w="475" w:type="dxa"/>
                  <w:vAlign w:val="center"/>
                </w:tcPr>
                <w:p w14:paraId="6002E429">
                  <w:pPr>
                    <w:keepNext/>
                    <w:keepLines/>
                    <w:pageBreakBefore w:val="0"/>
                    <w:widowControl/>
                    <w:kinsoku/>
                    <w:wordWrap/>
                    <w:overflowPunct w:val="0"/>
                    <w:topLinePunct w:val="0"/>
                    <w:autoSpaceDE/>
                    <w:autoSpaceDN/>
                    <w:bidi w:val="0"/>
                    <w:jc w:val="center"/>
                    <w:textAlignment w:val="auto"/>
                    <w:rPr>
                      <w:bCs/>
                      <w:color w:val="auto"/>
                      <w:kern w:val="0"/>
                      <w:szCs w:val="21"/>
                      <w:lang w:val="en-GB"/>
                    </w:rPr>
                  </w:pPr>
                  <w:r>
                    <w:rPr>
                      <w:color w:val="auto"/>
                      <w:kern w:val="0"/>
                      <w:szCs w:val="21"/>
                      <w:lang w:bidi="ar"/>
                    </w:rPr>
                    <w:t>铅、镉、溴化阻燃物等</w:t>
                  </w:r>
                </w:p>
              </w:tc>
              <w:tc>
                <w:tcPr>
                  <w:tcW w:w="279" w:type="dxa"/>
                  <w:vAlign w:val="center"/>
                </w:tcPr>
                <w:p w14:paraId="23528741">
                  <w:pPr>
                    <w:keepNext/>
                    <w:keepLines/>
                    <w:pageBreakBefore w:val="0"/>
                    <w:widowControl/>
                    <w:kinsoku/>
                    <w:wordWrap/>
                    <w:overflowPunct w:val="0"/>
                    <w:topLinePunct w:val="0"/>
                    <w:autoSpaceDE/>
                    <w:autoSpaceDN/>
                    <w:bidi w:val="0"/>
                    <w:jc w:val="center"/>
                    <w:textAlignment w:val="auto"/>
                    <w:rPr>
                      <w:bCs/>
                      <w:color w:val="auto"/>
                      <w:szCs w:val="21"/>
                    </w:rPr>
                  </w:pPr>
                  <w:r>
                    <w:rPr>
                      <w:bCs/>
                      <w:color w:val="auto"/>
                      <w:szCs w:val="21"/>
                    </w:rPr>
                    <w:t>连续</w:t>
                  </w:r>
                </w:p>
              </w:tc>
              <w:tc>
                <w:tcPr>
                  <w:tcW w:w="381" w:type="dxa"/>
                  <w:vAlign w:val="center"/>
                </w:tcPr>
                <w:p w14:paraId="1611FA39">
                  <w:pPr>
                    <w:keepNext/>
                    <w:keepLines/>
                    <w:pageBreakBefore w:val="0"/>
                    <w:widowControl/>
                    <w:kinsoku/>
                    <w:wordWrap/>
                    <w:overflowPunct w:val="0"/>
                    <w:topLinePunct w:val="0"/>
                    <w:autoSpaceDE/>
                    <w:autoSpaceDN/>
                    <w:bidi w:val="0"/>
                    <w:jc w:val="center"/>
                    <w:textAlignment w:val="auto"/>
                    <w:rPr>
                      <w:bCs/>
                      <w:color w:val="auto"/>
                      <w:szCs w:val="21"/>
                      <w:lang w:bidi="ar"/>
                    </w:rPr>
                  </w:pPr>
                  <w:r>
                    <w:rPr>
                      <w:bCs/>
                      <w:color w:val="auto"/>
                      <w:szCs w:val="21"/>
                      <w:lang w:bidi="ar"/>
                    </w:rPr>
                    <w:t>T</w:t>
                  </w:r>
                </w:p>
              </w:tc>
              <w:tc>
                <w:tcPr>
                  <w:tcW w:w="514" w:type="dxa"/>
                  <w:vAlign w:val="center"/>
                </w:tcPr>
                <w:p w14:paraId="7BD12BD9">
                  <w:pPr>
                    <w:keepNext/>
                    <w:keepLines/>
                    <w:pageBreakBefore w:val="0"/>
                    <w:widowControl/>
                    <w:kinsoku/>
                    <w:wordWrap/>
                    <w:overflowPunct w:val="0"/>
                    <w:topLinePunct w:val="0"/>
                    <w:autoSpaceDE/>
                    <w:autoSpaceDN/>
                    <w:bidi w:val="0"/>
                    <w:jc w:val="center"/>
                    <w:textAlignment w:val="auto"/>
                    <w:rPr>
                      <w:bCs/>
                      <w:color w:val="auto"/>
                      <w:szCs w:val="21"/>
                      <w:lang w:bidi="ar"/>
                    </w:rPr>
                  </w:pPr>
                  <w:r>
                    <w:rPr>
                      <w:bCs/>
                      <w:color w:val="auto"/>
                      <w:szCs w:val="21"/>
                      <w:lang w:bidi="ar"/>
                    </w:rPr>
                    <w:t>送有资质单位处置</w:t>
                  </w:r>
                </w:p>
              </w:tc>
            </w:tr>
            <w:tr w14:paraId="62235D5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trPr>
              <w:tc>
                <w:tcPr>
                  <w:tcW w:w="384" w:type="dxa"/>
                  <w:vMerge w:val="continue"/>
                  <w:vAlign w:val="center"/>
                </w:tcPr>
                <w:p w14:paraId="592794AC">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591" w:type="dxa"/>
                  <w:vAlign w:val="center"/>
                </w:tcPr>
                <w:p w14:paraId="67F8854D">
                  <w:pPr>
                    <w:keepNext/>
                    <w:keepLines/>
                    <w:pageBreakBefore w:val="0"/>
                    <w:widowControl/>
                    <w:kinsoku/>
                    <w:wordWrap/>
                    <w:overflowPunct w:val="0"/>
                    <w:topLinePunct w:val="0"/>
                    <w:autoSpaceDE/>
                    <w:autoSpaceDN/>
                    <w:bidi w:val="0"/>
                    <w:jc w:val="center"/>
                    <w:textAlignment w:val="auto"/>
                    <w:rPr>
                      <w:bCs/>
                      <w:color w:val="auto"/>
                      <w:kern w:val="0"/>
                      <w:szCs w:val="21"/>
                    </w:rPr>
                  </w:pPr>
                  <w:r>
                    <w:rPr>
                      <w:bCs/>
                      <w:color w:val="auto"/>
                      <w:kern w:val="0"/>
                      <w:szCs w:val="21"/>
                    </w:rPr>
                    <w:t>废油液（柴油、机油及油水分离装置浮油和油泥）</w:t>
                  </w:r>
                </w:p>
              </w:tc>
              <w:tc>
                <w:tcPr>
                  <w:tcW w:w="1262" w:type="dxa"/>
                  <w:vAlign w:val="center"/>
                </w:tcPr>
                <w:p w14:paraId="30739F91">
                  <w:pPr>
                    <w:keepNext/>
                    <w:keepLines/>
                    <w:pageBreakBefore w:val="0"/>
                    <w:widowControl/>
                    <w:kinsoku/>
                    <w:wordWrap/>
                    <w:overflowPunct w:val="0"/>
                    <w:topLinePunct w:val="0"/>
                    <w:autoSpaceDE/>
                    <w:autoSpaceDN/>
                    <w:bidi w:val="0"/>
                    <w:jc w:val="center"/>
                    <w:textAlignment w:val="auto"/>
                    <w:rPr>
                      <w:color w:val="auto"/>
                      <w:kern w:val="0"/>
                      <w:szCs w:val="21"/>
                    </w:rPr>
                  </w:pPr>
                  <w:r>
                    <w:rPr>
                      <w:color w:val="auto"/>
                      <w:kern w:val="0"/>
                      <w:szCs w:val="21"/>
                    </w:rPr>
                    <w:t>HW08</w:t>
                  </w:r>
                </w:p>
              </w:tc>
              <w:tc>
                <w:tcPr>
                  <w:tcW w:w="1917" w:type="dxa"/>
                  <w:vAlign w:val="center"/>
                </w:tcPr>
                <w:p w14:paraId="27A23811">
                  <w:pPr>
                    <w:keepNext/>
                    <w:keepLines/>
                    <w:pageBreakBefore w:val="0"/>
                    <w:widowControl/>
                    <w:kinsoku/>
                    <w:wordWrap/>
                    <w:overflowPunct w:val="0"/>
                    <w:topLinePunct w:val="0"/>
                    <w:autoSpaceDE/>
                    <w:autoSpaceDN/>
                    <w:bidi w:val="0"/>
                    <w:jc w:val="center"/>
                    <w:textAlignment w:val="auto"/>
                    <w:rPr>
                      <w:bCs/>
                      <w:color w:val="auto"/>
                      <w:szCs w:val="21"/>
                    </w:rPr>
                  </w:pPr>
                  <w:r>
                    <w:rPr>
                      <w:bCs/>
                      <w:color w:val="auto"/>
                      <w:szCs w:val="21"/>
                    </w:rPr>
                    <w:t>900-199-08</w:t>
                  </w:r>
                </w:p>
              </w:tc>
              <w:tc>
                <w:tcPr>
                  <w:tcW w:w="518" w:type="dxa"/>
                  <w:vAlign w:val="center"/>
                </w:tcPr>
                <w:p w14:paraId="2C03B184">
                  <w:pPr>
                    <w:keepNext/>
                    <w:keepLines/>
                    <w:pageBreakBefore w:val="0"/>
                    <w:widowControl/>
                    <w:kinsoku/>
                    <w:wordWrap/>
                    <w:overflowPunct w:val="0"/>
                    <w:topLinePunct w:val="0"/>
                    <w:autoSpaceDE/>
                    <w:autoSpaceDN/>
                    <w:bidi w:val="0"/>
                    <w:jc w:val="center"/>
                    <w:textAlignment w:val="auto"/>
                    <w:rPr>
                      <w:rFonts w:hint="default" w:eastAsia="宋体"/>
                      <w:bCs/>
                      <w:color w:val="auto"/>
                      <w:szCs w:val="21"/>
                      <w:lang w:val="en-US" w:eastAsia="zh-CN"/>
                    </w:rPr>
                  </w:pPr>
                  <w:r>
                    <w:rPr>
                      <w:rFonts w:hint="eastAsia"/>
                      <w:color w:val="auto"/>
                      <w:kern w:val="0"/>
                      <w:szCs w:val="21"/>
                      <w:lang w:val="en-US" w:eastAsia="zh-CN" w:bidi="ar"/>
                    </w:rPr>
                    <w:t>330</w:t>
                  </w:r>
                </w:p>
              </w:tc>
              <w:tc>
                <w:tcPr>
                  <w:tcW w:w="421" w:type="dxa"/>
                  <w:vAlign w:val="center"/>
                </w:tcPr>
                <w:p w14:paraId="362AB75A">
                  <w:pPr>
                    <w:keepNext/>
                    <w:keepLines/>
                    <w:pageBreakBefore w:val="0"/>
                    <w:widowControl/>
                    <w:kinsoku/>
                    <w:wordWrap/>
                    <w:overflowPunct w:val="0"/>
                    <w:topLinePunct w:val="0"/>
                    <w:autoSpaceDE/>
                    <w:autoSpaceDN/>
                    <w:bidi w:val="0"/>
                    <w:jc w:val="center"/>
                    <w:textAlignment w:val="auto"/>
                    <w:rPr>
                      <w:color w:val="auto"/>
                      <w:szCs w:val="21"/>
                    </w:rPr>
                  </w:pPr>
                  <w:r>
                    <w:rPr>
                      <w:bCs/>
                      <w:color w:val="auto"/>
                      <w:szCs w:val="21"/>
                    </w:rPr>
                    <w:t>预处理工序</w:t>
                  </w:r>
                </w:p>
              </w:tc>
              <w:tc>
                <w:tcPr>
                  <w:tcW w:w="298" w:type="dxa"/>
                  <w:vAlign w:val="center"/>
                </w:tcPr>
                <w:p w14:paraId="4A54E2A6">
                  <w:pPr>
                    <w:keepNext/>
                    <w:keepLines/>
                    <w:pageBreakBefore w:val="0"/>
                    <w:widowControl/>
                    <w:kinsoku/>
                    <w:wordWrap/>
                    <w:overflowPunct w:val="0"/>
                    <w:topLinePunct w:val="0"/>
                    <w:autoSpaceDE/>
                    <w:autoSpaceDN/>
                    <w:bidi w:val="0"/>
                    <w:jc w:val="center"/>
                    <w:textAlignment w:val="auto"/>
                    <w:rPr>
                      <w:bCs/>
                      <w:color w:val="auto"/>
                      <w:szCs w:val="21"/>
                    </w:rPr>
                  </w:pPr>
                  <w:r>
                    <w:rPr>
                      <w:bCs/>
                      <w:color w:val="auto"/>
                      <w:szCs w:val="21"/>
                    </w:rPr>
                    <w:t>液体</w:t>
                  </w:r>
                </w:p>
              </w:tc>
              <w:tc>
                <w:tcPr>
                  <w:tcW w:w="474" w:type="dxa"/>
                  <w:vAlign w:val="center"/>
                </w:tcPr>
                <w:p w14:paraId="6C6A6FC0">
                  <w:pPr>
                    <w:keepNext/>
                    <w:keepLines/>
                    <w:pageBreakBefore w:val="0"/>
                    <w:widowControl/>
                    <w:kinsoku/>
                    <w:wordWrap/>
                    <w:overflowPunct w:val="0"/>
                    <w:topLinePunct w:val="0"/>
                    <w:autoSpaceDE/>
                    <w:autoSpaceDN/>
                    <w:bidi w:val="0"/>
                    <w:jc w:val="center"/>
                    <w:textAlignment w:val="auto"/>
                    <w:rPr>
                      <w:bCs/>
                      <w:color w:val="auto"/>
                      <w:szCs w:val="21"/>
                    </w:rPr>
                  </w:pPr>
                  <w:r>
                    <w:rPr>
                      <w:bCs/>
                      <w:color w:val="auto"/>
                      <w:szCs w:val="21"/>
                      <w:lang w:val="en-GB"/>
                    </w:rPr>
                    <w:t>柴油、机油及油水分离装置浮油和油泥</w:t>
                  </w:r>
                </w:p>
              </w:tc>
              <w:tc>
                <w:tcPr>
                  <w:tcW w:w="475" w:type="dxa"/>
                  <w:vAlign w:val="center"/>
                </w:tcPr>
                <w:p w14:paraId="1D46B465">
                  <w:pPr>
                    <w:keepNext/>
                    <w:keepLines/>
                    <w:pageBreakBefore w:val="0"/>
                    <w:widowControl/>
                    <w:kinsoku/>
                    <w:wordWrap/>
                    <w:overflowPunct w:val="0"/>
                    <w:topLinePunct w:val="0"/>
                    <w:autoSpaceDE/>
                    <w:autoSpaceDN/>
                    <w:bidi w:val="0"/>
                    <w:jc w:val="center"/>
                    <w:textAlignment w:val="auto"/>
                    <w:rPr>
                      <w:color w:val="auto"/>
                      <w:kern w:val="0"/>
                      <w:szCs w:val="21"/>
                      <w:lang w:bidi="ar"/>
                    </w:rPr>
                  </w:pPr>
                  <w:r>
                    <w:rPr>
                      <w:bCs/>
                      <w:color w:val="auto"/>
                      <w:szCs w:val="21"/>
                      <w:lang w:val="en-GB"/>
                    </w:rPr>
                    <w:t>柴油、机油及油水分离装置浮油和油泥</w:t>
                  </w:r>
                </w:p>
              </w:tc>
              <w:tc>
                <w:tcPr>
                  <w:tcW w:w="279" w:type="dxa"/>
                  <w:vAlign w:val="center"/>
                </w:tcPr>
                <w:p w14:paraId="3AD60D6F">
                  <w:pPr>
                    <w:keepNext/>
                    <w:keepLines/>
                    <w:pageBreakBefore w:val="0"/>
                    <w:widowControl/>
                    <w:kinsoku/>
                    <w:wordWrap/>
                    <w:overflowPunct w:val="0"/>
                    <w:topLinePunct w:val="0"/>
                    <w:autoSpaceDE/>
                    <w:autoSpaceDN/>
                    <w:bidi w:val="0"/>
                    <w:jc w:val="center"/>
                    <w:textAlignment w:val="auto"/>
                    <w:rPr>
                      <w:bCs/>
                      <w:color w:val="auto"/>
                      <w:szCs w:val="21"/>
                    </w:rPr>
                  </w:pPr>
                  <w:r>
                    <w:rPr>
                      <w:bCs/>
                      <w:color w:val="auto"/>
                      <w:szCs w:val="21"/>
                    </w:rPr>
                    <w:t>连续</w:t>
                  </w:r>
                </w:p>
              </w:tc>
              <w:tc>
                <w:tcPr>
                  <w:tcW w:w="381" w:type="dxa"/>
                  <w:vAlign w:val="center"/>
                </w:tcPr>
                <w:p w14:paraId="783F7DE7">
                  <w:pPr>
                    <w:keepNext/>
                    <w:keepLines/>
                    <w:pageBreakBefore w:val="0"/>
                    <w:widowControl/>
                    <w:kinsoku/>
                    <w:wordWrap/>
                    <w:overflowPunct w:val="0"/>
                    <w:topLinePunct w:val="0"/>
                    <w:autoSpaceDE/>
                    <w:autoSpaceDN/>
                    <w:bidi w:val="0"/>
                    <w:jc w:val="center"/>
                    <w:textAlignment w:val="auto"/>
                    <w:rPr>
                      <w:bCs/>
                      <w:color w:val="auto"/>
                      <w:szCs w:val="21"/>
                      <w:lang w:bidi="ar"/>
                    </w:rPr>
                  </w:pPr>
                  <w:r>
                    <w:rPr>
                      <w:bCs/>
                      <w:color w:val="auto"/>
                      <w:szCs w:val="21"/>
                      <w:lang w:bidi="ar"/>
                    </w:rPr>
                    <w:t>T/I</w:t>
                  </w:r>
                </w:p>
              </w:tc>
              <w:tc>
                <w:tcPr>
                  <w:tcW w:w="514" w:type="dxa"/>
                  <w:vAlign w:val="center"/>
                </w:tcPr>
                <w:p w14:paraId="1C03834E">
                  <w:pPr>
                    <w:keepNext/>
                    <w:keepLines/>
                    <w:pageBreakBefore w:val="0"/>
                    <w:widowControl/>
                    <w:kinsoku/>
                    <w:wordWrap/>
                    <w:overflowPunct w:val="0"/>
                    <w:topLinePunct w:val="0"/>
                    <w:autoSpaceDE/>
                    <w:autoSpaceDN/>
                    <w:bidi w:val="0"/>
                    <w:jc w:val="center"/>
                    <w:textAlignment w:val="auto"/>
                    <w:rPr>
                      <w:bCs/>
                      <w:color w:val="auto"/>
                      <w:szCs w:val="21"/>
                      <w:lang w:bidi="ar"/>
                    </w:rPr>
                  </w:pPr>
                  <w:r>
                    <w:rPr>
                      <w:bCs/>
                      <w:color w:val="auto"/>
                      <w:szCs w:val="21"/>
                      <w:lang w:bidi="ar"/>
                    </w:rPr>
                    <w:t>送有资质单位处置</w:t>
                  </w:r>
                </w:p>
              </w:tc>
            </w:tr>
            <w:tr w14:paraId="0A8F9D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PrEx>
              <w:trPr>
                <w:cantSplit/>
              </w:trPr>
              <w:tc>
                <w:tcPr>
                  <w:tcW w:w="384" w:type="dxa"/>
                  <w:vMerge w:val="continue"/>
                  <w:vAlign w:val="center"/>
                </w:tcPr>
                <w:p w14:paraId="4FDF2124">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591" w:type="dxa"/>
                  <w:vAlign w:val="center"/>
                </w:tcPr>
                <w:p w14:paraId="1DD407DA">
                  <w:pPr>
                    <w:keepNext/>
                    <w:keepLines/>
                    <w:pageBreakBefore w:val="0"/>
                    <w:widowControl/>
                    <w:kinsoku/>
                    <w:wordWrap/>
                    <w:overflowPunct w:val="0"/>
                    <w:topLinePunct w:val="0"/>
                    <w:autoSpaceDE/>
                    <w:autoSpaceDN/>
                    <w:bidi w:val="0"/>
                    <w:jc w:val="center"/>
                    <w:textAlignment w:val="auto"/>
                    <w:rPr>
                      <w:bCs/>
                      <w:color w:val="auto"/>
                      <w:kern w:val="0"/>
                      <w:szCs w:val="21"/>
                    </w:rPr>
                  </w:pPr>
                  <w:r>
                    <w:rPr>
                      <w:rFonts w:hint="eastAsia"/>
                      <w:bCs/>
                      <w:color w:val="auto"/>
                      <w:kern w:val="0"/>
                      <w:szCs w:val="21"/>
                    </w:rPr>
                    <w:t>沾有油污的手套、抹布、废墩布</w:t>
                  </w:r>
                </w:p>
              </w:tc>
              <w:tc>
                <w:tcPr>
                  <w:tcW w:w="1262" w:type="dxa"/>
                  <w:vAlign w:val="center"/>
                </w:tcPr>
                <w:p w14:paraId="58D31A4D">
                  <w:pPr>
                    <w:keepNext/>
                    <w:keepLines/>
                    <w:pageBreakBefore w:val="0"/>
                    <w:widowControl/>
                    <w:kinsoku/>
                    <w:wordWrap/>
                    <w:overflowPunct w:val="0"/>
                    <w:topLinePunct w:val="0"/>
                    <w:autoSpaceDE/>
                    <w:autoSpaceDN/>
                    <w:bidi w:val="0"/>
                    <w:jc w:val="center"/>
                    <w:textAlignment w:val="auto"/>
                    <w:rPr>
                      <w:color w:val="auto"/>
                      <w:kern w:val="0"/>
                      <w:szCs w:val="21"/>
                    </w:rPr>
                  </w:pPr>
                  <w:r>
                    <w:rPr>
                      <w:rFonts w:hint="eastAsia"/>
                      <w:color w:val="auto"/>
                      <w:kern w:val="0"/>
                      <w:szCs w:val="21"/>
                    </w:rPr>
                    <w:t>HW49</w:t>
                  </w:r>
                </w:p>
              </w:tc>
              <w:tc>
                <w:tcPr>
                  <w:tcW w:w="1917" w:type="dxa"/>
                  <w:vAlign w:val="center"/>
                </w:tcPr>
                <w:p w14:paraId="5E274375">
                  <w:pPr>
                    <w:keepNext/>
                    <w:keepLines/>
                    <w:pageBreakBefore w:val="0"/>
                    <w:widowControl/>
                    <w:kinsoku/>
                    <w:wordWrap/>
                    <w:overflowPunct w:val="0"/>
                    <w:topLinePunct w:val="0"/>
                    <w:autoSpaceDE/>
                    <w:autoSpaceDN/>
                    <w:bidi w:val="0"/>
                    <w:jc w:val="center"/>
                    <w:textAlignment w:val="auto"/>
                    <w:rPr>
                      <w:bCs/>
                      <w:color w:val="auto"/>
                      <w:szCs w:val="21"/>
                    </w:rPr>
                  </w:pPr>
                  <w:r>
                    <w:rPr>
                      <w:rFonts w:hint="eastAsia"/>
                      <w:bCs/>
                      <w:color w:val="auto"/>
                      <w:szCs w:val="21"/>
                    </w:rPr>
                    <w:t>900-041-49</w:t>
                  </w:r>
                </w:p>
              </w:tc>
              <w:tc>
                <w:tcPr>
                  <w:tcW w:w="518" w:type="dxa"/>
                  <w:vAlign w:val="center"/>
                </w:tcPr>
                <w:p w14:paraId="32097893">
                  <w:pPr>
                    <w:keepNext/>
                    <w:keepLines/>
                    <w:pageBreakBefore w:val="0"/>
                    <w:widowControl/>
                    <w:kinsoku/>
                    <w:wordWrap/>
                    <w:overflowPunct w:val="0"/>
                    <w:topLinePunct w:val="0"/>
                    <w:autoSpaceDE/>
                    <w:autoSpaceDN/>
                    <w:bidi w:val="0"/>
                    <w:jc w:val="center"/>
                    <w:textAlignment w:val="auto"/>
                    <w:rPr>
                      <w:rFonts w:hint="default"/>
                      <w:color w:val="auto"/>
                      <w:kern w:val="0"/>
                      <w:szCs w:val="21"/>
                      <w:lang w:val="en-US" w:eastAsia="zh-CN" w:bidi="ar"/>
                    </w:rPr>
                  </w:pPr>
                  <w:r>
                    <w:rPr>
                      <w:rFonts w:hint="eastAsia"/>
                      <w:color w:val="auto"/>
                      <w:kern w:val="0"/>
                      <w:szCs w:val="21"/>
                      <w:lang w:val="en-US" w:eastAsia="zh-CN" w:bidi="ar"/>
                    </w:rPr>
                    <w:t>0.1</w:t>
                  </w:r>
                </w:p>
              </w:tc>
              <w:tc>
                <w:tcPr>
                  <w:tcW w:w="421" w:type="dxa"/>
                  <w:vAlign w:val="center"/>
                </w:tcPr>
                <w:p w14:paraId="252D6152">
                  <w:pPr>
                    <w:keepNext/>
                    <w:keepLines/>
                    <w:pageBreakBefore w:val="0"/>
                    <w:widowControl/>
                    <w:kinsoku/>
                    <w:wordWrap/>
                    <w:overflowPunct w:val="0"/>
                    <w:topLinePunct w:val="0"/>
                    <w:autoSpaceDE/>
                    <w:autoSpaceDN/>
                    <w:bidi w:val="0"/>
                    <w:jc w:val="center"/>
                    <w:textAlignment w:val="auto"/>
                    <w:rPr>
                      <w:rFonts w:hint="default" w:eastAsia="宋体"/>
                      <w:bCs/>
                      <w:color w:val="auto"/>
                      <w:szCs w:val="21"/>
                      <w:lang w:val="en-US" w:eastAsia="zh-CN"/>
                    </w:rPr>
                  </w:pPr>
                  <w:r>
                    <w:rPr>
                      <w:rFonts w:hint="eastAsia"/>
                      <w:bCs/>
                      <w:color w:val="auto"/>
                      <w:szCs w:val="21"/>
                      <w:lang w:val="en-US" w:eastAsia="zh-CN"/>
                    </w:rPr>
                    <w:t>拆解工序</w:t>
                  </w:r>
                </w:p>
              </w:tc>
              <w:tc>
                <w:tcPr>
                  <w:tcW w:w="298" w:type="dxa"/>
                  <w:vAlign w:val="center"/>
                </w:tcPr>
                <w:p w14:paraId="562A9771">
                  <w:pPr>
                    <w:keepNext/>
                    <w:keepLines/>
                    <w:pageBreakBefore w:val="0"/>
                    <w:widowControl/>
                    <w:kinsoku/>
                    <w:wordWrap/>
                    <w:overflowPunct w:val="0"/>
                    <w:topLinePunct w:val="0"/>
                    <w:autoSpaceDE/>
                    <w:autoSpaceDN/>
                    <w:bidi w:val="0"/>
                    <w:jc w:val="center"/>
                    <w:textAlignment w:val="auto"/>
                    <w:rPr>
                      <w:rFonts w:hint="default" w:eastAsia="宋体"/>
                      <w:bCs/>
                      <w:color w:val="auto"/>
                      <w:szCs w:val="21"/>
                      <w:lang w:val="en-US" w:eastAsia="zh-CN"/>
                    </w:rPr>
                  </w:pPr>
                  <w:r>
                    <w:rPr>
                      <w:rFonts w:hint="eastAsia"/>
                      <w:bCs/>
                      <w:color w:val="auto"/>
                      <w:szCs w:val="21"/>
                      <w:lang w:val="en-US" w:eastAsia="zh-CN"/>
                    </w:rPr>
                    <w:t>固体</w:t>
                  </w:r>
                </w:p>
              </w:tc>
              <w:tc>
                <w:tcPr>
                  <w:tcW w:w="474" w:type="dxa"/>
                  <w:vAlign w:val="center"/>
                </w:tcPr>
                <w:p w14:paraId="609A3AD0">
                  <w:pPr>
                    <w:keepNext/>
                    <w:keepLines/>
                    <w:pageBreakBefore w:val="0"/>
                    <w:widowControl/>
                    <w:kinsoku/>
                    <w:wordWrap/>
                    <w:overflowPunct w:val="0"/>
                    <w:topLinePunct w:val="0"/>
                    <w:autoSpaceDE/>
                    <w:autoSpaceDN/>
                    <w:bidi w:val="0"/>
                    <w:jc w:val="center"/>
                    <w:textAlignment w:val="auto"/>
                    <w:rPr>
                      <w:bCs/>
                      <w:color w:val="auto"/>
                      <w:szCs w:val="21"/>
                      <w:lang w:val="en-GB"/>
                    </w:rPr>
                  </w:pPr>
                  <w:r>
                    <w:rPr>
                      <w:rFonts w:hint="eastAsia"/>
                      <w:bCs/>
                      <w:color w:val="auto"/>
                      <w:szCs w:val="21"/>
                      <w:lang w:val="en-GB"/>
                    </w:rPr>
                    <w:t>沾有油污的手套、抹布、废墩布</w:t>
                  </w:r>
                </w:p>
              </w:tc>
              <w:tc>
                <w:tcPr>
                  <w:tcW w:w="475" w:type="dxa"/>
                  <w:vAlign w:val="center"/>
                </w:tcPr>
                <w:p w14:paraId="563992E7">
                  <w:pPr>
                    <w:keepNext/>
                    <w:keepLines/>
                    <w:pageBreakBefore w:val="0"/>
                    <w:widowControl/>
                    <w:kinsoku/>
                    <w:wordWrap/>
                    <w:overflowPunct w:val="0"/>
                    <w:topLinePunct w:val="0"/>
                    <w:autoSpaceDE/>
                    <w:autoSpaceDN/>
                    <w:bidi w:val="0"/>
                    <w:jc w:val="center"/>
                    <w:textAlignment w:val="auto"/>
                    <w:rPr>
                      <w:bCs/>
                      <w:color w:val="auto"/>
                      <w:szCs w:val="21"/>
                      <w:lang w:val="en-GB"/>
                    </w:rPr>
                  </w:pPr>
                  <w:r>
                    <w:rPr>
                      <w:rFonts w:hint="eastAsia"/>
                      <w:bCs/>
                      <w:color w:val="auto"/>
                      <w:szCs w:val="21"/>
                      <w:lang w:val="en-GB"/>
                    </w:rPr>
                    <w:t>沾有油污的手套、抹布、废墩布</w:t>
                  </w:r>
                </w:p>
              </w:tc>
              <w:tc>
                <w:tcPr>
                  <w:tcW w:w="279" w:type="dxa"/>
                  <w:vAlign w:val="center"/>
                </w:tcPr>
                <w:p w14:paraId="260C21D4">
                  <w:pPr>
                    <w:keepNext/>
                    <w:keepLines/>
                    <w:pageBreakBefore w:val="0"/>
                    <w:widowControl/>
                    <w:kinsoku/>
                    <w:wordWrap/>
                    <w:overflowPunct w:val="0"/>
                    <w:topLinePunct w:val="0"/>
                    <w:autoSpaceDE/>
                    <w:autoSpaceDN/>
                    <w:bidi w:val="0"/>
                    <w:jc w:val="center"/>
                    <w:textAlignment w:val="auto"/>
                    <w:rPr>
                      <w:rFonts w:ascii="Times New Roman" w:hAnsi="Times New Roman" w:eastAsia="宋体" w:cs="Times New Roman"/>
                      <w:bCs/>
                      <w:color w:val="auto"/>
                      <w:kern w:val="2"/>
                      <w:sz w:val="21"/>
                      <w:szCs w:val="21"/>
                      <w:lang w:val="en-US" w:eastAsia="zh-CN" w:bidi="ar-SA"/>
                    </w:rPr>
                  </w:pPr>
                  <w:r>
                    <w:rPr>
                      <w:bCs/>
                      <w:color w:val="auto"/>
                      <w:szCs w:val="21"/>
                    </w:rPr>
                    <w:t>连续</w:t>
                  </w:r>
                </w:p>
              </w:tc>
              <w:tc>
                <w:tcPr>
                  <w:tcW w:w="381" w:type="dxa"/>
                  <w:vAlign w:val="center"/>
                </w:tcPr>
                <w:p w14:paraId="49E54D55">
                  <w:pPr>
                    <w:keepNext/>
                    <w:keepLines/>
                    <w:pageBreakBefore w:val="0"/>
                    <w:widowControl/>
                    <w:kinsoku/>
                    <w:wordWrap/>
                    <w:overflowPunct w:val="0"/>
                    <w:topLinePunct w:val="0"/>
                    <w:autoSpaceDE/>
                    <w:autoSpaceDN/>
                    <w:bidi w:val="0"/>
                    <w:jc w:val="center"/>
                    <w:textAlignment w:val="auto"/>
                    <w:rPr>
                      <w:rFonts w:hint="eastAsia" w:ascii="Times New Roman" w:hAnsi="Times New Roman" w:eastAsia="宋体" w:cs="Times New Roman"/>
                      <w:bCs/>
                      <w:color w:val="auto"/>
                      <w:kern w:val="2"/>
                      <w:sz w:val="21"/>
                      <w:szCs w:val="21"/>
                      <w:lang w:val="en-US" w:eastAsia="zh-CN" w:bidi="ar"/>
                    </w:rPr>
                  </w:pPr>
                  <w:r>
                    <w:rPr>
                      <w:bCs/>
                      <w:color w:val="auto"/>
                      <w:szCs w:val="21"/>
                      <w:lang w:bidi="ar"/>
                    </w:rPr>
                    <w:t>T/I</w:t>
                  </w:r>
                  <w:r>
                    <w:rPr>
                      <w:rFonts w:hint="eastAsia"/>
                      <w:bCs/>
                      <w:color w:val="auto"/>
                      <w:szCs w:val="21"/>
                      <w:lang w:val="en-US" w:eastAsia="zh-CN" w:bidi="ar"/>
                    </w:rPr>
                    <w:t>n</w:t>
                  </w:r>
                </w:p>
              </w:tc>
              <w:tc>
                <w:tcPr>
                  <w:tcW w:w="514" w:type="dxa"/>
                  <w:vAlign w:val="center"/>
                </w:tcPr>
                <w:p w14:paraId="4DD2711B">
                  <w:pPr>
                    <w:keepNext/>
                    <w:keepLines/>
                    <w:pageBreakBefore w:val="0"/>
                    <w:widowControl/>
                    <w:kinsoku/>
                    <w:wordWrap/>
                    <w:overflowPunct w:val="0"/>
                    <w:topLinePunct w:val="0"/>
                    <w:autoSpaceDE/>
                    <w:autoSpaceDN/>
                    <w:bidi w:val="0"/>
                    <w:jc w:val="center"/>
                    <w:textAlignment w:val="auto"/>
                    <w:rPr>
                      <w:rFonts w:ascii="Times New Roman" w:hAnsi="Times New Roman" w:eastAsia="宋体" w:cs="Times New Roman"/>
                      <w:bCs/>
                      <w:color w:val="auto"/>
                      <w:kern w:val="2"/>
                      <w:sz w:val="21"/>
                      <w:szCs w:val="21"/>
                      <w:lang w:val="en-US" w:eastAsia="zh-CN" w:bidi="ar"/>
                    </w:rPr>
                  </w:pPr>
                  <w:r>
                    <w:rPr>
                      <w:bCs/>
                      <w:color w:val="auto"/>
                      <w:szCs w:val="21"/>
                      <w:lang w:bidi="ar"/>
                    </w:rPr>
                    <w:t>送有资质单位处置</w:t>
                  </w:r>
                </w:p>
              </w:tc>
            </w:tr>
            <w:tr w14:paraId="039A5E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trPr>
              <w:tc>
                <w:tcPr>
                  <w:tcW w:w="384" w:type="dxa"/>
                  <w:vMerge w:val="continue"/>
                  <w:vAlign w:val="center"/>
                </w:tcPr>
                <w:p w14:paraId="44E4ED32">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591" w:type="dxa"/>
                  <w:vAlign w:val="center"/>
                </w:tcPr>
                <w:p w14:paraId="310812E7">
                  <w:pPr>
                    <w:keepNext/>
                    <w:keepLines/>
                    <w:pageBreakBefore w:val="0"/>
                    <w:widowControl/>
                    <w:kinsoku/>
                    <w:wordWrap/>
                    <w:overflowPunct w:val="0"/>
                    <w:topLinePunct w:val="0"/>
                    <w:autoSpaceDE/>
                    <w:autoSpaceDN/>
                    <w:bidi w:val="0"/>
                    <w:jc w:val="center"/>
                    <w:textAlignment w:val="auto"/>
                    <w:rPr>
                      <w:rFonts w:hint="default" w:eastAsia="宋体"/>
                      <w:bCs/>
                      <w:color w:val="auto"/>
                      <w:kern w:val="0"/>
                      <w:szCs w:val="21"/>
                      <w:lang w:val="en-US" w:eastAsia="zh-CN"/>
                    </w:rPr>
                  </w:pPr>
                  <w:r>
                    <w:rPr>
                      <w:rFonts w:hint="eastAsia"/>
                      <w:bCs/>
                      <w:color w:val="auto"/>
                      <w:kern w:val="0"/>
                      <w:szCs w:val="21"/>
                      <w:lang w:val="en-US" w:eastAsia="zh-CN"/>
                    </w:rPr>
                    <w:t>石棉废物</w:t>
                  </w:r>
                </w:p>
              </w:tc>
              <w:tc>
                <w:tcPr>
                  <w:tcW w:w="1262" w:type="dxa"/>
                  <w:vAlign w:val="center"/>
                </w:tcPr>
                <w:p w14:paraId="7FF5C276">
                  <w:pPr>
                    <w:keepNext/>
                    <w:jc w:val="center"/>
                    <w:rPr>
                      <w:rFonts w:hint="eastAsia"/>
                      <w:color w:val="auto"/>
                      <w:kern w:val="0"/>
                      <w:szCs w:val="21"/>
                    </w:rPr>
                  </w:pPr>
                  <w:r>
                    <w:rPr>
                      <w:color w:val="auto"/>
                      <w:szCs w:val="21"/>
                    </w:rPr>
                    <w:t>HW36</w:t>
                  </w:r>
                </w:p>
              </w:tc>
              <w:tc>
                <w:tcPr>
                  <w:tcW w:w="1917" w:type="dxa"/>
                  <w:vAlign w:val="center"/>
                </w:tcPr>
                <w:p w14:paraId="6E357407">
                  <w:pPr>
                    <w:keepNext/>
                    <w:jc w:val="center"/>
                    <w:rPr>
                      <w:rFonts w:hint="eastAsia"/>
                      <w:bCs/>
                      <w:color w:val="auto"/>
                      <w:szCs w:val="21"/>
                    </w:rPr>
                  </w:pPr>
                  <w:r>
                    <w:rPr>
                      <w:color w:val="auto"/>
                      <w:szCs w:val="21"/>
                    </w:rPr>
                    <w:t>900-032-36</w:t>
                  </w:r>
                </w:p>
              </w:tc>
              <w:tc>
                <w:tcPr>
                  <w:tcW w:w="518" w:type="dxa"/>
                  <w:vAlign w:val="center"/>
                </w:tcPr>
                <w:p w14:paraId="607DF3CD">
                  <w:pPr>
                    <w:keepNext/>
                    <w:widowControl/>
                    <w:jc w:val="center"/>
                    <w:rPr>
                      <w:rFonts w:hint="default" w:eastAsia="宋体"/>
                      <w:color w:val="auto"/>
                      <w:kern w:val="0"/>
                      <w:szCs w:val="21"/>
                      <w:lang w:val="en-US" w:eastAsia="zh-CN" w:bidi="ar"/>
                    </w:rPr>
                  </w:pPr>
                  <w:r>
                    <w:rPr>
                      <w:rFonts w:hint="eastAsia"/>
                      <w:color w:val="auto"/>
                      <w:szCs w:val="21"/>
                      <w:lang w:val="en-US" w:eastAsia="zh-CN"/>
                    </w:rPr>
                    <w:t>6</w:t>
                  </w:r>
                </w:p>
              </w:tc>
              <w:tc>
                <w:tcPr>
                  <w:tcW w:w="421" w:type="dxa"/>
                  <w:vAlign w:val="center"/>
                </w:tcPr>
                <w:p w14:paraId="69C2F57E">
                  <w:pPr>
                    <w:keepNext/>
                    <w:jc w:val="center"/>
                    <w:rPr>
                      <w:rFonts w:hint="eastAsia"/>
                      <w:bCs/>
                      <w:color w:val="auto"/>
                      <w:szCs w:val="21"/>
                      <w:lang w:val="en-US" w:eastAsia="zh-CN"/>
                    </w:rPr>
                  </w:pPr>
                  <w:r>
                    <w:rPr>
                      <w:color w:val="auto"/>
                      <w:szCs w:val="21"/>
                    </w:rPr>
                    <w:t>拆解工序</w:t>
                  </w:r>
                </w:p>
              </w:tc>
              <w:tc>
                <w:tcPr>
                  <w:tcW w:w="298" w:type="dxa"/>
                  <w:vAlign w:val="center"/>
                </w:tcPr>
                <w:p w14:paraId="132A9030">
                  <w:pPr>
                    <w:keepNext/>
                    <w:jc w:val="center"/>
                    <w:rPr>
                      <w:rFonts w:hint="eastAsia"/>
                      <w:bCs/>
                      <w:color w:val="auto"/>
                      <w:szCs w:val="21"/>
                      <w:lang w:val="en-US" w:eastAsia="zh-CN"/>
                    </w:rPr>
                  </w:pPr>
                  <w:r>
                    <w:rPr>
                      <w:color w:val="auto"/>
                      <w:szCs w:val="21"/>
                    </w:rPr>
                    <w:t>固体</w:t>
                  </w:r>
                </w:p>
              </w:tc>
              <w:tc>
                <w:tcPr>
                  <w:tcW w:w="474" w:type="dxa"/>
                  <w:vAlign w:val="center"/>
                </w:tcPr>
                <w:p w14:paraId="75C9FB23">
                  <w:pPr>
                    <w:keepNext/>
                    <w:jc w:val="center"/>
                    <w:rPr>
                      <w:rFonts w:hint="eastAsia"/>
                      <w:bCs/>
                      <w:color w:val="auto"/>
                      <w:szCs w:val="21"/>
                      <w:lang w:val="en-GB"/>
                    </w:rPr>
                  </w:pPr>
                  <w:r>
                    <w:rPr>
                      <w:color w:val="auto"/>
                      <w:szCs w:val="21"/>
                    </w:rPr>
                    <w:t>石棉废物</w:t>
                  </w:r>
                </w:p>
              </w:tc>
              <w:tc>
                <w:tcPr>
                  <w:tcW w:w="475" w:type="dxa"/>
                  <w:vAlign w:val="center"/>
                </w:tcPr>
                <w:p w14:paraId="5D1F8B17">
                  <w:pPr>
                    <w:keepNext/>
                    <w:jc w:val="center"/>
                    <w:rPr>
                      <w:rFonts w:hint="eastAsia"/>
                      <w:bCs/>
                      <w:color w:val="auto"/>
                      <w:szCs w:val="21"/>
                      <w:lang w:val="en-GB"/>
                    </w:rPr>
                  </w:pPr>
                  <w:r>
                    <w:rPr>
                      <w:color w:val="auto"/>
                      <w:szCs w:val="21"/>
                    </w:rPr>
                    <w:t>石棉废物纤维</w:t>
                  </w:r>
                </w:p>
              </w:tc>
              <w:tc>
                <w:tcPr>
                  <w:tcW w:w="279" w:type="dxa"/>
                  <w:vAlign w:val="center"/>
                </w:tcPr>
                <w:p w14:paraId="5E9665F9">
                  <w:pPr>
                    <w:keepNext/>
                    <w:jc w:val="center"/>
                    <w:rPr>
                      <w:bCs/>
                      <w:color w:val="auto"/>
                      <w:szCs w:val="21"/>
                    </w:rPr>
                  </w:pPr>
                  <w:r>
                    <w:rPr>
                      <w:color w:val="auto"/>
                      <w:szCs w:val="21"/>
                    </w:rPr>
                    <w:t>连续</w:t>
                  </w:r>
                </w:p>
              </w:tc>
              <w:tc>
                <w:tcPr>
                  <w:tcW w:w="381" w:type="dxa"/>
                  <w:vAlign w:val="center"/>
                </w:tcPr>
                <w:p w14:paraId="5C8683A9">
                  <w:pPr>
                    <w:keepNext/>
                    <w:jc w:val="center"/>
                    <w:rPr>
                      <w:bCs/>
                      <w:color w:val="auto"/>
                      <w:szCs w:val="21"/>
                      <w:lang w:bidi="ar"/>
                    </w:rPr>
                  </w:pPr>
                  <w:r>
                    <w:rPr>
                      <w:color w:val="auto"/>
                      <w:szCs w:val="21"/>
                    </w:rPr>
                    <w:t>T</w:t>
                  </w:r>
                </w:p>
              </w:tc>
              <w:tc>
                <w:tcPr>
                  <w:tcW w:w="514" w:type="dxa"/>
                  <w:vAlign w:val="center"/>
                </w:tcPr>
                <w:p w14:paraId="58A6DE50">
                  <w:pPr>
                    <w:keepNext/>
                    <w:jc w:val="center"/>
                    <w:rPr>
                      <w:bCs/>
                      <w:color w:val="auto"/>
                      <w:szCs w:val="21"/>
                      <w:lang w:bidi="ar"/>
                    </w:rPr>
                  </w:pPr>
                  <w:r>
                    <w:rPr>
                      <w:color w:val="auto"/>
                      <w:szCs w:val="21"/>
                    </w:rPr>
                    <w:t>送有资质单位处置</w:t>
                  </w:r>
                </w:p>
              </w:tc>
            </w:tr>
            <w:tr w14:paraId="5A64EBE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trPr>
              <w:tc>
                <w:tcPr>
                  <w:tcW w:w="384" w:type="dxa"/>
                  <w:vMerge w:val="continue"/>
                  <w:vAlign w:val="center"/>
                </w:tcPr>
                <w:p w14:paraId="1919259C">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p>
              </w:tc>
              <w:tc>
                <w:tcPr>
                  <w:tcW w:w="591" w:type="dxa"/>
                  <w:vAlign w:val="center"/>
                </w:tcPr>
                <w:p w14:paraId="76D99666">
                  <w:pPr>
                    <w:keepNext/>
                    <w:keepLines/>
                    <w:pageBreakBefore w:val="0"/>
                    <w:widowControl/>
                    <w:kinsoku/>
                    <w:wordWrap/>
                    <w:overflowPunct w:val="0"/>
                    <w:topLinePunct w:val="0"/>
                    <w:autoSpaceDE/>
                    <w:autoSpaceDN/>
                    <w:bidi w:val="0"/>
                    <w:jc w:val="center"/>
                    <w:textAlignment w:val="auto"/>
                    <w:rPr>
                      <w:rFonts w:hint="eastAsia"/>
                      <w:bCs/>
                      <w:color w:val="auto"/>
                      <w:kern w:val="0"/>
                      <w:szCs w:val="21"/>
                    </w:rPr>
                  </w:pPr>
                  <w:r>
                    <w:rPr>
                      <w:rFonts w:hint="eastAsia"/>
                      <w:bCs/>
                      <w:color w:val="auto"/>
                      <w:kern w:val="0"/>
                      <w:szCs w:val="21"/>
                    </w:rPr>
                    <w:t>废防冻液</w:t>
                  </w:r>
                </w:p>
              </w:tc>
              <w:tc>
                <w:tcPr>
                  <w:tcW w:w="1262" w:type="dxa"/>
                  <w:vAlign w:val="center"/>
                </w:tcPr>
                <w:p w14:paraId="6CDF0880">
                  <w:pPr>
                    <w:keepNext/>
                    <w:keepLines/>
                    <w:pageBreakBefore w:val="0"/>
                    <w:widowControl/>
                    <w:kinsoku/>
                    <w:wordWrap/>
                    <w:overflowPunct w:val="0"/>
                    <w:topLinePunct w:val="0"/>
                    <w:autoSpaceDE/>
                    <w:autoSpaceDN/>
                    <w:bidi w:val="0"/>
                    <w:jc w:val="center"/>
                    <w:textAlignment w:val="auto"/>
                    <w:rPr>
                      <w:rFonts w:hint="default" w:eastAsia="宋体"/>
                      <w:bCs/>
                      <w:color w:val="auto"/>
                      <w:szCs w:val="21"/>
                      <w:lang w:val="en-US" w:eastAsia="zh-CN"/>
                    </w:rPr>
                  </w:pPr>
                  <w:r>
                    <w:rPr>
                      <w:rFonts w:hint="eastAsia"/>
                      <w:bCs/>
                      <w:color w:val="auto"/>
                      <w:szCs w:val="21"/>
                      <w:lang w:val="en-US" w:eastAsia="zh-CN"/>
                    </w:rPr>
                    <w:t>HW06</w:t>
                  </w:r>
                </w:p>
              </w:tc>
              <w:tc>
                <w:tcPr>
                  <w:tcW w:w="1917" w:type="dxa"/>
                  <w:vAlign w:val="center"/>
                </w:tcPr>
                <w:p w14:paraId="2BE9A283">
                  <w:pPr>
                    <w:keepNext/>
                    <w:keepLines/>
                    <w:pageBreakBefore w:val="0"/>
                    <w:widowControl/>
                    <w:kinsoku/>
                    <w:wordWrap/>
                    <w:overflowPunct w:val="0"/>
                    <w:topLinePunct w:val="0"/>
                    <w:autoSpaceDE/>
                    <w:autoSpaceDN/>
                    <w:bidi w:val="0"/>
                    <w:jc w:val="center"/>
                    <w:textAlignment w:val="auto"/>
                    <w:rPr>
                      <w:rFonts w:hint="default" w:eastAsia="宋体"/>
                      <w:bCs/>
                      <w:color w:val="auto"/>
                      <w:szCs w:val="21"/>
                      <w:lang w:val="en-US" w:eastAsia="zh-CN"/>
                    </w:rPr>
                  </w:pPr>
                  <w:r>
                    <w:rPr>
                      <w:rFonts w:hint="eastAsia"/>
                      <w:bCs/>
                      <w:color w:val="auto"/>
                      <w:szCs w:val="21"/>
                      <w:lang w:val="en-US" w:eastAsia="zh-CN"/>
                    </w:rPr>
                    <w:t>900-404-06</w:t>
                  </w:r>
                </w:p>
              </w:tc>
              <w:tc>
                <w:tcPr>
                  <w:tcW w:w="518" w:type="dxa"/>
                  <w:vAlign w:val="center"/>
                </w:tcPr>
                <w:p w14:paraId="071F673C">
                  <w:pPr>
                    <w:keepNext/>
                    <w:keepLines/>
                    <w:pageBreakBefore w:val="0"/>
                    <w:widowControl/>
                    <w:kinsoku/>
                    <w:wordWrap/>
                    <w:overflowPunct w:val="0"/>
                    <w:topLinePunct w:val="0"/>
                    <w:autoSpaceDE/>
                    <w:autoSpaceDN/>
                    <w:bidi w:val="0"/>
                    <w:spacing w:line="260" w:lineRule="exact"/>
                    <w:jc w:val="center"/>
                    <w:textAlignment w:val="auto"/>
                    <w:rPr>
                      <w:rFonts w:hint="default"/>
                      <w:color w:val="auto"/>
                      <w:kern w:val="0"/>
                      <w:szCs w:val="21"/>
                      <w:highlight w:val="none"/>
                      <w:lang w:val="en-US" w:eastAsia="zh-CN" w:bidi="ar"/>
                    </w:rPr>
                  </w:pPr>
                  <w:r>
                    <w:rPr>
                      <w:rFonts w:hint="eastAsia"/>
                      <w:bCs/>
                      <w:color w:val="auto"/>
                      <w:szCs w:val="21"/>
                      <w:highlight w:val="none"/>
                      <w:lang w:val="en-US" w:eastAsia="zh-CN"/>
                    </w:rPr>
                    <w:t>15</w:t>
                  </w:r>
                </w:p>
              </w:tc>
              <w:tc>
                <w:tcPr>
                  <w:tcW w:w="421" w:type="dxa"/>
                  <w:vAlign w:val="center"/>
                </w:tcPr>
                <w:p w14:paraId="11416500">
                  <w:pPr>
                    <w:keepNext/>
                    <w:keepLines/>
                    <w:pageBreakBefore w:val="0"/>
                    <w:widowControl/>
                    <w:kinsoku/>
                    <w:wordWrap/>
                    <w:overflowPunct w:val="0"/>
                    <w:topLinePunct w:val="0"/>
                    <w:autoSpaceDE/>
                    <w:autoSpaceDN/>
                    <w:bidi w:val="0"/>
                    <w:spacing w:line="260" w:lineRule="exact"/>
                    <w:jc w:val="center"/>
                    <w:textAlignment w:val="auto"/>
                    <w:rPr>
                      <w:rFonts w:hint="eastAsia"/>
                      <w:bCs/>
                      <w:color w:val="auto"/>
                      <w:szCs w:val="21"/>
                      <w:highlight w:val="none"/>
                      <w:lang w:val="en-US" w:eastAsia="zh-CN"/>
                    </w:rPr>
                  </w:pPr>
                  <w:r>
                    <w:rPr>
                      <w:bCs/>
                      <w:color w:val="auto"/>
                      <w:szCs w:val="21"/>
                      <w:highlight w:val="none"/>
                    </w:rPr>
                    <w:t>预处理工序</w:t>
                  </w:r>
                </w:p>
              </w:tc>
              <w:tc>
                <w:tcPr>
                  <w:tcW w:w="298" w:type="dxa"/>
                  <w:vAlign w:val="center"/>
                </w:tcPr>
                <w:p w14:paraId="0635F3AB">
                  <w:pPr>
                    <w:keepNext/>
                    <w:keepLines/>
                    <w:pageBreakBefore w:val="0"/>
                    <w:widowControl/>
                    <w:kinsoku/>
                    <w:wordWrap/>
                    <w:overflowPunct w:val="0"/>
                    <w:topLinePunct w:val="0"/>
                    <w:autoSpaceDE/>
                    <w:autoSpaceDN/>
                    <w:bidi w:val="0"/>
                    <w:spacing w:line="260" w:lineRule="exact"/>
                    <w:jc w:val="center"/>
                    <w:textAlignment w:val="auto"/>
                    <w:rPr>
                      <w:rFonts w:hint="eastAsia"/>
                      <w:bCs/>
                      <w:color w:val="auto"/>
                      <w:szCs w:val="21"/>
                      <w:highlight w:val="none"/>
                      <w:lang w:val="en-US" w:eastAsia="zh-CN"/>
                    </w:rPr>
                  </w:pPr>
                  <w:r>
                    <w:rPr>
                      <w:bCs/>
                      <w:color w:val="auto"/>
                      <w:szCs w:val="21"/>
                      <w:highlight w:val="none"/>
                    </w:rPr>
                    <w:t>液体</w:t>
                  </w:r>
                </w:p>
              </w:tc>
              <w:tc>
                <w:tcPr>
                  <w:tcW w:w="474" w:type="dxa"/>
                  <w:vAlign w:val="center"/>
                </w:tcPr>
                <w:p w14:paraId="0B67133A">
                  <w:pPr>
                    <w:keepNext/>
                    <w:keepLines/>
                    <w:pageBreakBefore w:val="0"/>
                    <w:widowControl/>
                    <w:kinsoku/>
                    <w:wordWrap/>
                    <w:overflowPunct w:val="0"/>
                    <w:topLinePunct w:val="0"/>
                    <w:autoSpaceDE/>
                    <w:autoSpaceDN/>
                    <w:bidi w:val="0"/>
                    <w:jc w:val="center"/>
                    <w:textAlignment w:val="auto"/>
                    <w:rPr>
                      <w:rFonts w:hint="eastAsia"/>
                      <w:bCs/>
                      <w:color w:val="auto"/>
                      <w:szCs w:val="21"/>
                      <w:highlight w:val="none"/>
                      <w:lang w:val="en-GB"/>
                    </w:rPr>
                  </w:pPr>
                  <w:r>
                    <w:rPr>
                      <w:color w:val="auto"/>
                      <w:kern w:val="0"/>
                      <w:szCs w:val="21"/>
                      <w:highlight w:val="none"/>
                      <w:lang w:val="en-GB" w:bidi="ar"/>
                    </w:rPr>
                    <w:t>乙二醇</w:t>
                  </w:r>
                </w:p>
              </w:tc>
              <w:tc>
                <w:tcPr>
                  <w:tcW w:w="475" w:type="dxa"/>
                  <w:vAlign w:val="center"/>
                </w:tcPr>
                <w:p w14:paraId="0BD612EA">
                  <w:pPr>
                    <w:keepNext/>
                    <w:keepLines/>
                    <w:pageBreakBefore w:val="0"/>
                    <w:widowControl/>
                    <w:kinsoku/>
                    <w:wordWrap/>
                    <w:overflowPunct w:val="0"/>
                    <w:topLinePunct w:val="0"/>
                    <w:autoSpaceDE/>
                    <w:autoSpaceDN/>
                    <w:bidi w:val="0"/>
                    <w:jc w:val="center"/>
                    <w:textAlignment w:val="auto"/>
                    <w:rPr>
                      <w:rFonts w:hint="eastAsia"/>
                      <w:bCs/>
                      <w:color w:val="auto"/>
                      <w:szCs w:val="21"/>
                      <w:highlight w:val="none"/>
                      <w:lang w:val="en-GB"/>
                    </w:rPr>
                  </w:pPr>
                  <w:r>
                    <w:rPr>
                      <w:color w:val="auto"/>
                      <w:kern w:val="0"/>
                      <w:szCs w:val="21"/>
                      <w:highlight w:val="none"/>
                      <w:lang w:val="en-GB" w:bidi="ar"/>
                    </w:rPr>
                    <w:t>乙二醇</w:t>
                  </w:r>
                </w:p>
              </w:tc>
              <w:tc>
                <w:tcPr>
                  <w:tcW w:w="279" w:type="dxa"/>
                  <w:vAlign w:val="center"/>
                </w:tcPr>
                <w:p w14:paraId="73ABC625">
                  <w:pPr>
                    <w:keepNext/>
                    <w:keepLines/>
                    <w:pageBreakBefore w:val="0"/>
                    <w:widowControl/>
                    <w:kinsoku/>
                    <w:wordWrap/>
                    <w:overflowPunct w:val="0"/>
                    <w:topLinePunct w:val="0"/>
                    <w:autoSpaceDE/>
                    <w:autoSpaceDN/>
                    <w:bidi w:val="0"/>
                    <w:jc w:val="center"/>
                    <w:textAlignment w:val="auto"/>
                    <w:rPr>
                      <w:bCs/>
                      <w:color w:val="auto"/>
                      <w:szCs w:val="21"/>
                      <w:highlight w:val="none"/>
                    </w:rPr>
                  </w:pPr>
                  <w:r>
                    <w:rPr>
                      <w:bCs/>
                      <w:color w:val="auto"/>
                      <w:szCs w:val="21"/>
                      <w:highlight w:val="none"/>
                    </w:rPr>
                    <w:t>连续</w:t>
                  </w:r>
                </w:p>
              </w:tc>
              <w:tc>
                <w:tcPr>
                  <w:tcW w:w="381" w:type="dxa"/>
                  <w:vAlign w:val="center"/>
                </w:tcPr>
                <w:p w14:paraId="24EE665C">
                  <w:pPr>
                    <w:keepNext/>
                    <w:keepLines/>
                    <w:pageBreakBefore w:val="0"/>
                    <w:widowControl/>
                    <w:kinsoku/>
                    <w:wordWrap/>
                    <w:overflowPunct w:val="0"/>
                    <w:topLinePunct w:val="0"/>
                    <w:autoSpaceDE/>
                    <w:autoSpaceDN/>
                    <w:bidi w:val="0"/>
                    <w:jc w:val="center"/>
                    <w:textAlignment w:val="auto"/>
                    <w:rPr>
                      <w:bCs/>
                      <w:color w:val="auto"/>
                      <w:szCs w:val="21"/>
                      <w:highlight w:val="none"/>
                      <w:lang w:bidi="ar"/>
                    </w:rPr>
                  </w:pPr>
                  <w:r>
                    <w:rPr>
                      <w:bCs/>
                      <w:color w:val="auto"/>
                      <w:szCs w:val="21"/>
                      <w:highlight w:val="none"/>
                      <w:lang w:bidi="ar"/>
                    </w:rPr>
                    <w:t>T</w:t>
                  </w:r>
                </w:p>
              </w:tc>
              <w:tc>
                <w:tcPr>
                  <w:tcW w:w="514" w:type="dxa"/>
                  <w:vAlign w:val="center"/>
                </w:tcPr>
                <w:p w14:paraId="23BCF45D">
                  <w:pPr>
                    <w:keepNext/>
                    <w:keepLines/>
                    <w:pageBreakBefore w:val="0"/>
                    <w:widowControl/>
                    <w:kinsoku/>
                    <w:wordWrap/>
                    <w:overflowPunct w:val="0"/>
                    <w:topLinePunct w:val="0"/>
                    <w:autoSpaceDE/>
                    <w:autoSpaceDN/>
                    <w:bidi w:val="0"/>
                    <w:jc w:val="center"/>
                    <w:textAlignment w:val="auto"/>
                    <w:rPr>
                      <w:rFonts w:ascii="Times New Roman" w:hAnsi="Times New Roman" w:eastAsia="宋体" w:cs="Times New Roman"/>
                      <w:bCs/>
                      <w:color w:val="auto"/>
                      <w:kern w:val="2"/>
                      <w:sz w:val="21"/>
                      <w:szCs w:val="21"/>
                      <w:lang w:val="en-US" w:eastAsia="zh-CN" w:bidi="ar"/>
                    </w:rPr>
                  </w:pPr>
                  <w:r>
                    <w:rPr>
                      <w:bCs/>
                      <w:color w:val="auto"/>
                      <w:szCs w:val="21"/>
                      <w:lang w:bidi="ar"/>
                    </w:rPr>
                    <w:t>送有资质单位处置</w:t>
                  </w:r>
                </w:p>
              </w:tc>
            </w:tr>
            <w:tr w14:paraId="586517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5" w:type="dxa"/>
                  <w:bottom w:w="0" w:type="dxa"/>
                  <w:right w:w="15" w:type="dxa"/>
                </w:tblCellMar>
              </w:tblPrEx>
              <w:trPr>
                <w:cantSplit/>
              </w:trPr>
              <w:tc>
                <w:tcPr>
                  <w:tcW w:w="384" w:type="dxa"/>
                  <w:vAlign w:val="center"/>
                </w:tcPr>
                <w:p w14:paraId="78E28521">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rFonts w:hint="eastAsia"/>
                      <w:bCs/>
                      <w:color w:val="auto"/>
                      <w:szCs w:val="21"/>
                    </w:rPr>
                    <w:t>活性炭吸附</w:t>
                  </w:r>
                </w:p>
              </w:tc>
              <w:tc>
                <w:tcPr>
                  <w:tcW w:w="591" w:type="dxa"/>
                  <w:vAlign w:val="center"/>
                </w:tcPr>
                <w:p w14:paraId="1C4770F5">
                  <w:pPr>
                    <w:keepNext/>
                    <w:keepLines/>
                    <w:pageBreakBefore w:val="0"/>
                    <w:widowControl/>
                    <w:kinsoku/>
                    <w:wordWrap/>
                    <w:overflowPunct w:val="0"/>
                    <w:topLinePunct w:val="0"/>
                    <w:autoSpaceDE/>
                    <w:autoSpaceDN/>
                    <w:bidi w:val="0"/>
                    <w:jc w:val="center"/>
                    <w:textAlignment w:val="auto"/>
                    <w:rPr>
                      <w:rFonts w:hint="eastAsia" w:eastAsia="宋体"/>
                      <w:bCs/>
                      <w:color w:val="auto"/>
                      <w:kern w:val="0"/>
                      <w:szCs w:val="21"/>
                      <w:lang w:val="en-US" w:eastAsia="zh-CN"/>
                    </w:rPr>
                  </w:pPr>
                  <w:r>
                    <w:rPr>
                      <w:rFonts w:hint="eastAsia"/>
                      <w:bCs/>
                      <w:color w:val="auto"/>
                      <w:kern w:val="0"/>
                      <w:szCs w:val="21"/>
                      <w:lang w:val="en-US" w:eastAsia="zh-CN"/>
                    </w:rPr>
                    <w:t>废活性炭</w:t>
                  </w:r>
                </w:p>
              </w:tc>
              <w:tc>
                <w:tcPr>
                  <w:tcW w:w="1262" w:type="dxa"/>
                  <w:tcBorders>
                    <w:right w:val="single" w:color="auto" w:sz="4" w:space="0"/>
                  </w:tcBorders>
                  <w:vAlign w:val="center"/>
                </w:tcPr>
                <w:p w14:paraId="426F750F">
                  <w:pPr>
                    <w:keepNext/>
                    <w:jc w:val="center"/>
                    <w:rPr>
                      <w:bCs/>
                      <w:color w:val="auto"/>
                      <w:szCs w:val="21"/>
                    </w:rPr>
                  </w:pPr>
                  <w:r>
                    <w:rPr>
                      <w:rFonts w:hint="eastAsia"/>
                      <w:bCs/>
                      <w:color w:val="auto"/>
                      <w:szCs w:val="21"/>
                    </w:rPr>
                    <w:t>HW49</w:t>
                  </w:r>
                </w:p>
              </w:tc>
              <w:tc>
                <w:tcPr>
                  <w:tcW w:w="1917" w:type="dxa"/>
                  <w:tcBorders>
                    <w:left w:val="single" w:color="auto" w:sz="4" w:space="0"/>
                  </w:tcBorders>
                  <w:vAlign w:val="center"/>
                </w:tcPr>
                <w:p w14:paraId="23D4D25C">
                  <w:pPr>
                    <w:keepNext/>
                    <w:jc w:val="center"/>
                    <w:rPr>
                      <w:bCs/>
                      <w:color w:val="auto"/>
                      <w:szCs w:val="21"/>
                    </w:rPr>
                  </w:pPr>
                  <w:r>
                    <w:rPr>
                      <w:rFonts w:hint="eastAsia"/>
                      <w:bCs/>
                      <w:color w:val="auto"/>
                      <w:szCs w:val="21"/>
                    </w:rPr>
                    <w:t>900-039-49</w:t>
                  </w:r>
                </w:p>
              </w:tc>
              <w:tc>
                <w:tcPr>
                  <w:tcW w:w="518" w:type="dxa"/>
                  <w:vAlign w:val="center"/>
                </w:tcPr>
                <w:p w14:paraId="09123E25">
                  <w:pPr>
                    <w:keepNext/>
                    <w:keepLines/>
                    <w:pageBreakBefore w:val="0"/>
                    <w:widowControl/>
                    <w:kinsoku/>
                    <w:wordWrap/>
                    <w:overflowPunct w:val="0"/>
                    <w:topLinePunct w:val="0"/>
                    <w:autoSpaceDE/>
                    <w:autoSpaceDN/>
                    <w:bidi w:val="0"/>
                    <w:spacing w:line="260" w:lineRule="exact"/>
                    <w:jc w:val="center"/>
                    <w:textAlignment w:val="auto"/>
                    <w:rPr>
                      <w:rFonts w:hint="default"/>
                      <w:bCs/>
                      <w:color w:val="auto"/>
                      <w:szCs w:val="21"/>
                      <w:lang w:val="en-US" w:eastAsia="zh-CN"/>
                    </w:rPr>
                  </w:pPr>
                  <w:r>
                    <w:rPr>
                      <w:rFonts w:hint="eastAsia"/>
                      <w:bCs/>
                      <w:color w:val="auto"/>
                      <w:szCs w:val="21"/>
                      <w:lang w:val="en-US" w:eastAsia="zh-CN"/>
                    </w:rPr>
                    <w:t>1</w:t>
                  </w:r>
                </w:p>
              </w:tc>
              <w:tc>
                <w:tcPr>
                  <w:tcW w:w="421" w:type="dxa"/>
                  <w:vAlign w:val="center"/>
                </w:tcPr>
                <w:p w14:paraId="157FB780">
                  <w:pPr>
                    <w:keepNext/>
                    <w:keepLines/>
                    <w:pageBreakBefore w:val="0"/>
                    <w:widowControl/>
                    <w:kinsoku/>
                    <w:wordWrap/>
                    <w:overflowPunct w:val="0"/>
                    <w:topLinePunct w:val="0"/>
                    <w:autoSpaceDE/>
                    <w:autoSpaceDN/>
                    <w:bidi w:val="0"/>
                    <w:spacing w:line="260" w:lineRule="exact"/>
                    <w:jc w:val="center"/>
                    <w:textAlignment w:val="auto"/>
                    <w:rPr>
                      <w:bCs/>
                      <w:color w:val="auto"/>
                      <w:szCs w:val="21"/>
                    </w:rPr>
                  </w:pPr>
                  <w:r>
                    <w:rPr>
                      <w:rFonts w:hint="eastAsia"/>
                      <w:bCs/>
                      <w:color w:val="auto"/>
                      <w:szCs w:val="21"/>
                    </w:rPr>
                    <w:t>活性炭吸附</w:t>
                  </w:r>
                </w:p>
              </w:tc>
              <w:tc>
                <w:tcPr>
                  <w:tcW w:w="298" w:type="dxa"/>
                  <w:vAlign w:val="center"/>
                </w:tcPr>
                <w:p w14:paraId="3C9AE45C">
                  <w:pPr>
                    <w:keepNext/>
                    <w:keepLines/>
                    <w:pageBreakBefore w:val="0"/>
                    <w:widowControl/>
                    <w:kinsoku/>
                    <w:wordWrap/>
                    <w:overflowPunct w:val="0"/>
                    <w:topLinePunct w:val="0"/>
                    <w:autoSpaceDE/>
                    <w:autoSpaceDN/>
                    <w:bidi w:val="0"/>
                    <w:spacing w:line="260" w:lineRule="exact"/>
                    <w:jc w:val="center"/>
                    <w:textAlignment w:val="auto"/>
                    <w:rPr>
                      <w:rFonts w:hint="eastAsia" w:eastAsia="宋体"/>
                      <w:bCs/>
                      <w:color w:val="auto"/>
                      <w:szCs w:val="21"/>
                      <w:lang w:val="en-US" w:eastAsia="zh-CN"/>
                    </w:rPr>
                  </w:pPr>
                  <w:r>
                    <w:rPr>
                      <w:rFonts w:hint="eastAsia"/>
                      <w:bCs/>
                      <w:color w:val="auto"/>
                      <w:szCs w:val="21"/>
                      <w:lang w:val="en-US" w:eastAsia="zh-CN"/>
                    </w:rPr>
                    <w:t>固体</w:t>
                  </w:r>
                </w:p>
              </w:tc>
              <w:tc>
                <w:tcPr>
                  <w:tcW w:w="474" w:type="dxa"/>
                  <w:vAlign w:val="center"/>
                </w:tcPr>
                <w:p w14:paraId="1BB23784">
                  <w:pPr>
                    <w:keepNext/>
                    <w:jc w:val="center"/>
                    <w:rPr>
                      <w:color w:val="auto"/>
                      <w:kern w:val="0"/>
                      <w:szCs w:val="21"/>
                      <w:lang w:val="en-GB" w:bidi="ar"/>
                    </w:rPr>
                  </w:pPr>
                  <w:r>
                    <w:rPr>
                      <w:rFonts w:hint="eastAsia"/>
                      <w:bCs/>
                      <w:color w:val="auto"/>
                      <w:kern w:val="0"/>
                      <w:szCs w:val="21"/>
                    </w:rPr>
                    <w:t>有机废气</w:t>
                  </w:r>
                </w:p>
              </w:tc>
              <w:tc>
                <w:tcPr>
                  <w:tcW w:w="475" w:type="dxa"/>
                  <w:vAlign w:val="center"/>
                </w:tcPr>
                <w:p w14:paraId="25EFF95A">
                  <w:pPr>
                    <w:keepNext/>
                    <w:jc w:val="center"/>
                    <w:rPr>
                      <w:color w:val="auto"/>
                      <w:kern w:val="0"/>
                      <w:szCs w:val="21"/>
                      <w:lang w:val="en-GB" w:bidi="ar"/>
                    </w:rPr>
                  </w:pPr>
                  <w:r>
                    <w:rPr>
                      <w:rFonts w:hint="eastAsia"/>
                      <w:bCs/>
                      <w:color w:val="auto"/>
                      <w:kern w:val="0"/>
                      <w:szCs w:val="21"/>
                    </w:rPr>
                    <w:t>有机废气</w:t>
                  </w:r>
                </w:p>
              </w:tc>
              <w:tc>
                <w:tcPr>
                  <w:tcW w:w="279" w:type="dxa"/>
                  <w:vAlign w:val="center"/>
                </w:tcPr>
                <w:p w14:paraId="5272ED48">
                  <w:pPr>
                    <w:keepNext/>
                    <w:jc w:val="center"/>
                    <w:rPr>
                      <w:bCs/>
                      <w:color w:val="auto"/>
                      <w:szCs w:val="21"/>
                    </w:rPr>
                  </w:pPr>
                  <w:r>
                    <w:rPr>
                      <w:bCs/>
                      <w:color w:val="auto"/>
                      <w:szCs w:val="21"/>
                    </w:rPr>
                    <w:t>连续</w:t>
                  </w:r>
                </w:p>
              </w:tc>
              <w:tc>
                <w:tcPr>
                  <w:tcW w:w="381" w:type="dxa"/>
                  <w:vAlign w:val="center"/>
                </w:tcPr>
                <w:p w14:paraId="68A4A7F6">
                  <w:pPr>
                    <w:keepNext/>
                    <w:jc w:val="center"/>
                    <w:rPr>
                      <w:bCs/>
                      <w:color w:val="auto"/>
                      <w:szCs w:val="21"/>
                      <w:lang w:bidi="ar"/>
                    </w:rPr>
                  </w:pPr>
                  <w:r>
                    <w:rPr>
                      <w:bCs/>
                      <w:color w:val="auto"/>
                      <w:szCs w:val="21"/>
                      <w:lang w:bidi="ar"/>
                    </w:rPr>
                    <w:t>T</w:t>
                  </w:r>
                </w:p>
              </w:tc>
              <w:tc>
                <w:tcPr>
                  <w:tcW w:w="514" w:type="dxa"/>
                  <w:vAlign w:val="center"/>
                </w:tcPr>
                <w:p w14:paraId="2087C1C0">
                  <w:pPr>
                    <w:keepNext/>
                    <w:keepLines/>
                    <w:pageBreakBefore w:val="0"/>
                    <w:widowControl/>
                    <w:kinsoku/>
                    <w:wordWrap/>
                    <w:overflowPunct w:val="0"/>
                    <w:topLinePunct w:val="0"/>
                    <w:autoSpaceDE/>
                    <w:autoSpaceDN/>
                    <w:bidi w:val="0"/>
                    <w:jc w:val="center"/>
                    <w:textAlignment w:val="auto"/>
                    <w:rPr>
                      <w:color w:val="auto"/>
                    </w:rPr>
                  </w:pPr>
                  <w:r>
                    <w:rPr>
                      <w:rFonts w:hint="eastAsia"/>
                      <w:color w:val="auto"/>
                    </w:rPr>
                    <w:t>送有资质单位处置</w:t>
                  </w:r>
                </w:p>
              </w:tc>
            </w:tr>
          </w:tbl>
          <w:p w14:paraId="16243BC5">
            <w:pPr>
              <w:pStyle w:val="84"/>
              <w:rPr>
                <w:color w:val="auto"/>
              </w:rPr>
            </w:pPr>
            <w:r>
              <w:rPr>
                <w:color w:val="auto"/>
              </w:rPr>
              <w:t>2、环境管理要求</w:t>
            </w:r>
          </w:p>
          <w:p w14:paraId="075D0C28">
            <w:pPr>
              <w:pStyle w:val="77"/>
              <w:rPr>
                <w:color w:val="auto"/>
              </w:rPr>
            </w:pPr>
            <w:r>
              <w:rPr>
                <w:color w:val="auto"/>
              </w:rPr>
              <w:t>根据《建设项目危险废物环境影响评价指南》</w:t>
            </w:r>
            <w:r>
              <w:rPr>
                <w:rFonts w:hint="eastAsia"/>
                <w:color w:val="auto"/>
                <w:lang w:eastAsia="zh-CN"/>
              </w:rPr>
              <w:t>、</w:t>
            </w:r>
            <w:r>
              <w:rPr>
                <w:color w:val="auto"/>
              </w:rPr>
              <w:t>《危险废物贮存污染控制标准》（GB18597-20</w:t>
            </w:r>
            <w:r>
              <w:rPr>
                <w:rFonts w:hint="eastAsia"/>
                <w:color w:val="auto"/>
                <w:lang w:val="en-US" w:eastAsia="zh-CN"/>
              </w:rPr>
              <w:t>23</w:t>
            </w:r>
            <w:r>
              <w:rPr>
                <w:color w:val="auto"/>
              </w:rPr>
              <w:t>），本项目管理要求如下：</w:t>
            </w:r>
          </w:p>
          <w:p w14:paraId="3737BBC0">
            <w:pPr>
              <w:pStyle w:val="77"/>
              <w:rPr>
                <w:color w:val="auto"/>
              </w:rPr>
            </w:pPr>
            <w:r>
              <w:rPr>
                <w:color w:val="auto"/>
              </w:rPr>
              <w:t>（1）分类收集</w:t>
            </w:r>
          </w:p>
          <w:p w14:paraId="5F893E0B">
            <w:pPr>
              <w:pStyle w:val="77"/>
              <w:rPr>
                <w:color w:val="auto"/>
              </w:rPr>
            </w:pPr>
            <w:r>
              <w:rPr>
                <w:color w:val="auto"/>
              </w:rPr>
              <w:t>企业产生的危险废物在未外送之前临时贮存参照《危险废物贮存污染控制标准》（GB18597-20</w:t>
            </w:r>
            <w:r>
              <w:rPr>
                <w:rFonts w:hint="eastAsia"/>
                <w:color w:val="auto"/>
                <w:lang w:val="en-US" w:eastAsia="zh-CN"/>
              </w:rPr>
              <w:t>23</w:t>
            </w:r>
            <w:r>
              <w:rPr>
                <w:color w:val="auto"/>
              </w:rPr>
              <w:t>）中关于一般要求、贮存容器、贮存设施设计原则、运行管理和安全防护等内容执行。企业设置一间</w:t>
            </w:r>
            <w:r>
              <w:rPr>
                <w:rFonts w:hint="eastAsia"/>
                <w:color w:val="auto"/>
                <w:lang w:val="en-US" w:eastAsia="zh-CN"/>
              </w:rPr>
              <w:t>50</w:t>
            </w:r>
            <w:r>
              <w:rPr>
                <w:color w:val="auto"/>
              </w:rPr>
              <w:t>m</w:t>
            </w:r>
            <w:r>
              <w:rPr>
                <w:color w:val="auto"/>
                <w:vertAlign w:val="superscript"/>
              </w:rPr>
              <w:t>2</w:t>
            </w:r>
            <w:r>
              <w:rPr>
                <w:rFonts w:hint="eastAsia"/>
                <w:color w:val="auto"/>
                <w:lang w:eastAsia="zh-CN"/>
              </w:rPr>
              <w:t>危险废物贮存库</w:t>
            </w:r>
            <w:r>
              <w:rPr>
                <w:color w:val="auto"/>
              </w:rPr>
              <w:t>。建设单位收集、临时储存危险废物严格执行《危险废物贮存污染控制标准》（</w:t>
            </w:r>
            <w:r>
              <w:rPr>
                <w:rFonts w:hint="eastAsia"/>
                <w:color w:val="auto"/>
              </w:rPr>
              <w:t>GB18597-2023</w:t>
            </w:r>
            <w:r>
              <w:rPr>
                <w:color w:val="auto"/>
              </w:rPr>
              <w:t>）。</w:t>
            </w:r>
          </w:p>
          <w:p w14:paraId="4FC5A1E6">
            <w:pPr>
              <w:pStyle w:val="77"/>
              <w:numPr>
                <w:ilvl w:val="0"/>
                <w:numId w:val="3"/>
              </w:numPr>
              <w:rPr>
                <w:rFonts w:hint="eastAsia"/>
                <w:color w:val="auto"/>
                <w:lang w:eastAsia="zh-CN"/>
              </w:rPr>
            </w:pPr>
            <w:r>
              <w:rPr>
                <w:rFonts w:hint="eastAsia"/>
                <w:color w:val="auto"/>
                <w:lang w:eastAsia="zh-CN"/>
              </w:rPr>
              <w:t>危险废物贮存库管理要求</w:t>
            </w:r>
          </w:p>
          <w:p w14:paraId="20DB6E39">
            <w:pPr>
              <w:pStyle w:val="77"/>
              <w:rPr>
                <w:color w:val="auto"/>
              </w:rPr>
            </w:pPr>
            <w:r>
              <w:rPr>
                <w:rFonts w:hint="eastAsia" w:ascii="宋体" w:hAnsi="宋体" w:cs="宋体"/>
                <w:color w:val="auto"/>
                <w:lang w:eastAsia="ja-JP"/>
              </w:rPr>
              <w:t>①</w:t>
            </w:r>
            <w:r>
              <w:rPr>
                <w:rFonts w:hint="eastAsia"/>
                <w:color w:val="auto"/>
              </w:rPr>
              <w:t>贮存危险废物应根据危险废物的类别、形态、物理化学性质和污染防治要求进行分类贮存</w:t>
            </w:r>
            <w:r>
              <w:rPr>
                <w:color w:val="auto"/>
              </w:rPr>
              <w:t>，</w:t>
            </w:r>
            <w:r>
              <w:rPr>
                <w:rFonts w:hint="eastAsia"/>
                <w:color w:val="auto"/>
              </w:rPr>
              <w:t>且应避免危险废物与不相容的物质或材料接触</w:t>
            </w:r>
            <w:r>
              <w:rPr>
                <w:rFonts w:hint="eastAsia"/>
                <w:color w:val="auto"/>
                <w:lang w:eastAsia="zh-CN"/>
              </w:rPr>
              <w:t>。</w:t>
            </w:r>
            <w:r>
              <w:rPr>
                <w:color w:val="auto"/>
              </w:rPr>
              <w:t>及时</w:t>
            </w:r>
            <w:r>
              <w:rPr>
                <w:bCs/>
                <w:color w:val="auto"/>
              </w:rPr>
              <w:t>交由有危废处理资质单位处理</w:t>
            </w:r>
            <w:r>
              <w:rPr>
                <w:color w:val="auto"/>
              </w:rPr>
              <w:t>。</w:t>
            </w:r>
          </w:p>
          <w:p w14:paraId="5D88F8FB">
            <w:pPr>
              <w:pStyle w:val="77"/>
              <w:rPr>
                <w:color w:val="auto"/>
              </w:rPr>
            </w:pPr>
            <w:r>
              <w:rPr>
                <w:rFonts w:hint="eastAsia" w:ascii="宋体" w:hAnsi="宋体" w:cs="宋体"/>
                <w:color w:val="auto"/>
                <w:lang w:eastAsia="ja-JP"/>
              </w:rPr>
              <w:t>②</w:t>
            </w:r>
            <w:r>
              <w:rPr>
                <w:rFonts w:hint="eastAsia"/>
                <w:color w:val="auto"/>
              </w:rPr>
              <w:t>贮存设施或场所、容器和包装物应按 HJ 1276 要求设置危险废物贮存设施或场所标志、危险废物贮存分区标志和危险废物标签等危险废物识别标志。</w:t>
            </w:r>
          </w:p>
          <w:p w14:paraId="241633E0">
            <w:pPr>
              <w:pStyle w:val="77"/>
              <w:rPr>
                <w:color w:val="auto"/>
              </w:rPr>
            </w:pPr>
            <w:r>
              <w:rPr>
                <w:rFonts w:hint="eastAsia" w:ascii="宋体" w:hAnsi="宋体" w:cs="宋体"/>
                <w:color w:val="auto"/>
                <w:lang w:eastAsia="ja-JP"/>
              </w:rPr>
              <w:t>③</w:t>
            </w:r>
            <w:r>
              <w:rPr>
                <w:rFonts w:hint="eastAsia"/>
                <w:color w:val="auto"/>
              </w:rPr>
              <w:t>贮存设施或贮存分区内地面、墙面裙脚、堵截泄漏的围堰、接触危险废物的隔板和墙体等应采用坚固的材料建造，表面无裂缝。</w:t>
            </w:r>
          </w:p>
          <w:p w14:paraId="470262A8">
            <w:pPr>
              <w:pStyle w:val="77"/>
              <w:rPr>
                <w:bCs/>
                <w:color w:val="auto"/>
                <w:szCs w:val="21"/>
              </w:rPr>
            </w:pPr>
            <w:r>
              <w:rPr>
                <w:rFonts w:hint="eastAsia" w:ascii="宋体" w:hAnsi="宋体" w:cs="宋体"/>
                <w:color w:val="auto"/>
                <w:lang w:eastAsia="ja-JP"/>
              </w:rPr>
              <w:t>④</w:t>
            </w:r>
            <w:r>
              <w:rPr>
                <w:rFonts w:hint="eastAsia"/>
                <w:color w:val="auto"/>
              </w:rPr>
              <w:t>贮存设施地面与裙脚应采取表面防渗措施；表面防渗材料应与所接触的物料或污染物相容，可采用抗渗混凝土、高密度聚乙烯膜、钠基膨润土防水毯或其他防渗性能等效的材料。贮存的危险废物直接接触地面的，还应进行基础防渗，防渗层为至少1m厚黏土层（渗透系数不大于10</w:t>
            </w:r>
            <w:r>
              <w:rPr>
                <w:rFonts w:hint="eastAsia"/>
                <w:color w:val="auto"/>
                <w:vertAlign w:val="superscript"/>
              </w:rPr>
              <w:t>-7</w:t>
            </w:r>
            <w:r>
              <w:rPr>
                <w:rFonts w:hint="eastAsia"/>
                <w:color w:val="auto"/>
              </w:rPr>
              <w:t>cm/s），或至少2mm厚高密度聚乙烯膜等人工防渗材料（渗透系数不大于 10</w:t>
            </w:r>
            <w:r>
              <w:rPr>
                <w:rFonts w:hint="eastAsia"/>
                <w:color w:val="auto"/>
                <w:vertAlign w:val="superscript"/>
              </w:rPr>
              <w:t>-10</w:t>
            </w:r>
            <w:r>
              <w:rPr>
                <w:rFonts w:hint="eastAsia"/>
                <w:color w:val="auto"/>
              </w:rPr>
              <w:t>cm/s），或其他防渗性能等效的材料</w:t>
            </w:r>
            <w:r>
              <w:rPr>
                <w:bCs/>
                <w:color w:val="auto"/>
                <w:szCs w:val="21"/>
              </w:rPr>
              <w:t>。</w:t>
            </w:r>
          </w:p>
          <w:p w14:paraId="6C520A40">
            <w:pPr>
              <w:pStyle w:val="77"/>
              <w:rPr>
                <w:color w:val="auto"/>
              </w:rPr>
            </w:pPr>
            <w:r>
              <w:rPr>
                <w:rFonts w:hint="eastAsia" w:ascii="宋体" w:hAnsi="宋体" w:cs="宋体"/>
                <w:color w:val="auto"/>
                <w:lang w:eastAsia="ja-JP"/>
              </w:rPr>
              <w:t>⑤</w:t>
            </w:r>
            <w:r>
              <w:rPr>
                <w:color w:val="auto"/>
              </w:rPr>
              <w:t>衬里要放在基础或底座上，要与危险废物相容。</w:t>
            </w:r>
          </w:p>
          <w:p w14:paraId="30D21FEA">
            <w:pPr>
              <w:pStyle w:val="77"/>
              <w:rPr>
                <w:color w:val="auto"/>
              </w:rPr>
            </w:pPr>
            <w:r>
              <w:rPr>
                <w:rFonts w:hint="eastAsia" w:ascii="宋体" w:hAnsi="宋体" w:cs="宋体"/>
                <w:color w:val="auto"/>
                <w:lang w:eastAsia="ja-JP"/>
              </w:rPr>
              <w:t>⑥</w:t>
            </w:r>
            <w:r>
              <w:rPr>
                <w:color w:val="auto"/>
              </w:rPr>
              <w:t>需做好危险废物情况的记录，记录上须注明危险废物名称、来源、数量、特性和包装容器的类别、入库日期，废物出库日期及委托处理的单位名称等。</w:t>
            </w:r>
          </w:p>
          <w:p w14:paraId="058C34C1">
            <w:pPr>
              <w:pStyle w:val="77"/>
              <w:rPr>
                <w:rFonts w:hint="eastAsia"/>
                <w:bCs/>
                <w:color w:val="auto"/>
                <w:szCs w:val="21"/>
              </w:rPr>
            </w:pPr>
            <w:r>
              <w:rPr>
                <w:rFonts w:hint="eastAsia" w:ascii="宋体" w:hAnsi="宋体" w:cs="宋体"/>
                <w:color w:val="auto"/>
              </w:rPr>
              <w:t>⑦</w:t>
            </w:r>
            <w:r>
              <w:rPr>
                <w:color w:val="auto"/>
              </w:rPr>
              <w:t>危废贮存间应满足“四防”（防风、防雨、防晒、防渗漏）；必须有泄漏液体收集装置、气体导出口及气体净化装置；设施内要有安全照明设施和观察窗口。</w:t>
            </w:r>
            <w:r>
              <w:rPr>
                <w:rFonts w:hint="eastAsia"/>
                <w:bCs/>
                <w:color w:val="auto"/>
                <w:szCs w:val="21"/>
                <w:lang w:eastAsia="zh-CN"/>
              </w:rPr>
              <w:t>危险废物贮存库</w:t>
            </w:r>
            <w:r>
              <w:rPr>
                <w:rFonts w:hint="eastAsia"/>
                <w:bCs/>
                <w:color w:val="auto"/>
                <w:szCs w:val="21"/>
              </w:rPr>
              <w:t>内设置泄漏液体收集装置、排风装置设施并配备活性炭吸附装置等。</w:t>
            </w:r>
          </w:p>
          <w:p w14:paraId="613918CE">
            <w:pPr>
              <w:pStyle w:val="77"/>
              <w:rPr>
                <w:rFonts w:hint="eastAsia" w:ascii="宋体" w:hAnsi="宋体" w:eastAsia="宋体" w:cs="宋体"/>
                <w:bCs/>
                <w:color w:val="auto"/>
                <w:szCs w:val="21"/>
              </w:rPr>
            </w:pPr>
            <w:r>
              <w:rPr>
                <w:rFonts w:hint="eastAsia" w:ascii="宋体" w:hAnsi="宋体" w:eastAsia="宋体" w:cs="宋体"/>
                <w:bCs/>
                <w:color w:val="auto"/>
                <w:szCs w:val="21"/>
              </w:rPr>
              <w:t>⑧衬里要放在基础或底座上，要与危险废物相容。</w:t>
            </w:r>
          </w:p>
          <w:p w14:paraId="7741D932">
            <w:pPr>
              <w:pStyle w:val="77"/>
              <w:rPr>
                <w:rFonts w:hint="eastAsia" w:ascii="宋体" w:hAnsi="宋体" w:eastAsia="宋体" w:cs="宋体"/>
                <w:bCs/>
                <w:color w:val="auto"/>
                <w:szCs w:val="21"/>
              </w:rPr>
            </w:pPr>
            <w:r>
              <w:rPr>
                <w:rFonts w:hint="eastAsia" w:ascii="宋体" w:hAnsi="宋体" w:eastAsia="宋体" w:cs="宋体"/>
                <w:bCs/>
                <w:color w:val="auto"/>
                <w:szCs w:val="21"/>
              </w:rPr>
              <w:t>⑨贮存设施应采取技术和管理措施防止无关人员进入。</w:t>
            </w:r>
          </w:p>
          <w:p w14:paraId="10A19C9E">
            <w:pPr>
              <w:pStyle w:val="77"/>
              <w:rPr>
                <w:rFonts w:hint="eastAsia" w:ascii="宋体" w:hAnsi="宋体" w:eastAsia="宋体" w:cs="宋体"/>
                <w:bCs/>
                <w:color w:val="auto"/>
                <w:szCs w:val="21"/>
              </w:rPr>
            </w:pPr>
            <w:r>
              <w:rPr>
                <w:rFonts w:hint="eastAsia" w:ascii="宋体" w:hAnsi="宋体" w:eastAsia="宋体" w:cs="宋体"/>
                <w:bCs/>
                <w:color w:val="auto"/>
                <w:szCs w:val="21"/>
              </w:rPr>
              <w:t>⑩在常温常压下不易水解、不易挥发的固态危险废物可分类堆放贮存，其他固态危险废物应装入容器或包装物内贮存。液态危险废物应装入容器内贮存，或直接采用贮存池、贮存罐区贮存。</w:t>
            </w:r>
          </w:p>
          <w:p w14:paraId="493BEA47">
            <w:pPr>
              <w:pStyle w:val="77"/>
              <w:rPr>
                <w:rFonts w:hint="eastAsia"/>
                <w:bCs/>
                <w:color w:val="auto"/>
                <w:szCs w:val="21"/>
              </w:rPr>
            </w:pPr>
            <w:r>
              <w:rPr>
                <w:rFonts w:hint="eastAsia"/>
                <w:bCs/>
                <w:color w:val="auto"/>
                <w:szCs w:val="21"/>
              </w:rPr>
              <w:t>2）危险废物管理要求：</w:t>
            </w:r>
          </w:p>
          <w:p w14:paraId="3E59CE6A">
            <w:pPr>
              <w:pStyle w:val="77"/>
              <w:rPr>
                <w:rFonts w:hint="eastAsia"/>
                <w:bCs/>
                <w:color w:val="auto"/>
                <w:szCs w:val="21"/>
              </w:rPr>
            </w:pPr>
            <w:r>
              <w:rPr>
                <w:rFonts w:hint="eastAsia"/>
                <w:bCs/>
                <w:color w:val="auto"/>
                <w:szCs w:val="21"/>
              </w:rPr>
              <w:t>①本项目危险废物集中收集后，分类、分区暂存于危险废物贮存库，并定期交由有资质单位处置。</w:t>
            </w:r>
          </w:p>
          <w:p w14:paraId="36582575">
            <w:pPr>
              <w:pStyle w:val="77"/>
              <w:rPr>
                <w:rFonts w:hint="eastAsia"/>
                <w:bCs/>
                <w:color w:val="auto"/>
                <w:szCs w:val="21"/>
              </w:rPr>
            </w:pPr>
            <w:r>
              <w:rPr>
                <w:rFonts w:hint="eastAsia"/>
                <w:bCs/>
                <w:color w:val="auto"/>
                <w:szCs w:val="21"/>
              </w:rPr>
              <w:t>②对危险废物的容器和包装物以及收集、贮存、运输、利用、处置危险废物的设施、场所，应当按照规定设置危险废物识别标志。</w:t>
            </w:r>
          </w:p>
          <w:p w14:paraId="743E26EB">
            <w:pPr>
              <w:pStyle w:val="77"/>
              <w:rPr>
                <w:rFonts w:hint="eastAsia"/>
                <w:bCs/>
                <w:color w:val="auto"/>
                <w:szCs w:val="21"/>
              </w:rPr>
            </w:pPr>
            <w:r>
              <w:rPr>
                <w:rFonts w:hint="eastAsia"/>
                <w:bCs/>
                <w:color w:val="auto"/>
                <w:szCs w:val="21"/>
              </w:rPr>
              <w:t>③产生危险废物的单位，应当按照国家有关规定和环境保护标准要求贮存、利用、处置危险废物，不得擅自倾倒、堆放。必须做好危险废物情况的记录，注明危险废物的名称、来源、数量、特性和包装容器的类别、入库日期、出库日期及接收单位名称，危险废物的记录和货单在危险废物回取后应继续保留3年；必须定期对所贮存的危险废物包装容器及危险废物贮存库进行检查，发现破损应及时采取措施清理更换。建立危险废物管理台账，如实记录有关信息，并通过国家危险废物信息管理系统向所在地生态环境主管部门申报危险废物的种类、产生量、流向、贮存、处置等有关资料。</w:t>
            </w:r>
          </w:p>
          <w:p w14:paraId="59DFD263">
            <w:pPr>
              <w:pStyle w:val="77"/>
              <w:rPr>
                <w:rFonts w:hint="eastAsia"/>
                <w:bCs/>
                <w:color w:val="auto"/>
                <w:szCs w:val="21"/>
              </w:rPr>
            </w:pPr>
            <w:r>
              <w:rPr>
                <w:rFonts w:hint="eastAsia"/>
                <w:bCs/>
                <w:color w:val="auto"/>
                <w:szCs w:val="21"/>
              </w:rPr>
              <w:t>④危险废物暂存和处置要求</w:t>
            </w:r>
          </w:p>
          <w:p w14:paraId="607F8236">
            <w:pPr>
              <w:pStyle w:val="77"/>
              <w:rPr>
                <w:rFonts w:hint="eastAsia"/>
                <w:bCs/>
                <w:color w:val="FF0000"/>
                <w:szCs w:val="21"/>
              </w:rPr>
            </w:pPr>
            <w:r>
              <w:rPr>
                <w:rFonts w:hint="eastAsia"/>
                <w:bCs/>
                <w:color w:val="auto"/>
                <w:szCs w:val="21"/>
              </w:rPr>
              <w:t>a.拆解后危废的存储应严格按照《危险废物贮存污染控制标准》（GB18597-2023）要求执行。</w:t>
            </w:r>
            <w:r>
              <w:rPr>
                <w:rFonts w:hint="eastAsia"/>
                <w:bCs/>
                <w:color w:val="FF0000"/>
                <w:szCs w:val="21"/>
              </w:rPr>
              <w:t>对存储的各种危废的容器进行标识，</w:t>
            </w:r>
            <w:r>
              <w:rPr>
                <w:rFonts w:hint="eastAsia"/>
                <w:bCs/>
                <w:color w:val="FF0000"/>
                <w:szCs w:val="21"/>
                <w:lang w:val="en-US" w:eastAsia="zh-CN"/>
              </w:rPr>
              <w:t>分类储存，</w:t>
            </w:r>
            <w:r>
              <w:rPr>
                <w:rFonts w:hint="eastAsia"/>
                <w:bCs/>
                <w:color w:val="FF0000"/>
                <w:szCs w:val="21"/>
              </w:rPr>
              <w:t>避免混合、混放。</w:t>
            </w:r>
          </w:p>
          <w:p w14:paraId="2D75E26D">
            <w:pPr>
              <w:pStyle w:val="77"/>
              <w:rPr>
                <w:rFonts w:hint="eastAsia"/>
                <w:bCs/>
                <w:color w:val="auto"/>
                <w:szCs w:val="21"/>
              </w:rPr>
            </w:pPr>
            <w:r>
              <w:rPr>
                <w:rFonts w:hint="eastAsia"/>
                <w:bCs/>
                <w:color w:val="auto"/>
                <w:szCs w:val="21"/>
              </w:rPr>
              <w:t>b.本项目生产过程中产生的属于危险废物，应按危险废物的有关规定进行管理处置，其暂存和处理按照国家相关要求进行，使用专用密闭容器分类存储废液，防止废液挥发，并交给有资质的废液回收处理企业。日常管理应专人专管，严格进行日常安全防护管理和监测。</w:t>
            </w:r>
          </w:p>
          <w:p w14:paraId="0B64F734">
            <w:pPr>
              <w:pStyle w:val="77"/>
              <w:rPr>
                <w:rFonts w:hint="eastAsia"/>
                <w:bCs/>
                <w:color w:val="auto"/>
                <w:szCs w:val="21"/>
              </w:rPr>
            </w:pPr>
            <w:r>
              <w:rPr>
                <w:rFonts w:hint="eastAsia"/>
                <w:bCs/>
                <w:color w:val="auto"/>
                <w:szCs w:val="21"/>
              </w:rPr>
              <w:t>c.对危险废物暂存区设立明显的警示标志，拆解过程产生的危险废物应按照类别分别放置在专门的收集容器和暂存设施内。禁止在未获得相应资质的报废机动车拆解企业内拆解废蓄电池，禁止将蓄电池内的液态废物倾倒出来。应将废蓄电池暂存在耐酸地面的专用区域内。</w:t>
            </w:r>
          </w:p>
          <w:p w14:paraId="5B2CF50E">
            <w:pPr>
              <w:pStyle w:val="77"/>
              <w:rPr>
                <w:rFonts w:hint="eastAsia"/>
                <w:bCs/>
                <w:color w:val="auto"/>
                <w:szCs w:val="21"/>
              </w:rPr>
            </w:pPr>
            <w:r>
              <w:rPr>
                <w:rFonts w:hint="eastAsia"/>
                <w:bCs/>
                <w:color w:val="auto"/>
                <w:szCs w:val="21"/>
              </w:rPr>
              <w:t>d.根据危险废物实行“减量化、资源化、无害化”的处置原则，项目产生的危险废物全部委托有资质的单位收集处理。企业在严格落实上述固体废物处置措施的情况下，做好固体废物收集和分类存放工作，则拟建项目产生的固体废物均得到合理处置，对周围环境的影响较小。</w:t>
            </w:r>
          </w:p>
          <w:p w14:paraId="4257AB23">
            <w:pPr>
              <w:pStyle w:val="77"/>
              <w:rPr>
                <w:rFonts w:hint="eastAsia"/>
                <w:bCs/>
                <w:color w:val="auto"/>
                <w:szCs w:val="21"/>
              </w:rPr>
            </w:pPr>
            <w:r>
              <w:rPr>
                <w:rFonts w:hint="eastAsia"/>
                <w:bCs/>
                <w:color w:val="auto"/>
                <w:szCs w:val="21"/>
              </w:rPr>
              <w:t>盛放危险废物的储罐要防漏和防止洒溅，贮存设施按照《危险废物贮存污染控制标准》（GB18597-2023）中4.6贮存设施或场所、容器和包装物应按HJ1276要求设置危险废物贮存设施或场所标志、危险废物贮存分区标志和危险废物标签等危险废物识别标志。液态废物应在不同的专用容器中分别暂存。报废机动车拆解企业产生的各种危险废物在厂区内的暂存时间不得超过3个月，并制定危险废物贮存的台账制度。</w:t>
            </w:r>
          </w:p>
          <w:p w14:paraId="29288909">
            <w:pPr>
              <w:pStyle w:val="77"/>
              <w:rPr>
                <w:rFonts w:hint="eastAsia"/>
                <w:bCs/>
                <w:color w:val="auto"/>
                <w:szCs w:val="21"/>
              </w:rPr>
            </w:pPr>
            <w:r>
              <w:rPr>
                <w:rFonts w:hint="eastAsia"/>
                <w:bCs/>
                <w:color w:val="auto"/>
                <w:szCs w:val="21"/>
              </w:rPr>
              <w:t>⑤危险废物转运的管理要求</w:t>
            </w:r>
          </w:p>
          <w:p w14:paraId="11283183">
            <w:pPr>
              <w:pStyle w:val="77"/>
              <w:rPr>
                <w:rFonts w:hint="eastAsia"/>
                <w:bCs/>
                <w:color w:val="auto"/>
                <w:szCs w:val="21"/>
              </w:rPr>
            </w:pPr>
            <w:r>
              <w:rPr>
                <w:rFonts w:hint="eastAsia"/>
                <w:bCs/>
                <w:color w:val="auto"/>
                <w:szCs w:val="21"/>
              </w:rPr>
              <w:t>a.转移危险废物的，应当按照国家有关规定填写、运行危险废物电子或者纸质转移联单。</w:t>
            </w:r>
          </w:p>
          <w:p w14:paraId="2DF6C108">
            <w:pPr>
              <w:pStyle w:val="77"/>
              <w:rPr>
                <w:rFonts w:hint="eastAsia"/>
                <w:bCs/>
                <w:color w:val="auto"/>
                <w:szCs w:val="21"/>
              </w:rPr>
            </w:pPr>
            <w:r>
              <w:rPr>
                <w:rFonts w:hint="eastAsia"/>
                <w:bCs/>
                <w:color w:val="auto"/>
                <w:szCs w:val="21"/>
              </w:rPr>
              <w:t>跨省、自治区、直辖市转移危险废物的，应当向危险废物移出地省、自治区、直辖市人民政府生态环境主管部门申请。移出地省、自治区、直辖市人民政府生态环境主管部门应当及时商经接受地省、自治区、直辖市人民政府生态环境主管部门同意后，在规定期限内批准转移该危险废物，并将批准信息通报相关省、自治区、直辖市人民政府生态环境主管部门和交通运输主管部门。未经批准的，不得转移。</w:t>
            </w:r>
          </w:p>
          <w:p w14:paraId="62337484">
            <w:pPr>
              <w:pStyle w:val="77"/>
              <w:rPr>
                <w:rFonts w:hint="eastAsia"/>
                <w:bCs/>
                <w:color w:val="auto"/>
                <w:szCs w:val="21"/>
              </w:rPr>
            </w:pPr>
            <w:r>
              <w:rPr>
                <w:rFonts w:hint="eastAsia"/>
                <w:bCs/>
                <w:color w:val="auto"/>
                <w:szCs w:val="21"/>
              </w:rPr>
              <w:t>b.运输危险废物，应当采取防止污染环境的措施，并遵守国家有关危险货物运输管理的规定。</w:t>
            </w:r>
          </w:p>
          <w:p w14:paraId="27B854C0">
            <w:pPr>
              <w:pStyle w:val="77"/>
              <w:rPr>
                <w:rFonts w:hint="eastAsia"/>
                <w:bCs/>
                <w:color w:val="auto"/>
                <w:szCs w:val="21"/>
              </w:rPr>
            </w:pPr>
            <w:r>
              <w:rPr>
                <w:rFonts w:hint="eastAsia"/>
                <w:bCs/>
                <w:color w:val="auto"/>
                <w:szCs w:val="21"/>
              </w:rPr>
              <w:t>禁止将危险废物与旅客在同一运输工具上载运。</w:t>
            </w:r>
          </w:p>
          <w:p w14:paraId="48F00844">
            <w:pPr>
              <w:pStyle w:val="77"/>
              <w:rPr>
                <w:color w:val="auto"/>
              </w:rPr>
            </w:pPr>
            <w:r>
              <w:rPr>
                <w:color w:val="auto"/>
              </w:rPr>
              <w:t>（2）贮存场所（设施）环境影响分析</w:t>
            </w:r>
          </w:p>
          <w:p w14:paraId="76C54797">
            <w:pPr>
              <w:pStyle w:val="77"/>
              <w:rPr>
                <w:color w:val="auto"/>
              </w:rPr>
            </w:pPr>
            <w:r>
              <w:rPr>
                <w:rFonts w:hint="eastAsia"/>
                <w:color w:val="auto"/>
                <w:lang w:eastAsia="zh-CN"/>
              </w:rPr>
              <w:t>危险废物贮存库</w:t>
            </w:r>
            <w:r>
              <w:rPr>
                <w:color w:val="auto"/>
              </w:rPr>
              <w:t>的设置按照《危险废物贮存污染控制标准》（</w:t>
            </w:r>
            <w:r>
              <w:rPr>
                <w:rFonts w:hint="eastAsia"/>
                <w:color w:val="auto"/>
              </w:rPr>
              <w:t>GB18597-2023</w:t>
            </w:r>
            <w:r>
              <w:rPr>
                <w:color w:val="auto"/>
              </w:rPr>
              <w:t>）要求进行。</w:t>
            </w:r>
            <w:r>
              <w:rPr>
                <w:rFonts w:hint="eastAsia"/>
                <w:color w:val="auto"/>
                <w:lang w:eastAsia="zh-CN"/>
              </w:rPr>
              <w:t>危险废物贮存库</w:t>
            </w:r>
            <w:r>
              <w:rPr>
                <w:color w:val="auto"/>
              </w:rPr>
              <w:t>地面进行防渗；地面与裙脚要用坚固、防渗的材料建造，建筑材料必须与危险废物相容；必须有泄漏液体收集装置；按照GB15562的规定设置警示标志等，在采取以上措施后，可大大降低对地下水、土壤造成的影响。</w:t>
            </w:r>
          </w:p>
          <w:p w14:paraId="746D9E64">
            <w:pPr>
              <w:pStyle w:val="77"/>
              <w:rPr>
                <w:color w:val="auto"/>
              </w:rPr>
            </w:pPr>
            <w:r>
              <w:rPr>
                <w:color w:val="auto"/>
              </w:rPr>
              <w:t>（3）运输过程的环境影响分析</w:t>
            </w:r>
          </w:p>
          <w:p w14:paraId="04A9CB20">
            <w:pPr>
              <w:pStyle w:val="77"/>
              <w:rPr>
                <w:color w:val="auto"/>
              </w:rPr>
            </w:pPr>
            <w:r>
              <w:rPr>
                <w:color w:val="auto"/>
              </w:rPr>
              <w:t>危险废物在转运过程中如遇恶劣天气、驾驶人员操作不当或运输车辆行驶部件、装卸系统、安全附件、储运容器的安全性能不好均会造成危险废物的泄露，对沿线居民和环境质量造成影响。</w:t>
            </w:r>
          </w:p>
          <w:p w14:paraId="367A4C2B">
            <w:pPr>
              <w:pStyle w:val="77"/>
              <w:rPr>
                <w:color w:val="auto"/>
              </w:rPr>
            </w:pPr>
            <w:r>
              <w:rPr>
                <w:color w:val="auto"/>
              </w:rPr>
              <w:t>本次环评提出对运输人员加强专业培训、定期对运输车辆进行检修、对储存容器定期检查、配备齐全的安全附件、做好包装外的识别标识等措施，可大大降低危险废物泄露的风险。</w:t>
            </w:r>
          </w:p>
          <w:p w14:paraId="27C37918">
            <w:pPr>
              <w:pStyle w:val="77"/>
              <w:rPr>
                <w:color w:val="auto"/>
              </w:rPr>
            </w:pPr>
            <w:r>
              <w:rPr>
                <w:color w:val="auto"/>
              </w:rPr>
              <w:t>（4）本项目危险废物贮存场所（设施）基本情况表见下表。</w:t>
            </w:r>
          </w:p>
          <w:p w14:paraId="20F52D01">
            <w:pPr>
              <w:pStyle w:val="78"/>
              <w:rPr>
                <w:color w:val="auto"/>
              </w:rPr>
            </w:pPr>
            <w:r>
              <w:rPr>
                <w:color w:val="auto"/>
              </w:rPr>
              <w:t>表4-1</w:t>
            </w:r>
            <w:r>
              <w:rPr>
                <w:rFonts w:hint="eastAsia"/>
                <w:color w:val="auto"/>
                <w:lang w:val="en-US" w:eastAsia="zh-CN"/>
              </w:rPr>
              <w:t>0</w:t>
            </w:r>
            <w:r>
              <w:rPr>
                <w:color w:val="auto"/>
              </w:rPr>
              <w:t xml:space="preserve"> 本项目危险废物贮存场所（设施）基本情况表</w:t>
            </w:r>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43"/>
              <w:gridCol w:w="1391"/>
              <w:gridCol w:w="1360"/>
              <w:gridCol w:w="814"/>
              <w:gridCol w:w="814"/>
              <w:gridCol w:w="1227"/>
              <w:gridCol w:w="662"/>
              <w:gridCol w:w="937"/>
            </w:tblGrid>
            <w:tr w14:paraId="5B3F8B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4" w:hRule="atLeast"/>
              </w:trPr>
              <w:tc>
                <w:tcPr>
                  <w:tcW w:w="350" w:type="pct"/>
                  <w:shd w:val="clear" w:color="auto" w:fill="auto"/>
                  <w:vAlign w:val="center"/>
                </w:tcPr>
                <w:p w14:paraId="0233767F">
                  <w:pPr>
                    <w:pStyle w:val="51"/>
                    <w:rPr>
                      <w:snapToGrid w:val="0"/>
                      <w:color w:val="auto"/>
                    </w:rPr>
                  </w:pPr>
                  <w:r>
                    <w:rPr>
                      <w:snapToGrid w:val="0"/>
                      <w:color w:val="auto"/>
                    </w:rPr>
                    <w:t>序号</w:t>
                  </w:r>
                </w:p>
              </w:tc>
              <w:tc>
                <w:tcPr>
                  <w:tcW w:w="897" w:type="pct"/>
                  <w:shd w:val="clear" w:color="auto" w:fill="auto"/>
                  <w:vAlign w:val="center"/>
                </w:tcPr>
                <w:p w14:paraId="6698EFA5">
                  <w:pPr>
                    <w:pStyle w:val="51"/>
                    <w:rPr>
                      <w:snapToGrid w:val="0"/>
                      <w:color w:val="auto"/>
                    </w:rPr>
                  </w:pPr>
                  <w:r>
                    <w:rPr>
                      <w:snapToGrid w:val="0"/>
                      <w:color w:val="auto"/>
                    </w:rPr>
                    <w:t>贮存场所</w:t>
                  </w:r>
                </w:p>
                <w:p w14:paraId="325763B6">
                  <w:pPr>
                    <w:pStyle w:val="51"/>
                    <w:rPr>
                      <w:snapToGrid w:val="0"/>
                      <w:color w:val="auto"/>
                    </w:rPr>
                  </w:pPr>
                  <w:r>
                    <w:rPr>
                      <w:snapToGrid w:val="0"/>
                      <w:color w:val="auto"/>
                    </w:rPr>
                    <w:t>名称</w:t>
                  </w:r>
                </w:p>
              </w:tc>
              <w:tc>
                <w:tcPr>
                  <w:tcW w:w="877" w:type="pct"/>
                  <w:shd w:val="clear" w:color="auto" w:fill="auto"/>
                  <w:vAlign w:val="center"/>
                </w:tcPr>
                <w:p w14:paraId="54872775">
                  <w:pPr>
                    <w:pStyle w:val="51"/>
                    <w:rPr>
                      <w:snapToGrid w:val="0"/>
                      <w:color w:val="auto"/>
                    </w:rPr>
                  </w:pPr>
                  <w:r>
                    <w:rPr>
                      <w:snapToGrid w:val="0"/>
                      <w:color w:val="auto"/>
                    </w:rPr>
                    <w:t>危险废物</w:t>
                  </w:r>
                </w:p>
                <w:p w14:paraId="2D51CA23">
                  <w:pPr>
                    <w:pStyle w:val="51"/>
                    <w:rPr>
                      <w:snapToGrid w:val="0"/>
                      <w:color w:val="auto"/>
                    </w:rPr>
                  </w:pPr>
                  <w:r>
                    <w:rPr>
                      <w:snapToGrid w:val="0"/>
                      <w:color w:val="auto"/>
                    </w:rPr>
                    <w:t>名称</w:t>
                  </w:r>
                </w:p>
              </w:tc>
              <w:tc>
                <w:tcPr>
                  <w:tcW w:w="525" w:type="pct"/>
                  <w:shd w:val="clear" w:color="auto" w:fill="auto"/>
                  <w:vAlign w:val="center"/>
                </w:tcPr>
                <w:p w14:paraId="7BE0C370">
                  <w:pPr>
                    <w:pStyle w:val="51"/>
                    <w:rPr>
                      <w:snapToGrid w:val="0"/>
                      <w:color w:val="auto"/>
                    </w:rPr>
                  </w:pPr>
                  <w:r>
                    <w:rPr>
                      <w:snapToGrid w:val="0"/>
                      <w:color w:val="auto"/>
                    </w:rPr>
                    <w:t>位置</w:t>
                  </w:r>
                </w:p>
              </w:tc>
              <w:tc>
                <w:tcPr>
                  <w:tcW w:w="525" w:type="pct"/>
                  <w:shd w:val="clear" w:color="auto" w:fill="auto"/>
                  <w:vAlign w:val="center"/>
                </w:tcPr>
                <w:p w14:paraId="2A09C343">
                  <w:pPr>
                    <w:pStyle w:val="51"/>
                    <w:rPr>
                      <w:snapToGrid w:val="0"/>
                      <w:color w:val="auto"/>
                      <w:sz w:val="14"/>
                    </w:rPr>
                  </w:pPr>
                  <w:r>
                    <w:rPr>
                      <w:rFonts w:hint="eastAsia"/>
                      <w:snapToGrid w:val="0"/>
                      <w:color w:val="auto"/>
                      <w:lang w:val="en-US" w:eastAsia="zh-CN"/>
                    </w:rPr>
                    <w:t>建筑</w:t>
                  </w:r>
                  <w:r>
                    <w:rPr>
                      <w:snapToGrid w:val="0"/>
                      <w:color w:val="auto"/>
                    </w:rPr>
                    <w:t>面积m</w:t>
                  </w:r>
                  <w:r>
                    <w:rPr>
                      <w:snapToGrid w:val="0"/>
                      <w:color w:val="auto"/>
                      <w:position w:val="7"/>
                      <w:sz w:val="14"/>
                    </w:rPr>
                    <w:t>2</w:t>
                  </w:r>
                </w:p>
              </w:tc>
              <w:tc>
                <w:tcPr>
                  <w:tcW w:w="791" w:type="pct"/>
                  <w:shd w:val="clear" w:color="auto" w:fill="auto"/>
                  <w:vAlign w:val="center"/>
                </w:tcPr>
                <w:p w14:paraId="36EEC813">
                  <w:pPr>
                    <w:pStyle w:val="51"/>
                    <w:rPr>
                      <w:snapToGrid w:val="0"/>
                      <w:color w:val="auto"/>
                    </w:rPr>
                  </w:pPr>
                  <w:r>
                    <w:rPr>
                      <w:snapToGrid w:val="0"/>
                      <w:color w:val="auto"/>
                    </w:rPr>
                    <w:t>贮存方式</w:t>
                  </w:r>
                </w:p>
              </w:tc>
              <w:tc>
                <w:tcPr>
                  <w:tcW w:w="427" w:type="pct"/>
                  <w:shd w:val="clear" w:color="auto" w:fill="auto"/>
                  <w:vAlign w:val="center"/>
                </w:tcPr>
                <w:p w14:paraId="2F931A19">
                  <w:pPr>
                    <w:pStyle w:val="51"/>
                    <w:rPr>
                      <w:snapToGrid w:val="0"/>
                      <w:color w:val="auto"/>
                    </w:rPr>
                  </w:pPr>
                  <w:r>
                    <w:rPr>
                      <w:snapToGrid w:val="0"/>
                      <w:color w:val="auto"/>
                    </w:rPr>
                    <w:t>贮存能力t</w:t>
                  </w:r>
                </w:p>
              </w:tc>
              <w:tc>
                <w:tcPr>
                  <w:tcW w:w="604" w:type="pct"/>
                  <w:shd w:val="clear" w:color="auto" w:fill="auto"/>
                  <w:vAlign w:val="center"/>
                </w:tcPr>
                <w:p w14:paraId="489176F0">
                  <w:pPr>
                    <w:pStyle w:val="51"/>
                    <w:rPr>
                      <w:snapToGrid w:val="0"/>
                      <w:color w:val="auto"/>
                    </w:rPr>
                  </w:pPr>
                  <w:r>
                    <w:rPr>
                      <w:snapToGrid w:val="0"/>
                      <w:color w:val="auto"/>
                    </w:rPr>
                    <w:t>贮存</w:t>
                  </w:r>
                </w:p>
                <w:p w14:paraId="756C5DDF">
                  <w:pPr>
                    <w:pStyle w:val="51"/>
                    <w:rPr>
                      <w:snapToGrid w:val="0"/>
                      <w:color w:val="auto"/>
                    </w:rPr>
                  </w:pPr>
                  <w:r>
                    <w:rPr>
                      <w:snapToGrid w:val="0"/>
                      <w:color w:val="auto"/>
                    </w:rPr>
                    <w:t>周期</w:t>
                  </w:r>
                </w:p>
              </w:tc>
            </w:tr>
            <w:tr w14:paraId="32AD73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350" w:type="pct"/>
                  <w:shd w:val="clear" w:color="auto" w:fill="auto"/>
                  <w:vAlign w:val="center"/>
                </w:tcPr>
                <w:p w14:paraId="458A5FF1">
                  <w:pPr>
                    <w:pStyle w:val="51"/>
                    <w:rPr>
                      <w:snapToGrid w:val="0"/>
                      <w:color w:val="auto"/>
                    </w:rPr>
                  </w:pPr>
                  <w:r>
                    <w:rPr>
                      <w:snapToGrid w:val="0"/>
                      <w:color w:val="auto"/>
                    </w:rPr>
                    <w:t>1</w:t>
                  </w:r>
                </w:p>
              </w:tc>
              <w:tc>
                <w:tcPr>
                  <w:tcW w:w="897" w:type="pct"/>
                  <w:shd w:val="clear" w:color="auto" w:fill="auto"/>
                  <w:vAlign w:val="center"/>
                </w:tcPr>
                <w:p w14:paraId="4E8CC0DB">
                  <w:pPr>
                    <w:pStyle w:val="51"/>
                    <w:rPr>
                      <w:snapToGrid w:val="0"/>
                      <w:color w:val="auto"/>
                    </w:rPr>
                  </w:pPr>
                  <w:r>
                    <w:rPr>
                      <w:snapToGrid w:val="0"/>
                      <w:color w:val="auto"/>
                    </w:rPr>
                    <w:t>废蓄电池</w:t>
                  </w:r>
                </w:p>
                <w:p w14:paraId="57097AE8">
                  <w:pPr>
                    <w:pStyle w:val="51"/>
                    <w:rPr>
                      <w:snapToGrid w:val="0"/>
                      <w:color w:val="auto"/>
                    </w:rPr>
                  </w:pPr>
                  <w:r>
                    <w:rPr>
                      <w:snapToGrid w:val="0"/>
                      <w:color w:val="auto"/>
                    </w:rPr>
                    <w:t>存储区</w:t>
                  </w:r>
                </w:p>
              </w:tc>
              <w:tc>
                <w:tcPr>
                  <w:tcW w:w="877" w:type="pct"/>
                  <w:shd w:val="clear" w:color="auto" w:fill="auto"/>
                  <w:vAlign w:val="center"/>
                </w:tcPr>
                <w:p w14:paraId="4E63A5A5">
                  <w:pPr>
                    <w:pStyle w:val="51"/>
                    <w:rPr>
                      <w:snapToGrid w:val="0"/>
                      <w:color w:val="auto"/>
                    </w:rPr>
                  </w:pPr>
                  <w:r>
                    <w:rPr>
                      <w:snapToGrid w:val="0"/>
                      <w:color w:val="auto"/>
                    </w:rPr>
                    <w:t>废蓄电池</w:t>
                  </w:r>
                </w:p>
              </w:tc>
              <w:tc>
                <w:tcPr>
                  <w:tcW w:w="525" w:type="pct"/>
                  <w:vMerge w:val="restart"/>
                  <w:shd w:val="clear" w:color="auto" w:fill="auto"/>
                  <w:vAlign w:val="center"/>
                </w:tcPr>
                <w:p w14:paraId="42FECA9B">
                  <w:pPr>
                    <w:pStyle w:val="51"/>
                    <w:rPr>
                      <w:rFonts w:hint="eastAsia" w:eastAsia="宋体"/>
                      <w:snapToGrid w:val="0"/>
                      <w:color w:val="auto"/>
                      <w:lang w:eastAsia="zh-CN"/>
                    </w:rPr>
                  </w:pPr>
                  <w:r>
                    <w:rPr>
                      <w:rFonts w:hint="eastAsia"/>
                      <w:snapToGrid w:val="0"/>
                      <w:color w:val="auto"/>
                      <w:lang w:eastAsia="zh-CN"/>
                    </w:rPr>
                    <w:t>危险废物贮存库</w:t>
                  </w:r>
                </w:p>
              </w:tc>
              <w:tc>
                <w:tcPr>
                  <w:tcW w:w="525" w:type="pct"/>
                  <w:vMerge w:val="restart"/>
                  <w:shd w:val="clear" w:color="auto" w:fill="auto"/>
                  <w:vAlign w:val="center"/>
                </w:tcPr>
                <w:p w14:paraId="2C6264DB">
                  <w:pPr>
                    <w:pStyle w:val="51"/>
                    <w:rPr>
                      <w:rFonts w:hint="default" w:eastAsia="宋体"/>
                      <w:snapToGrid w:val="0"/>
                      <w:color w:val="auto"/>
                      <w:lang w:val="en-US" w:eastAsia="zh-CN"/>
                    </w:rPr>
                  </w:pPr>
                  <w:r>
                    <w:rPr>
                      <w:rFonts w:hint="eastAsia"/>
                      <w:snapToGrid w:val="0"/>
                      <w:color w:val="auto"/>
                      <w:lang w:val="en-US" w:eastAsia="zh-CN"/>
                    </w:rPr>
                    <w:t>50</w:t>
                  </w:r>
                </w:p>
              </w:tc>
              <w:tc>
                <w:tcPr>
                  <w:tcW w:w="791" w:type="pct"/>
                  <w:shd w:val="clear" w:color="auto" w:fill="auto"/>
                  <w:vAlign w:val="center"/>
                </w:tcPr>
                <w:p w14:paraId="3A4C6C7F">
                  <w:pPr>
                    <w:pStyle w:val="51"/>
                    <w:rPr>
                      <w:snapToGrid w:val="0"/>
                      <w:color w:val="auto"/>
                    </w:rPr>
                  </w:pPr>
                  <w:r>
                    <w:rPr>
                      <w:snapToGrid w:val="0"/>
                      <w:color w:val="auto"/>
                    </w:rPr>
                    <w:t>单独存放</w:t>
                  </w:r>
                </w:p>
              </w:tc>
              <w:tc>
                <w:tcPr>
                  <w:tcW w:w="427" w:type="pct"/>
                  <w:shd w:val="clear" w:color="auto" w:fill="auto"/>
                  <w:vAlign w:val="center"/>
                </w:tcPr>
                <w:p w14:paraId="3A3060FC">
                  <w:pPr>
                    <w:pStyle w:val="51"/>
                    <w:rPr>
                      <w:rFonts w:hint="default" w:eastAsia="宋体"/>
                      <w:snapToGrid w:val="0"/>
                      <w:color w:val="auto"/>
                      <w:lang w:val="en-US" w:eastAsia="zh-CN"/>
                    </w:rPr>
                  </w:pPr>
                  <w:r>
                    <w:rPr>
                      <w:rFonts w:hint="eastAsia"/>
                      <w:snapToGrid w:val="0"/>
                      <w:color w:val="auto"/>
                      <w:lang w:val="en-US" w:eastAsia="zh-CN"/>
                    </w:rPr>
                    <w:t>1</w:t>
                  </w:r>
                </w:p>
              </w:tc>
              <w:tc>
                <w:tcPr>
                  <w:tcW w:w="604" w:type="pct"/>
                  <w:shd w:val="clear" w:color="auto" w:fill="auto"/>
                  <w:vAlign w:val="center"/>
                </w:tcPr>
                <w:p w14:paraId="0094AF2B">
                  <w:pPr>
                    <w:pStyle w:val="51"/>
                    <w:rPr>
                      <w:snapToGrid w:val="0"/>
                      <w:color w:val="auto"/>
                    </w:rPr>
                  </w:pPr>
                  <w:r>
                    <w:rPr>
                      <w:snapToGrid w:val="0"/>
                      <w:color w:val="auto"/>
                    </w:rPr>
                    <w:t>1个月</w:t>
                  </w:r>
                </w:p>
              </w:tc>
            </w:tr>
            <w:tr w14:paraId="38B3C1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350" w:type="pct"/>
                  <w:shd w:val="clear" w:color="auto" w:fill="auto"/>
                  <w:vAlign w:val="center"/>
                </w:tcPr>
                <w:p w14:paraId="23495107">
                  <w:pPr>
                    <w:pStyle w:val="51"/>
                    <w:rPr>
                      <w:snapToGrid w:val="0"/>
                      <w:color w:val="auto"/>
                    </w:rPr>
                  </w:pPr>
                  <w:r>
                    <w:rPr>
                      <w:snapToGrid w:val="0"/>
                      <w:color w:val="auto"/>
                    </w:rPr>
                    <w:t>2</w:t>
                  </w:r>
                </w:p>
              </w:tc>
              <w:tc>
                <w:tcPr>
                  <w:tcW w:w="897" w:type="pct"/>
                  <w:shd w:val="clear" w:color="auto" w:fill="auto"/>
                  <w:vAlign w:val="center"/>
                </w:tcPr>
                <w:p w14:paraId="6C557A99">
                  <w:pPr>
                    <w:pStyle w:val="51"/>
                    <w:rPr>
                      <w:rFonts w:hint="default" w:eastAsia="宋体"/>
                      <w:snapToGrid w:val="0"/>
                      <w:color w:val="auto"/>
                      <w:sz w:val="2"/>
                      <w:szCs w:val="2"/>
                      <w:lang w:val="en-US" w:eastAsia="zh-CN"/>
                    </w:rPr>
                  </w:pPr>
                  <w:r>
                    <w:rPr>
                      <w:snapToGrid w:val="0"/>
                      <w:color w:val="auto"/>
                    </w:rPr>
                    <w:t>废油液专用</w:t>
                  </w:r>
                  <w:r>
                    <w:rPr>
                      <w:rFonts w:hint="eastAsia"/>
                      <w:snapToGrid w:val="0"/>
                      <w:color w:val="auto"/>
                      <w:lang w:val="en-US" w:eastAsia="zh-CN"/>
                    </w:rPr>
                    <w:t>密闭容器</w:t>
                  </w:r>
                </w:p>
              </w:tc>
              <w:tc>
                <w:tcPr>
                  <w:tcW w:w="877" w:type="pct"/>
                  <w:shd w:val="clear" w:color="auto" w:fill="auto"/>
                  <w:vAlign w:val="center"/>
                </w:tcPr>
                <w:p w14:paraId="0014E3A1">
                  <w:pPr>
                    <w:pStyle w:val="51"/>
                    <w:rPr>
                      <w:snapToGrid w:val="0"/>
                      <w:color w:val="auto"/>
                    </w:rPr>
                  </w:pPr>
                  <w:r>
                    <w:rPr>
                      <w:snapToGrid w:val="0"/>
                      <w:color w:val="auto"/>
                    </w:rPr>
                    <w:t>废油液</w:t>
                  </w:r>
                </w:p>
              </w:tc>
              <w:tc>
                <w:tcPr>
                  <w:tcW w:w="525" w:type="pct"/>
                  <w:vMerge w:val="continue"/>
                  <w:shd w:val="clear" w:color="auto" w:fill="auto"/>
                  <w:vAlign w:val="center"/>
                </w:tcPr>
                <w:p w14:paraId="6A144721">
                  <w:pPr>
                    <w:pStyle w:val="51"/>
                    <w:rPr>
                      <w:snapToGrid w:val="0"/>
                      <w:color w:val="auto"/>
                      <w:sz w:val="2"/>
                      <w:szCs w:val="2"/>
                    </w:rPr>
                  </w:pPr>
                </w:p>
              </w:tc>
              <w:tc>
                <w:tcPr>
                  <w:tcW w:w="525" w:type="pct"/>
                  <w:vMerge w:val="continue"/>
                  <w:shd w:val="clear" w:color="auto" w:fill="auto"/>
                  <w:vAlign w:val="center"/>
                </w:tcPr>
                <w:p w14:paraId="46EDF1E2">
                  <w:pPr>
                    <w:pStyle w:val="51"/>
                    <w:rPr>
                      <w:snapToGrid w:val="0"/>
                      <w:color w:val="auto"/>
                      <w:sz w:val="2"/>
                      <w:szCs w:val="2"/>
                    </w:rPr>
                  </w:pPr>
                </w:p>
              </w:tc>
              <w:tc>
                <w:tcPr>
                  <w:tcW w:w="791" w:type="pct"/>
                  <w:shd w:val="clear" w:color="auto" w:fill="auto"/>
                  <w:vAlign w:val="center"/>
                </w:tcPr>
                <w:p w14:paraId="0432BF5E">
                  <w:pPr>
                    <w:pStyle w:val="51"/>
                    <w:rPr>
                      <w:snapToGrid w:val="0"/>
                      <w:color w:val="auto"/>
                    </w:rPr>
                  </w:pPr>
                  <w:r>
                    <w:rPr>
                      <w:snapToGrid w:val="0"/>
                      <w:color w:val="auto"/>
                    </w:rPr>
                    <w:t>罐装</w:t>
                  </w:r>
                </w:p>
              </w:tc>
              <w:tc>
                <w:tcPr>
                  <w:tcW w:w="427" w:type="pct"/>
                  <w:shd w:val="clear" w:color="auto" w:fill="auto"/>
                  <w:vAlign w:val="center"/>
                </w:tcPr>
                <w:p w14:paraId="0E3669DE">
                  <w:pPr>
                    <w:pStyle w:val="51"/>
                    <w:rPr>
                      <w:rFonts w:hint="default"/>
                      <w:snapToGrid w:val="0"/>
                      <w:color w:val="auto"/>
                      <w:lang w:val="en-US"/>
                    </w:rPr>
                  </w:pPr>
                  <w:r>
                    <w:rPr>
                      <w:rFonts w:hint="eastAsia"/>
                      <w:snapToGrid w:val="0"/>
                      <w:color w:val="auto"/>
                      <w:lang w:val="en-US" w:eastAsia="zh-CN"/>
                    </w:rPr>
                    <w:t>1</w:t>
                  </w:r>
                </w:p>
              </w:tc>
              <w:tc>
                <w:tcPr>
                  <w:tcW w:w="604" w:type="pct"/>
                  <w:shd w:val="clear" w:color="auto" w:fill="auto"/>
                  <w:vAlign w:val="center"/>
                </w:tcPr>
                <w:p w14:paraId="0E3D41B1">
                  <w:pPr>
                    <w:pStyle w:val="51"/>
                    <w:rPr>
                      <w:snapToGrid w:val="0"/>
                      <w:color w:val="auto"/>
                    </w:rPr>
                  </w:pPr>
                  <w:r>
                    <w:rPr>
                      <w:snapToGrid w:val="0"/>
                      <w:color w:val="auto"/>
                    </w:rPr>
                    <w:t>1个月</w:t>
                  </w:r>
                </w:p>
              </w:tc>
            </w:tr>
            <w:tr w14:paraId="2C6CE6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350" w:type="pct"/>
                  <w:shd w:val="clear" w:color="auto" w:fill="auto"/>
                  <w:vAlign w:val="center"/>
                </w:tcPr>
                <w:p w14:paraId="7732B93C">
                  <w:pPr>
                    <w:pStyle w:val="51"/>
                    <w:rPr>
                      <w:snapToGrid w:val="0"/>
                      <w:color w:val="auto"/>
                    </w:rPr>
                  </w:pPr>
                  <w:r>
                    <w:rPr>
                      <w:snapToGrid w:val="0"/>
                      <w:color w:val="auto"/>
                    </w:rPr>
                    <w:t>3</w:t>
                  </w:r>
                </w:p>
              </w:tc>
              <w:tc>
                <w:tcPr>
                  <w:tcW w:w="897" w:type="pct"/>
                  <w:shd w:val="clear" w:color="auto" w:fill="auto"/>
                  <w:vAlign w:val="center"/>
                </w:tcPr>
                <w:p w14:paraId="7B6A4238">
                  <w:pPr>
                    <w:pStyle w:val="51"/>
                    <w:rPr>
                      <w:bCs/>
                      <w:color w:val="auto"/>
                      <w:szCs w:val="21"/>
                    </w:rPr>
                  </w:pPr>
                  <w:r>
                    <w:rPr>
                      <w:bCs/>
                      <w:color w:val="auto"/>
                      <w:szCs w:val="21"/>
                    </w:rPr>
                    <w:t>废电容器</w:t>
                  </w:r>
                </w:p>
                <w:p w14:paraId="7CC97202">
                  <w:pPr>
                    <w:pStyle w:val="51"/>
                    <w:rPr>
                      <w:snapToGrid w:val="0"/>
                      <w:color w:val="auto"/>
                    </w:rPr>
                  </w:pPr>
                  <w:r>
                    <w:rPr>
                      <w:bCs/>
                      <w:color w:val="auto"/>
                      <w:szCs w:val="21"/>
                    </w:rPr>
                    <w:t>存储区</w:t>
                  </w:r>
                </w:p>
              </w:tc>
              <w:tc>
                <w:tcPr>
                  <w:tcW w:w="877" w:type="pct"/>
                  <w:shd w:val="clear" w:color="auto" w:fill="auto"/>
                  <w:vAlign w:val="center"/>
                </w:tcPr>
                <w:p w14:paraId="5C0ADAB5">
                  <w:pPr>
                    <w:pStyle w:val="51"/>
                    <w:rPr>
                      <w:snapToGrid w:val="0"/>
                      <w:color w:val="auto"/>
                    </w:rPr>
                  </w:pPr>
                  <w:r>
                    <w:rPr>
                      <w:snapToGrid w:val="0"/>
                      <w:color w:val="auto"/>
                    </w:rPr>
                    <w:t>废电容器</w:t>
                  </w:r>
                </w:p>
              </w:tc>
              <w:tc>
                <w:tcPr>
                  <w:tcW w:w="525" w:type="pct"/>
                  <w:vMerge w:val="continue"/>
                  <w:shd w:val="clear" w:color="auto" w:fill="auto"/>
                  <w:vAlign w:val="center"/>
                </w:tcPr>
                <w:p w14:paraId="78007D3D">
                  <w:pPr>
                    <w:pStyle w:val="51"/>
                    <w:rPr>
                      <w:snapToGrid w:val="0"/>
                      <w:color w:val="auto"/>
                      <w:sz w:val="2"/>
                      <w:szCs w:val="2"/>
                    </w:rPr>
                  </w:pPr>
                </w:p>
              </w:tc>
              <w:tc>
                <w:tcPr>
                  <w:tcW w:w="525" w:type="pct"/>
                  <w:vMerge w:val="continue"/>
                  <w:shd w:val="clear" w:color="auto" w:fill="auto"/>
                  <w:vAlign w:val="center"/>
                </w:tcPr>
                <w:p w14:paraId="7E8F1490">
                  <w:pPr>
                    <w:pStyle w:val="51"/>
                    <w:rPr>
                      <w:snapToGrid w:val="0"/>
                      <w:color w:val="auto"/>
                      <w:sz w:val="2"/>
                      <w:szCs w:val="2"/>
                    </w:rPr>
                  </w:pPr>
                </w:p>
              </w:tc>
              <w:tc>
                <w:tcPr>
                  <w:tcW w:w="791" w:type="pct"/>
                  <w:shd w:val="clear" w:color="auto" w:fill="auto"/>
                  <w:vAlign w:val="center"/>
                </w:tcPr>
                <w:p w14:paraId="2BDE454D">
                  <w:pPr>
                    <w:pStyle w:val="51"/>
                    <w:rPr>
                      <w:snapToGrid w:val="0"/>
                      <w:color w:val="auto"/>
                    </w:rPr>
                  </w:pPr>
                  <w:r>
                    <w:rPr>
                      <w:color w:val="auto"/>
                    </w:rPr>
                    <w:t>罐装</w:t>
                  </w:r>
                </w:p>
              </w:tc>
              <w:tc>
                <w:tcPr>
                  <w:tcW w:w="427" w:type="pct"/>
                  <w:shd w:val="clear" w:color="auto" w:fill="auto"/>
                  <w:vAlign w:val="center"/>
                </w:tcPr>
                <w:p w14:paraId="1EA747D3">
                  <w:pPr>
                    <w:pStyle w:val="51"/>
                    <w:rPr>
                      <w:rFonts w:hint="eastAsia" w:eastAsia="宋体"/>
                      <w:snapToGrid w:val="0"/>
                      <w:color w:val="auto"/>
                      <w:lang w:eastAsia="zh-CN"/>
                    </w:rPr>
                  </w:pPr>
                  <w:r>
                    <w:rPr>
                      <w:color w:val="auto"/>
                    </w:rPr>
                    <w:t>0.</w:t>
                  </w:r>
                  <w:r>
                    <w:rPr>
                      <w:rFonts w:hint="eastAsia"/>
                      <w:color w:val="auto"/>
                      <w:lang w:val="en-US" w:eastAsia="zh-CN"/>
                    </w:rPr>
                    <w:t>5</w:t>
                  </w:r>
                </w:p>
              </w:tc>
              <w:tc>
                <w:tcPr>
                  <w:tcW w:w="604" w:type="pct"/>
                  <w:shd w:val="clear" w:color="auto" w:fill="auto"/>
                  <w:vAlign w:val="center"/>
                </w:tcPr>
                <w:p w14:paraId="475A715C">
                  <w:pPr>
                    <w:pStyle w:val="51"/>
                    <w:rPr>
                      <w:snapToGrid w:val="0"/>
                      <w:color w:val="auto"/>
                    </w:rPr>
                  </w:pPr>
                  <w:r>
                    <w:rPr>
                      <w:color w:val="auto"/>
                    </w:rPr>
                    <w:t>1个月</w:t>
                  </w:r>
                </w:p>
              </w:tc>
            </w:tr>
            <w:tr w14:paraId="1D0ADF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350" w:type="pct"/>
                  <w:shd w:val="clear" w:color="auto" w:fill="auto"/>
                  <w:vAlign w:val="center"/>
                </w:tcPr>
                <w:p w14:paraId="7CE06C25">
                  <w:pPr>
                    <w:pStyle w:val="51"/>
                    <w:rPr>
                      <w:snapToGrid w:val="0"/>
                      <w:color w:val="auto"/>
                    </w:rPr>
                  </w:pPr>
                  <w:r>
                    <w:rPr>
                      <w:snapToGrid w:val="0"/>
                      <w:color w:val="auto"/>
                    </w:rPr>
                    <w:t>4</w:t>
                  </w:r>
                </w:p>
              </w:tc>
              <w:tc>
                <w:tcPr>
                  <w:tcW w:w="897" w:type="pct"/>
                  <w:shd w:val="clear" w:color="auto" w:fill="auto"/>
                  <w:vAlign w:val="center"/>
                </w:tcPr>
                <w:p w14:paraId="707803F6">
                  <w:pPr>
                    <w:pStyle w:val="51"/>
                    <w:rPr>
                      <w:snapToGrid w:val="0"/>
                      <w:color w:val="auto"/>
                    </w:rPr>
                  </w:pPr>
                  <w:r>
                    <w:rPr>
                      <w:snapToGrid w:val="0"/>
                      <w:color w:val="auto"/>
                    </w:rPr>
                    <w:t>废防冻液</w:t>
                  </w:r>
                </w:p>
                <w:p w14:paraId="37507F0C">
                  <w:pPr>
                    <w:pStyle w:val="51"/>
                    <w:rPr>
                      <w:b/>
                      <w:bCs/>
                      <w:snapToGrid w:val="0"/>
                      <w:color w:val="auto"/>
                      <w:sz w:val="2"/>
                      <w:szCs w:val="2"/>
                    </w:rPr>
                  </w:pPr>
                  <w:r>
                    <w:rPr>
                      <w:snapToGrid w:val="0"/>
                      <w:color w:val="auto"/>
                    </w:rPr>
                    <w:t>专用储罐</w:t>
                  </w:r>
                </w:p>
              </w:tc>
              <w:tc>
                <w:tcPr>
                  <w:tcW w:w="877" w:type="pct"/>
                  <w:shd w:val="clear" w:color="auto" w:fill="auto"/>
                  <w:vAlign w:val="center"/>
                </w:tcPr>
                <w:p w14:paraId="269B8493">
                  <w:pPr>
                    <w:pStyle w:val="51"/>
                    <w:rPr>
                      <w:snapToGrid w:val="0"/>
                      <w:color w:val="auto"/>
                    </w:rPr>
                  </w:pPr>
                  <w:r>
                    <w:rPr>
                      <w:snapToGrid w:val="0"/>
                      <w:color w:val="auto"/>
                    </w:rPr>
                    <w:t>废防冻液</w:t>
                  </w:r>
                </w:p>
              </w:tc>
              <w:tc>
                <w:tcPr>
                  <w:tcW w:w="525" w:type="pct"/>
                  <w:vMerge w:val="continue"/>
                  <w:shd w:val="clear" w:color="auto" w:fill="auto"/>
                  <w:vAlign w:val="center"/>
                </w:tcPr>
                <w:p w14:paraId="1A4DC07A">
                  <w:pPr>
                    <w:pStyle w:val="51"/>
                    <w:rPr>
                      <w:snapToGrid w:val="0"/>
                      <w:color w:val="auto"/>
                      <w:sz w:val="2"/>
                      <w:szCs w:val="2"/>
                    </w:rPr>
                  </w:pPr>
                </w:p>
              </w:tc>
              <w:tc>
                <w:tcPr>
                  <w:tcW w:w="525" w:type="pct"/>
                  <w:vMerge w:val="continue"/>
                  <w:shd w:val="clear" w:color="auto" w:fill="auto"/>
                  <w:vAlign w:val="center"/>
                </w:tcPr>
                <w:p w14:paraId="0EFFA929">
                  <w:pPr>
                    <w:pStyle w:val="51"/>
                    <w:rPr>
                      <w:snapToGrid w:val="0"/>
                      <w:color w:val="auto"/>
                      <w:sz w:val="2"/>
                      <w:szCs w:val="2"/>
                    </w:rPr>
                  </w:pPr>
                </w:p>
              </w:tc>
              <w:tc>
                <w:tcPr>
                  <w:tcW w:w="791" w:type="pct"/>
                  <w:shd w:val="clear" w:color="auto" w:fill="auto"/>
                  <w:vAlign w:val="center"/>
                </w:tcPr>
                <w:p w14:paraId="39BABCA6">
                  <w:pPr>
                    <w:pStyle w:val="51"/>
                    <w:rPr>
                      <w:snapToGrid w:val="0"/>
                      <w:color w:val="auto"/>
                    </w:rPr>
                  </w:pPr>
                  <w:r>
                    <w:rPr>
                      <w:snapToGrid w:val="0"/>
                      <w:color w:val="auto"/>
                    </w:rPr>
                    <w:t>罐装</w:t>
                  </w:r>
                </w:p>
              </w:tc>
              <w:tc>
                <w:tcPr>
                  <w:tcW w:w="427" w:type="pct"/>
                  <w:shd w:val="clear" w:color="auto" w:fill="auto"/>
                  <w:vAlign w:val="center"/>
                </w:tcPr>
                <w:p w14:paraId="6AF51FD9">
                  <w:pPr>
                    <w:pStyle w:val="51"/>
                    <w:rPr>
                      <w:rFonts w:hint="eastAsia" w:eastAsia="宋体"/>
                      <w:snapToGrid w:val="0"/>
                      <w:color w:val="auto"/>
                      <w:lang w:eastAsia="zh-CN"/>
                    </w:rPr>
                  </w:pPr>
                  <w:r>
                    <w:rPr>
                      <w:rFonts w:hint="eastAsia"/>
                      <w:snapToGrid w:val="0"/>
                      <w:color w:val="auto"/>
                      <w:lang w:val="en-US" w:eastAsia="zh-CN"/>
                    </w:rPr>
                    <w:t>1</w:t>
                  </w:r>
                </w:p>
              </w:tc>
              <w:tc>
                <w:tcPr>
                  <w:tcW w:w="604" w:type="pct"/>
                  <w:shd w:val="clear" w:color="auto" w:fill="auto"/>
                  <w:vAlign w:val="center"/>
                </w:tcPr>
                <w:p w14:paraId="13801721">
                  <w:pPr>
                    <w:pStyle w:val="51"/>
                    <w:rPr>
                      <w:snapToGrid w:val="0"/>
                      <w:color w:val="auto"/>
                    </w:rPr>
                  </w:pPr>
                  <w:r>
                    <w:rPr>
                      <w:snapToGrid w:val="0"/>
                      <w:color w:val="auto"/>
                    </w:rPr>
                    <w:t>1个月</w:t>
                  </w:r>
                </w:p>
              </w:tc>
            </w:tr>
            <w:tr w14:paraId="31C57B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350" w:type="pct"/>
                  <w:shd w:val="clear" w:color="auto" w:fill="auto"/>
                  <w:vAlign w:val="center"/>
                </w:tcPr>
                <w:p w14:paraId="3148154D">
                  <w:pPr>
                    <w:pStyle w:val="51"/>
                    <w:rPr>
                      <w:rFonts w:hint="eastAsia" w:ascii="Times New Roman" w:hAnsi="Times New Roman" w:eastAsia="宋体" w:cs="Times New Roman"/>
                      <w:snapToGrid w:val="0"/>
                      <w:color w:val="auto"/>
                      <w:kern w:val="2"/>
                      <w:sz w:val="21"/>
                      <w:szCs w:val="24"/>
                      <w:lang w:val="en-US" w:eastAsia="zh-CN" w:bidi="ar-SA"/>
                    </w:rPr>
                  </w:pPr>
                  <w:r>
                    <w:rPr>
                      <w:rFonts w:hint="eastAsia"/>
                      <w:snapToGrid w:val="0"/>
                      <w:color w:val="auto"/>
                      <w:lang w:val="en-US" w:eastAsia="zh-CN"/>
                    </w:rPr>
                    <w:t>5</w:t>
                  </w:r>
                </w:p>
              </w:tc>
              <w:tc>
                <w:tcPr>
                  <w:tcW w:w="897" w:type="pct"/>
                  <w:shd w:val="clear" w:color="auto" w:fill="auto"/>
                  <w:vAlign w:val="center"/>
                </w:tcPr>
                <w:p w14:paraId="5727AA3A">
                  <w:pPr>
                    <w:pStyle w:val="51"/>
                    <w:rPr>
                      <w:rFonts w:hint="default" w:ascii="Times New Roman" w:hAnsi="Times New Roman" w:eastAsia="宋体" w:cs="Times New Roman"/>
                      <w:snapToGrid w:val="0"/>
                      <w:color w:val="auto"/>
                      <w:kern w:val="2"/>
                      <w:sz w:val="21"/>
                      <w:szCs w:val="24"/>
                      <w:lang w:val="en-US" w:eastAsia="zh-CN" w:bidi="ar-SA"/>
                    </w:rPr>
                  </w:pPr>
                  <w:r>
                    <w:rPr>
                      <w:rFonts w:hint="eastAsia" w:cs="Times New Roman"/>
                      <w:snapToGrid w:val="0"/>
                      <w:color w:val="auto"/>
                      <w:kern w:val="2"/>
                      <w:sz w:val="21"/>
                      <w:szCs w:val="24"/>
                      <w:lang w:val="en-US" w:eastAsia="zh-CN" w:bidi="ar-SA"/>
                    </w:rPr>
                    <w:t>专用储存桶</w:t>
                  </w:r>
                </w:p>
              </w:tc>
              <w:tc>
                <w:tcPr>
                  <w:tcW w:w="877" w:type="pct"/>
                  <w:shd w:val="clear" w:color="auto" w:fill="auto"/>
                  <w:vAlign w:val="center"/>
                </w:tcPr>
                <w:p w14:paraId="042B9B03">
                  <w:pPr>
                    <w:pStyle w:val="51"/>
                    <w:rPr>
                      <w:rFonts w:ascii="Times New Roman" w:hAnsi="Times New Roman" w:eastAsia="宋体" w:cs="Times New Roman"/>
                      <w:snapToGrid w:val="0"/>
                      <w:color w:val="auto"/>
                      <w:kern w:val="2"/>
                      <w:sz w:val="21"/>
                      <w:szCs w:val="24"/>
                      <w:lang w:val="en-US" w:eastAsia="zh-CN" w:bidi="ar-SA"/>
                    </w:rPr>
                  </w:pPr>
                  <w:r>
                    <w:rPr>
                      <w:rFonts w:hint="eastAsia"/>
                      <w:snapToGrid w:val="0"/>
                      <w:color w:val="auto"/>
                    </w:rPr>
                    <w:t>沾有油污的手套、抹布、废墩布</w:t>
                  </w:r>
                </w:p>
              </w:tc>
              <w:tc>
                <w:tcPr>
                  <w:tcW w:w="525" w:type="pct"/>
                  <w:vMerge w:val="continue"/>
                  <w:shd w:val="clear" w:color="auto" w:fill="auto"/>
                  <w:vAlign w:val="center"/>
                </w:tcPr>
                <w:p w14:paraId="59BC7963">
                  <w:pPr>
                    <w:pStyle w:val="51"/>
                    <w:rPr>
                      <w:snapToGrid w:val="0"/>
                      <w:color w:val="auto"/>
                      <w:sz w:val="2"/>
                      <w:szCs w:val="2"/>
                    </w:rPr>
                  </w:pPr>
                </w:p>
              </w:tc>
              <w:tc>
                <w:tcPr>
                  <w:tcW w:w="525" w:type="pct"/>
                  <w:vMerge w:val="continue"/>
                  <w:shd w:val="clear" w:color="auto" w:fill="auto"/>
                  <w:vAlign w:val="center"/>
                </w:tcPr>
                <w:p w14:paraId="17D257AC">
                  <w:pPr>
                    <w:pStyle w:val="51"/>
                    <w:rPr>
                      <w:snapToGrid w:val="0"/>
                      <w:color w:val="auto"/>
                      <w:sz w:val="2"/>
                      <w:szCs w:val="2"/>
                    </w:rPr>
                  </w:pPr>
                </w:p>
              </w:tc>
              <w:tc>
                <w:tcPr>
                  <w:tcW w:w="791" w:type="pct"/>
                  <w:shd w:val="clear" w:color="auto" w:fill="auto"/>
                  <w:vAlign w:val="center"/>
                </w:tcPr>
                <w:p w14:paraId="0940E7E2">
                  <w:pPr>
                    <w:pStyle w:val="51"/>
                    <w:rPr>
                      <w:rFonts w:ascii="Times New Roman" w:hAnsi="Times New Roman" w:eastAsia="宋体" w:cs="Times New Roman"/>
                      <w:snapToGrid w:val="0"/>
                      <w:color w:val="auto"/>
                      <w:kern w:val="2"/>
                      <w:sz w:val="21"/>
                      <w:szCs w:val="24"/>
                      <w:lang w:val="en-US" w:eastAsia="zh-CN" w:bidi="ar-SA"/>
                    </w:rPr>
                  </w:pPr>
                  <w:r>
                    <w:rPr>
                      <w:rFonts w:hint="eastAsia" w:ascii="Times New Roman" w:hAnsi="Times New Roman" w:eastAsia="宋体" w:cs="Times New Roman"/>
                      <w:snapToGrid w:val="0"/>
                      <w:color w:val="auto"/>
                      <w:kern w:val="2"/>
                      <w:sz w:val="21"/>
                      <w:szCs w:val="24"/>
                      <w:lang w:val="en-US" w:eastAsia="zh-CN" w:bidi="ar-SA"/>
                    </w:rPr>
                    <w:t>桶装</w:t>
                  </w:r>
                </w:p>
              </w:tc>
              <w:tc>
                <w:tcPr>
                  <w:tcW w:w="427" w:type="pct"/>
                  <w:shd w:val="clear" w:color="auto" w:fill="auto"/>
                  <w:vAlign w:val="center"/>
                </w:tcPr>
                <w:p w14:paraId="1BD8B034">
                  <w:pPr>
                    <w:pStyle w:val="51"/>
                    <w:rPr>
                      <w:rFonts w:hint="default" w:eastAsia="宋体"/>
                      <w:snapToGrid w:val="0"/>
                      <w:color w:val="auto"/>
                      <w:lang w:val="en-US" w:eastAsia="zh-CN"/>
                    </w:rPr>
                  </w:pPr>
                  <w:r>
                    <w:rPr>
                      <w:rFonts w:hint="eastAsia"/>
                      <w:snapToGrid w:val="0"/>
                      <w:color w:val="auto"/>
                      <w:lang w:val="en-US" w:eastAsia="zh-CN"/>
                    </w:rPr>
                    <w:t>0.05</w:t>
                  </w:r>
                </w:p>
              </w:tc>
              <w:tc>
                <w:tcPr>
                  <w:tcW w:w="604" w:type="pct"/>
                  <w:shd w:val="clear" w:color="auto" w:fill="auto"/>
                  <w:vAlign w:val="center"/>
                </w:tcPr>
                <w:p w14:paraId="12C784B1">
                  <w:pPr>
                    <w:pStyle w:val="51"/>
                    <w:rPr>
                      <w:rFonts w:ascii="Times New Roman" w:hAnsi="Times New Roman" w:eastAsia="宋体" w:cs="Times New Roman"/>
                      <w:snapToGrid w:val="0"/>
                      <w:color w:val="auto"/>
                      <w:kern w:val="2"/>
                      <w:sz w:val="21"/>
                      <w:szCs w:val="24"/>
                      <w:lang w:val="en-US" w:eastAsia="zh-CN" w:bidi="ar-SA"/>
                    </w:rPr>
                  </w:pPr>
                  <w:r>
                    <w:rPr>
                      <w:color w:val="auto"/>
                    </w:rPr>
                    <w:t>1个月</w:t>
                  </w:r>
                </w:p>
              </w:tc>
            </w:tr>
            <w:tr w14:paraId="76060D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350" w:type="pct"/>
                  <w:shd w:val="clear" w:color="auto" w:fill="auto"/>
                  <w:vAlign w:val="center"/>
                </w:tcPr>
                <w:p w14:paraId="2F3D7248">
                  <w:pPr>
                    <w:pStyle w:val="51"/>
                    <w:rPr>
                      <w:rFonts w:hint="eastAsia" w:ascii="Times New Roman" w:hAnsi="Times New Roman" w:eastAsia="宋体" w:cs="Times New Roman"/>
                      <w:snapToGrid w:val="0"/>
                      <w:color w:val="auto"/>
                      <w:kern w:val="2"/>
                      <w:sz w:val="21"/>
                      <w:szCs w:val="24"/>
                      <w:lang w:val="en-US" w:eastAsia="zh-CN" w:bidi="ar-SA"/>
                    </w:rPr>
                  </w:pPr>
                  <w:r>
                    <w:rPr>
                      <w:rFonts w:hint="eastAsia"/>
                      <w:snapToGrid w:val="0"/>
                      <w:color w:val="auto"/>
                      <w:lang w:val="en-US" w:eastAsia="zh-CN"/>
                    </w:rPr>
                    <w:t>6</w:t>
                  </w:r>
                </w:p>
              </w:tc>
              <w:tc>
                <w:tcPr>
                  <w:tcW w:w="897" w:type="pct"/>
                  <w:shd w:val="clear" w:color="auto" w:fill="auto"/>
                  <w:vAlign w:val="center"/>
                </w:tcPr>
                <w:p w14:paraId="5A7ABDE7">
                  <w:pPr>
                    <w:pStyle w:val="51"/>
                    <w:rPr>
                      <w:rFonts w:hint="eastAsia" w:ascii="Times New Roman" w:hAnsi="Times New Roman" w:eastAsia="宋体" w:cs="Times New Roman"/>
                      <w:snapToGrid w:val="0"/>
                      <w:color w:val="auto"/>
                      <w:kern w:val="2"/>
                      <w:sz w:val="21"/>
                      <w:szCs w:val="24"/>
                      <w:lang w:val="en-US" w:eastAsia="zh-CN" w:bidi="ar-SA"/>
                    </w:rPr>
                  </w:pPr>
                  <w:r>
                    <w:rPr>
                      <w:rFonts w:hint="eastAsia"/>
                      <w:snapToGrid w:val="0"/>
                      <w:color w:val="auto"/>
                      <w:lang w:val="en-US" w:eastAsia="zh-CN"/>
                    </w:rPr>
                    <w:t>废活性炭专用桶</w:t>
                  </w:r>
                </w:p>
              </w:tc>
              <w:tc>
                <w:tcPr>
                  <w:tcW w:w="877" w:type="pct"/>
                  <w:shd w:val="clear" w:color="auto" w:fill="auto"/>
                  <w:vAlign w:val="center"/>
                </w:tcPr>
                <w:p w14:paraId="56AE1523">
                  <w:pPr>
                    <w:pStyle w:val="51"/>
                    <w:rPr>
                      <w:rFonts w:hint="eastAsia" w:ascii="Times New Roman" w:hAnsi="Times New Roman" w:eastAsia="宋体" w:cs="Times New Roman"/>
                      <w:snapToGrid w:val="0"/>
                      <w:color w:val="auto"/>
                      <w:kern w:val="2"/>
                      <w:sz w:val="21"/>
                      <w:szCs w:val="24"/>
                      <w:highlight w:val="none"/>
                      <w:lang w:val="en-US" w:eastAsia="zh-CN" w:bidi="ar-SA"/>
                    </w:rPr>
                  </w:pPr>
                  <w:r>
                    <w:rPr>
                      <w:rFonts w:hint="eastAsia"/>
                      <w:snapToGrid w:val="0"/>
                      <w:color w:val="auto"/>
                      <w:highlight w:val="none"/>
                      <w:lang w:val="en-US" w:eastAsia="zh-CN"/>
                    </w:rPr>
                    <w:t>废活性炭</w:t>
                  </w:r>
                </w:p>
              </w:tc>
              <w:tc>
                <w:tcPr>
                  <w:tcW w:w="525" w:type="pct"/>
                  <w:vMerge w:val="continue"/>
                  <w:shd w:val="clear" w:color="auto" w:fill="auto"/>
                  <w:vAlign w:val="center"/>
                </w:tcPr>
                <w:p w14:paraId="775256C1">
                  <w:pPr>
                    <w:pStyle w:val="51"/>
                    <w:rPr>
                      <w:snapToGrid w:val="0"/>
                      <w:color w:val="auto"/>
                      <w:sz w:val="2"/>
                      <w:szCs w:val="2"/>
                    </w:rPr>
                  </w:pPr>
                </w:p>
              </w:tc>
              <w:tc>
                <w:tcPr>
                  <w:tcW w:w="525" w:type="pct"/>
                  <w:vMerge w:val="continue"/>
                  <w:shd w:val="clear" w:color="auto" w:fill="auto"/>
                  <w:vAlign w:val="center"/>
                </w:tcPr>
                <w:p w14:paraId="2DB8E38B">
                  <w:pPr>
                    <w:pStyle w:val="51"/>
                    <w:rPr>
                      <w:snapToGrid w:val="0"/>
                      <w:color w:val="auto"/>
                      <w:sz w:val="2"/>
                      <w:szCs w:val="2"/>
                    </w:rPr>
                  </w:pPr>
                </w:p>
              </w:tc>
              <w:tc>
                <w:tcPr>
                  <w:tcW w:w="791" w:type="pct"/>
                  <w:shd w:val="clear" w:color="auto" w:fill="auto"/>
                  <w:vAlign w:val="center"/>
                </w:tcPr>
                <w:p w14:paraId="6C6CB915">
                  <w:pPr>
                    <w:pStyle w:val="51"/>
                    <w:rPr>
                      <w:rFonts w:hint="eastAsia" w:ascii="Times New Roman" w:hAnsi="Times New Roman" w:eastAsia="宋体" w:cs="Times New Roman"/>
                      <w:snapToGrid w:val="0"/>
                      <w:color w:val="auto"/>
                      <w:kern w:val="2"/>
                      <w:sz w:val="21"/>
                      <w:szCs w:val="24"/>
                      <w:lang w:val="en-US" w:eastAsia="zh-CN" w:bidi="ar-SA"/>
                    </w:rPr>
                  </w:pPr>
                  <w:r>
                    <w:rPr>
                      <w:rFonts w:hint="eastAsia"/>
                      <w:snapToGrid w:val="0"/>
                      <w:color w:val="auto"/>
                    </w:rPr>
                    <w:t>桶装</w:t>
                  </w:r>
                </w:p>
              </w:tc>
              <w:tc>
                <w:tcPr>
                  <w:tcW w:w="427" w:type="pct"/>
                  <w:shd w:val="clear" w:color="auto" w:fill="auto"/>
                  <w:vAlign w:val="center"/>
                </w:tcPr>
                <w:p w14:paraId="65F27F0E">
                  <w:pPr>
                    <w:pStyle w:val="51"/>
                    <w:rPr>
                      <w:rFonts w:hint="eastAsia" w:ascii="Times New Roman" w:hAnsi="Times New Roman" w:eastAsia="宋体" w:cs="Times New Roman"/>
                      <w:snapToGrid w:val="0"/>
                      <w:color w:val="auto"/>
                      <w:kern w:val="2"/>
                      <w:sz w:val="21"/>
                      <w:szCs w:val="24"/>
                      <w:lang w:val="en-US" w:eastAsia="zh-CN" w:bidi="ar-SA"/>
                    </w:rPr>
                  </w:pPr>
                  <w:r>
                    <w:rPr>
                      <w:rFonts w:hint="eastAsia"/>
                      <w:snapToGrid w:val="0"/>
                      <w:color w:val="auto"/>
                      <w:lang w:val="en-US" w:eastAsia="zh-CN"/>
                    </w:rPr>
                    <w:t>0.2</w:t>
                  </w:r>
                </w:p>
              </w:tc>
              <w:tc>
                <w:tcPr>
                  <w:tcW w:w="604" w:type="pct"/>
                  <w:shd w:val="clear" w:color="auto" w:fill="auto"/>
                  <w:vAlign w:val="center"/>
                </w:tcPr>
                <w:p w14:paraId="2AA05FEB">
                  <w:pPr>
                    <w:pStyle w:val="51"/>
                    <w:rPr>
                      <w:rFonts w:ascii="Times New Roman" w:hAnsi="Times New Roman" w:eastAsia="宋体" w:cs="Times New Roman"/>
                      <w:snapToGrid w:val="0"/>
                      <w:color w:val="auto"/>
                      <w:kern w:val="2"/>
                      <w:sz w:val="21"/>
                      <w:szCs w:val="24"/>
                      <w:lang w:val="en-US" w:eastAsia="zh-CN" w:bidi="ar-SA"/>
                    </w:rPr>
                  </w:pPr>
                  <w:r>
                    <w:rPr>
                      <w:snapToGrid w:val="0"/>
                      <w:color w:val="auto"/>
                    </w:rPr>
                    <w:t>1个月</w:t>
                  </w:r>
                </w:p>
              </w:tc>
            </w:tr>
            <w:tr w14:paraId="5B38E9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 w:hRule="atLeast"/>
              </w:trPr>
              <w:tc>
                <w:tcPr>
                  <w:tcW w:w="350" w:type="pct"/>
                  <w:shd w:val="clear" w:color="auto" w:fill="auto"/>
                  <w:vAlign w:val="center"/>
                </w:tcPr>
                <w:p w14:paraId="2833A8D2">
                  <w:pPr>
                    <w:pStyle w:val="51"/>
                    <w:rPr>
                      <w:rFonts w:hint="default" w:eastAsia="宋体"/>
                      <w:snapToGrid w:val="0"/>
                      <w:color w:val="auto"/>
                      <w:lang w:val="en-US" w:eastAsia="zh-CN"/>
                    </w:rPr>
                  </w:pPr>
                  <w:r>
                    <w:rPr>
                      <w:rFonts w:hint="eastAsia"/>
                      <w:snapToGrid w:val="0"/>
                      <w:color w:val="auto"/>
                      <w:lang w:val="en-US" w:eastAsia="zh-CN"/>
                    </w:rPr>
                    <w:t>7</w:t>
                  </w:r>
                </w:p>
              </w:tc>
              <w:tc>
                <w:tcPr>
                  <w:tcW w:w="897" w:type="pct"/>
                  <w:shd w:val="clear" w:color="auto" w:fill="auto"/>
                  <w:vAlign w:val="center"/>
                </w:tcPr>
                <w:p w14:paraId="0DB85FB3">
                  <w:pPr>
                    <w:pStyle w:val="51"/>
                    <w:rPr>
                      <w:rFonts w:hint="default" w:ascii="Times New Roman" w:hAnsi="Times New Roman" w:eastAsia="宋体" w:cs="Times New Roman"/>
                      <w:snapToGrid w:val="0"/>
                      <w:color w:val="auto"/>
                      <w:kern w:val="2"/>
                      <w:sz w:val="21"/>
                      <w:szCs w:val="24"/>
                      <w:lang w:val="en-US" w:eastAsia="zh-CN" w:bidi="ar-SA"/>
                    </w:rPr>
                  </w:pPr>
                  <w:r>
                    <w:rPr>
                      <w:rFonts w:hint="eastAsia" w:cs="Times New Roman"/>
                      <w:snapToGrid w:val="0"/>
                      <w:color w:val="auto"/>
                      <w:kern w:val="2"/>
                      <w:sz w:val="21"/>
                      <w:szCs w:val="24"/>
                      <w:lang w:val="en-US" w:eastAsia="zh-CN" w:bidi="ar-SA"/>
                    </w:rPr>
                    <w:t>专用储存桶</w:t>
                  </w:r>
                </w:p>
              </w:tc>
              <w:tc>
                <w:tcPr>
                  <w:tcW w:w="877" w:type="pct"/>
                  <w:shd w:val="clear" w:color="auto" w:fill="auto"/>
                  <w:vAlign w:val="center"/>
                </w:tcPr>
                <w:p w14:paraId="74C85911">
                  <w:pPr>
                    <w:pStyle w:val="51"/>
                    <w:rPr>
                      <w:rFonts w:hint="eastAsia" w:eastAsia="宋体"/>
                      <w:snapToGrid w:val="0"/>
                      <w:color w:val="auto"/>
                      <w:highlight w:val="none"/>
                      <w:lang w:val="en-US" w:eastAsia="zh-CN"/>
                    </w:rPr>
                  </w:pPr>
                  <w:r>
                    <w:rPr>
                      <w:rFonts w:hint="eastAsia" w:eastAsia="宋体"/>
                      <w:snapToGrid w:val="0"/>
                      <w:color w:val="auto"/>
                      <w:highlight w:val="none"/>
                      <w:lang w:val="en-US" w:eastAsia="zh-CN"/>
                    </w:rPr>
                    <w:t>石棉废物</w:t>
                  </w:r>
                </w:p>
              </w:tc>
              <w:tc>
                <w:tcPr>
                  <w:tcW w:w="525" w:type="pct"/>
                  <w:vMerge w:val="continue"/>
                  <w:shd w:val="clear" w:color="auto" w:fill="auto"/>
                  <w:vAlign w:val="center"/>
                </w:tcPr>
                <w:p w14:paraId="59D310B4">
                  <w:pPr>
                    <w:pStyle w:val="51"/>
                    <w:rPr>
                      <w:snapToGrid w:val="0"/>
                      <w:color w:val="auto"/>
                      <w:sz w:val="2"/>
                      <w:szCs w:val="2"/>
                    </w:rPr>
                  </w:pPr>
                </w:p>
              </w:tc>
              <w:tc>
                <w:tcPr>
                  <w:tcW w:w="525" w:type="pct"/>
                  <w:vMerge w:val="continue"/>
                  <w:shd w:val="clear" w:color="auto" w:fill="auto"/>
                  <w:vAlign w:val="center"/>
                </w:tcPr>
                <w:p w14:paraId="42E3CF97">
                  <w:pPr>
                    <w:pStyle w:val="51"/>
                    <w:rPr>
                      <w:snapToGrid w:val="0"/>
                      <w:color w:val="auto"/>
                      <w:sz w:val="2"/>
                      <w:szCs w:val="2"/>
                    </w:rPr>
                  </w:pPr>
                </w:p>
              </w:tc>
              <w:tc>
                <w:tcPr>
                  <w:tcW w:w="791" w:type="pct"/>
                  <w:shd w:val="clear" w:color="auto" w:fill="auto"/>
                  <w:vAlign w:val="center"/>
                </w:tcPr>
                <w:p w14:paraId="59AD8F7A">
                  <w:pPr>
                    <w:pStyle w:val="51"/>
                    <w:rPr>
                      <w:rFonts w:hint="eastAsia" w:ascii="Times New Roman" w:hAnsi="Times New Roman" w:eastAsia="宋体" w:cs="Times New Roman"/>
                      <w:snapToGrid w:val="0"/>
                      <w:color w:val="auto"/>
                      <w:kern w:val="2"/>
                      <w:sz w:val="21"/>
                      <w:szCs w:val="24"/>
                      <w:lang w:val="en-US" w:eastAsia="zh-CN" w:bidi="ar-SA"/>
                    </w:rPr>
                  </w:pPr>
                  <w:r>
                    <w:rPr>
                      <w:rFonts w:hint="eastAsia"/>
                      <w:snapToGrid w:val="0"/>
                      <w:color w:val="auto"/>
                    </w:rPr>
                    <w:t>桶装</w:t>
                  </w:r>
                </w:p>
              </w:tc>
              <w:tc>
                <w:tcPr>
                  <w:tcW w:w="427" w:type="pct"/>
                  <w:shd w:val="clear" w:color="auto" w:fill="auto"/>
                  <w:vAlign w:val="center"/>
                </w:tcPr>
                <w:p w14:paraId="64FB88CF">
                  <w:pPr>
                    <w:pStyle w:val="51"/>
                    <w:rPr>
                      <w:rFonts w:hint="default" w:ascii="Times New Roman" w:hAnsi="Times New Roman" w:eastAsia="宋体" w:cs="Times New Roman"/>
                      <w:snapToGrid w:val="0"/>
                      <w:color w:val="auto"/>
                      <w:kern w:val="2"/>
                      <w:sz w:val="21"/>
                      <w:szCs w:val="24"/>
                      <w:lang w:val="en-US" w:eastAsia="zh-CN" w:bidi="ar-SA"/>
                    </w:rPr>
                  </w:pPr>
                  <w:r>
                    <w:rPr>
                      <w:rFonts w:hint="eastAsia"/>
                      <w:snapToGrid w:val="0"/>
                      <w:color w:val="auto"/>
                      <w:lang w:val="en-US" w:eastAsia="zh-CN"/>
                    </w:rPr>
                    <w:t>0.2</w:t>
                  </w:r>
                </w:p>
              </w:tc>
              <w:tc>
                <w:tcPr>
                  <w:tcW w:w="604" w:type="pct"/>
                  <w:shd w:val="clear" w:color="auto" w:fill="auto"/>
                  <w:vAlign w:val="center"/>
                </w:tcPr>
                <w:p w14:paraId="10F4A847">
                  <w:pPr>
                    <w:pStyle w:val="51"/>
                    <w:rPr>
                      <w:rFonts w:ascii="Times New Roman" w:hAnsi="Times New Roman" w:eastAsia="宋体" w:cs="Times New Roman"/>
                      <w:snapToGrid w:val="0"/>
                      <w:color w:val="auto"/>
                      <w:kern w:val="2"/>
                      <w:sz w:val="21"/>
                      <w:szCs w:val="24"/>
                      <w:lang w:val="en-US" w:eastAsia="zh-CN" w:bidi="ar-SA"/>
                    </w:rPr>
                  </w:pPr>
                  <w:r>
                    <w:rPr>
                      <w:snapToGrid w:val="0"/>
                      <w:color w:val="auto"/>
                    </w:rPr>
                    <w:t>1个月</w:t>
                  </w:r>
                </w:p>
              </w:tc>
            </w:tr>
          </w:tbl>
          <w:p w14:paraId="642029B6">
            <w:pPr>
              <w:pStyle w:val="77"/>
              <w:rPr>
                <w:color w:val="auto"/>
              </w:rPr>
            </w:pPr>
            <w:r>
              <w:rPr>
                <w:color w:val="auto"/>
              </w:rPr>
              <w:t>（5）危废暂存场所能力分析</w:t>
            </w:r>
          </w:p>
          <w:p w14:paraId="54FFF8F5">
            <w:pPr>
              <w:pStyle w:val="77"/>
              <w:rPr>
                <w:color w:val="auto"/>
              </w:rPr>
            </w:pPr>
            <w:r>
              <w:rPr>
                <w:color w:val="auto"/>
              </w:rPr>
              <w:t>本项目新建一座</w:t>
            </w:r>
            <w:r>
              <w:rPr>
                <w:rFonts w:hint="eastAsia"/>
                <w:color w:val="auto"/>
                <w:lang w:eastAsia="zh-CN"/>
              </w:rPr>
              <w:t>危险废物贮存库</w:t>
            </w:r>
            <w:r>
              <w:rPr>
                <w:color w:val="auto"/>
              </w:rPr>
              <w:t>，</w:t>
            </w:r>
            <w:r>
              <w:rPr>
                <w:rFonts w:hint="eastAsia"/>
                <w:color w:val="auto"/>
                <w:lang w:val="en-US" w:eastAsia="zh-CN"/>
              </w:rPr>
              <w:t>建筑</w:t>
            </w:r>
            <w:r>
              <w:rPr>
                <w:color w:val="auto"/>
              </w:rPr>
              <w:t>面积</w:t>
            </w:r>
            <w:r>
              <w:rPr>
                <w:rFonts w:hint="eastAsia"/>
                <w:color w:val="auto"/>
                <w:lang w:val="en-US" w:eastAsia="zh-CN"/>
              </w:rPr>
              <w:t>50</w:t>
            </w:r>
            <w:r>
              <w:rPr>
                <w:color w:val="auto"/>
              </w:rPr>
              <w:t>m</w:t>
            </w:r>
            <w:r>
              <w:rPr>
                <w:color w:val="auto"/>
                <w:vertAlign w:val="superscript"/>
              </w:rPr>
              <w:t>2</w:t>
            </w:r>
            <w:r>
              <w:rPr>
                <w:color w:val="auto"/>
              </w:rPr>
              <w:t>，可存储</w:t>
            </w:r>
            <w:r>
              <w:rPr>
                <w:rFonts w:hint="eastAsia"/>
                <w:color w:val="auto"/>
                <w:lang w:val="en-US" w:eastAsia="zh-CN"/>
              </w:rPr>
              <w:t>5</w:t>
            </w:r>
            <w:r>
              <w:rPr>
                <w:color w:val="auto"/>
              </w:rPr>
              <w:t>t危险废物，每</w:t>
            </w:r>
            <w:r>
              <w:rPr>
                <w:rFonts w:hint="eastAsia"/>
                <w:color w:val="auto"/>
                <w:lang w:val="en-US" w:eastAsia="zh-CN"/>
              </w:rPr>
              <w:t>30</w:t>
            </w:r>
            <w:r>
              <w:rPr>
                <w:color w:val="auto"/>
              </w:rPr>
              <w:t>天转运一次。危险废物进行分类堆放，不同危险废物堆放保持有一定的间距，不相容的危险废物堆放区必须有隔离区隔断，</w:t>
            </w:r>
            <w:r>
              <w:rPr>
                <w:color w:val="auto"/>
                <w:lang w:val="zh-CN"/>
              </w:rPr>
              <w:t>必须有泄漏液体收集装置、气体导出口及气体净化装置，</w:t>
            </w:r>
            <w:r>
              <w:rPr>
                <w:color w:val="auto"/>
              </w:rPr>
              <w:t>有明显的危险废物识别标志，</w:t>
            </w:r>
            <w:r>
              <w:rPr>
                <w:rFonts w:hint="eastAsia"/>
                <w:color w:val="auto"/>
                <w:lang w:eastAsia="zh-CN"/>
              </w:rPr>
              <w:t>危险废物贮存库</w:t>
            </w:r>
            <w:r>
              <w:rPr>
                <w:color w:val="auto"/>
              </w:rPr>
              <w:t>建设可以满足本项目需要。</w:t>
            </w:r>
          </w:p>
          <w:p w14:paraId="7CA36AAC">
            <w:pPr>
              <w:pStyle w:val="77"/>
              <w:rPr>
                <w:rFonts w:hint="eastAsia"/>
                <w:color w:val="auto"/>
              </w:rPr>
            </w:pPr>
            <w:r>
              <w:rPr>
                <w:rFonts w:hint="eastAsia"/>
                <w:color w:val="auto"/>
              </w:rPr>
              <w:t>综上所述，本项目产生的固体废物全部得到有效处置和综合利用，措施可行。</w:t>
            </w:r>
          </w:p>
          <w:p w14:paraId="26B02286">
            <w:pPr>
              <w:pStyle w:val="84"/>
              <w:rPr>
                <w:color w:val="auto"/>
              </w:rPr>
            </w:pPr>
            <w:r>
              <w:rPr>
                <w:color w:val="auto"/>
              </w:rPr>
              <w:t>五、地下水环境影响分析</w:t>
            </w:r>
          </w:p>
          <w:p w14:paraId="1D4DF1ED">
            <w:pPr>
              <w:pStyle w:val="84"/>
              <w:rPr>
                <w:color w:val="auto"/>
              </w:rPr>
            </w:pPr>
            <w:r>
              <w:rPr>
                <w:color w:val="auto"/>
              </w:rPr>
              <w:t>（一）污染源分析</w:t>
            </w:r>
          </w:p>
          <w:p w14:paraId="430E0A14">
            <w:pPr>
              <w:pStyle w:val="77"/>
              <w:rPr>
                <w:color w:val="auto"/>
              </w:rPr>
            </w:pPr>
            <w:r>
              <w:rPr>
                <w:snapToGrid w:val="0"/>
                <w:color w:val="auto"/>
                <w:szCs w:val="22"/>
              </w:rPr>
              <w:t>本项目为农业机械拆解项目，</w:t>
            </w:r>
            <w:r>
              <w:rPr>
                <w:color w:val="auto"/>
              </w:rPr>
              <w:t>可能对地下水产生影响的途径主要为：生活污水、危险废物暂存场所事故产生的各类污染物渗漏污染地下水体。</w:t>
            </w:r>
          </w:p>
          <w:p w14:paraId="5CD3D792">
            <w:pPr>
              <w:pStyle w:val="77"/>
              <w:rPr>
                <w:snapToGrid w:val="0"/>
                <w:color w:val="auto"/>
              </w:rPr>
            </w:pPr>
            <w:r>
              <w:rPr>
                <w:snapToGrid w:val="0"/>
                <w:color w:val="auto"/>
              </w:rPr>
              <w:t>1、正常情况下地下水环境影响分析</w:t>
            </w:r>
          </w:p>
          <w:p w14:paraId="65716C63">
            <w:pPr>
              <w:pStyle w:val="77"/>
              <w:rPr>
                <w:snapToGrid w:val="0"/>
                <w:color w:val="auto"/>
              </w:rPr>
            </w:pPr>
            <w:r>
              <w:rPr>
                <w:snapToGrid w:val="0"/>
                <w:color w:val="auto"/>
              </w:rPr>
              <w:t>项目区存在的可能污染地下水的物质主要为废油液，收集的废油液存储于包装桶内，包装桶置于托盘内，项目拆解车间、</w:t>
            </w:r>
            <w:r>
              <w:rPr>
                <w:rFonts w:hint="eastAsia"/>
                <w:snapToGrid w:val="0"/>
                <w:color w:val="auto"/>
                <w:lang w:eastAsia="zh-CN"/>
              </w:rPr>
              <w:t>危险废物贮存库</w:t>
            </w:r>
            <w:r>
              <w:rPr>
                <w:snapToGrid w:val="0"/>
                <w:color w:val="auto"/>
              </w:rPr>
              <w:t>等均进行防渗处理，因此，当包装桶破裂，废油液泄漏时可通过托盘得到收集，也可通过硬质防渗地面得以拦截，不会下渗污染地下水。项目拆解车间及</w:t>
            </w:r>
            <w:r>
              <w:rPr>
                <w:rFonts w:hint="eastAsia"/>
                <w:snapToGrid w:val="0"/>
                <w:color w:val="auto"/>
                <w:lang w:eastAsia="zh-CN"/>
              </w:rPr>
              <w:t>危险废物贮存库</w:t>
            </w:r>
            <w:r>
              <w:rPr>
                <w:snapToGrid w:val="0"/>
                <w:color w:val="auto"/>
              </w:rPr>
              <w:t>均已进行硬化及防渗处理，因此项目正常生产中无地下水污染途径，对项目区地下水环境影响较小。</w:t>
            </w:r>
          </w:p>
          <w:p w14:paraId="1533A245">
            <w:pPr>
              <w:pStyle w:val="77"/>
              <w:rPr>
                <w:snapToGrid w:val="0"/>
                <w:color w:val="auto"/>
              </w:rPr>
            </w:pPr>
            <w:r>
              <w:rPr>
                <w:snapToGrid w:val="0"/>
                <w:color w:val="auto"/>
              </w:rPr>
              <w:t>2、非正常情况下地下水环境影响分析</w:t>
            </w:r>
          </w:p>
          <w:p w14:paraId="14B417EA">
            <w:pPr>
              <w:pStyle w:val="77"/>
              <w:rPr>
                <w:snapToGrid w:val="0"/>
                <w:color w:val="auto"/>
              </w:rPr>
            </w:pPr>
            <w:r>
              <w:rPr>
                <w:snapToGrid w:val="0"/>
                <w:color w:val="auto"/>
              </w:rPr>
              <w:t>根据场地水文地质条件，</w:t>
            </w:r>
            <w:r>
              <w:rPr>
                <w:rFonts w:hint="eastAsia"/>
                <w:snapToGrid w:val="0"/>
                <w:color w:val="auto"/>
                <w:lang w:eastAsia="zh-CN"/>
              </w:rPr>
              <w:t>危险废物贮存库</w:t>
            </w:r>
            <w:r>
              <w:rPr>
                <w:snapToGrid w:val="0"/>
                <w:color w:val="auto"/>
              </w:rPr>
              <w:t>、拆解车间若发生渗漏，有可能污染地下水环境，因此，项目地下水污染源主要有</w:t>
            </w:r>
            <w:r>
              <w:rPr>
                <w:rFonts w:hint="eastAsia"/>
                <w:snapToGrid w:val="0"/>
                <w:color w:val="auto"/>
                <w:lang w:eastAsia="zh-CN"/>
              </w:rPr>
              <w:t>危险废物贮存库</w:t>
            </w:r>
            <w:r>
              <w:rPr>
                <w:snapToGrid w:val="0"/>
                <w:color w:val="auto"/>
              </w:rPr>
              <w:t>和拆解车间，污染物为石油类，其中石油类属于持久性有机污染物，污染途径为废油液泄漏至土壤，并下渗至地下水环境。</w:t>
            </w:r>
          </w:p>
          <w:p w14:paraId="0A60CBDA">
            <w:pPr>
              <w:pStyle w:val="84"/>
              <w:rPr>
                <w:color w:val="auto"/>
              </w:rPr>
            </w:pPr>
            <w:r>
              <w:rPr>
                <w:color w:val="auto"/>
              </w:rPr>
              <w:t>（二）污染防治措施</w:t>
            </w:r>
          </w:p>
          <w:p w14:paraId="12BC083C">
            <w:pPr>
              <w:pStyle w:val="77"/>
              <w:rPr>
                <w:color w:val="auto"/>
              </w:rPr>
            </w:pPr>
            <w:r>
              <w:rPr>
                <w:color w:val="auto"/>
              </w:rPr>
              <w:t>本项目地下水污染防治措施应按照“源头控制、分区防控、污染监控、应急响应”相结合的原则，从污染物的产生、入渗、扩散、应急响应进行控制。</w:t>
            </w:r>
          </w:p>
          <w:p w14:paraId="7E1C1E51">
            <w:pPr>
              <w:pStyle w:val="77"/>
              <w:rPr>
                <w:color w:val="auto"/>
              </w:rPr>
            </w:pPr>
            <w:r>
              <w:rPr>
                <w:color w:val="auto"/>
              </w:rPr>
              <w:t>1、污染物源头控制措施</w:t>
            </w:r>
          </w:p>
          <w:p w14:paraId="6DF9C4D6">
            <w:pPr>
              <w:pStyle w:val="77"/>
              <w:rPr>
                <w:color w:val="auto"/>
              </w:rPr>
            </w:pPr>
            <w:r>
              <w:rPr>
                <w:color w:val="auto"/>
              </w:rPr>
              <w:t>危险废物的搜集、转运、交接、接收、贮存严格按照相应的规程、规范执行。厂区内设置生活垃圾收集点，集中收集后的生活垃圾由环卫部门统一运至生活垃圾填埋场。生活垃圾运输实现收集容器化、运输密封化。危险废物委托有资质单位处置，防止固废因淋溶对地下水造成的二次污染。</w:t>
            </w:r>
          </w:p>
          <w:p w14:paraId="17DA9005">
            <w:pPr>
              <w:pStyle w:val="77"/>
              <w:rPr>
                <w:color w:val="auto"/>
              </w:rPr>
            </w:pPr>
            <w:r>
              <w:rPr>
                <w:color w:val="auto"/>
              </w:rPr>
              <w:t>2、分区防渗措施</w:t>
            </w:r>
          </w:p>
          <w:p w14:paraId="02D64E84">
            <w:pPr>
              <w:pStyle w:val="77"/>
              <w:rPr>
                <w:color w:val="auto"/>
              </w:rPr>
            </w:pPr>
            <w:r>
              <w:rPr>
                <w:color w:val="auto"/>
              </w:rPr>
              <w:t>根据场地内各个污染源的特征，依据《环境影响评价技术导则 地下水环境》（HJ610-2016）相关要求，本次评价将厂区按各功能单元所处的位置划分为重点防渗区、一般防渗区、简单防渗区三类地下水污染防治区域</w:t>
            </w:r>
            <w:r>
              <w:rPr>
                <w:rFonts w:hint="eastAsia"/>
                <w:color w:val="auto"/>
              </w:rPr>
              <w:t>，见附图8</w:t>
            </w:r>
            <w:r>
              <w:rPr>
                <w:color w:val="auto"/>
              </w:rPr>
              <w:t>。</w:t>
            </w:r>
          </w:p>
          <w:p w14:paraId="3995FB10">
            <w:pPr>
              <w:pStyle w:val="77"/>
              <w:rPr>
                <w:color w:val="auto"/>
              </w:rPr>
            </w:pPr>
            <w:r>
              <w:rPr>
                <w:rFonts w:hint="eastAsia" w:ascii="宋体" w:hAnsi="宋体" w:cs="宋体"/>
                <w:color w:val="auto"/>
              </w:rPr>
              <w:t>①</w:t>
            </w:r>
            <w:r>
              <w:rPr>
                <w:color w:val="auto"/>
              </w:rPr>
              <w:t>重点防渗区：包括</w:t>
            </w:r>
            <w:r>
              <w:rPr>
                <w:rFonts w:hint="eastAsia"/>
                <w:color w:val="auto"/>
                <w:lang w:eastAsia="zh-CN"/>
              </w:rPr>
              <w:t>危险废物贮存库</w:t>
            </w:r>
            <w:r>
              <w:rPr>
                <w:rFonts w:hint="eastAsia"/>
                <w:color w:val="auto"/>
                <w:lang w:val="en-US" w:eastAsia="zh-CN"/>
              </w:rPr>
              <w:t>和</w:t>
            </w:r>
            <w:r>
              <w:rPr>
                <w:rFonts w:hint="eastAsia"/>
                <w:color w:val="FF0000"/>
                <w:lang w:val="en-US" w:eastAsia="zh-CN"/>
              </w:rPr>
              <w:t>初期雨水池</w:t>
            </w:r>
            <w:r>
              <w:rPr>
                <w:color w:val="auto"/>
              </w:rPr>
              <w:t>。采取抗渗钢纤维混凝土或高密度聚乙烯膜(HDPE)进行防渗，防渗技术要求达到等效黏土防渗层Mb≥6.0m，K≤1×10</w:t>
            </w:r>
            <w:r>
              <w:rPr>
                <w:color w:val="auto"/>
                <w:vertAlign w:val="superscript"/>
              </w:rPr>
              <w:t>-7</w:t>
            </w:r>
            <w:r>
              <w:rPr>
                <w:color w:val="auto"/>
              </w:rPr>
              <w:t>cm/s的要求；</w:t>
            </w:r>
            <w:r>
              <w:rPr>
                <w:rFonts w:hint="eastAsia"/>
                <w:color w:val="auto"/>
                <w:lang w:eastAsia="zh-CN"/>
              </w:rPr>
              <w:t>危险废物贮存库</w:t>
            </w:r>
            <w:r>
              <w:rPr>
                <w:color w:val="auto"/>
              </w:rPr>
              <w:t>建设严格按照</w:t>
            </w:r>
            <w:r>
              <w:rPr>
                <w:rFonts w:hint="eastAsia"/>
                <w:color w:val="auto"/>
                <w:lang w:eastAsia="zh-CN"/>
              </w:rPr>
              <w:t>《危险废物贮存污染控制标准》（GB18597-2023）</w:t>
            </w:r>
            <w:r>
              <w:rPr>
                <w:color w:val="auto"/>
              </w:rPr>
              <w:t>中相关规定进行设置，地面防渗、</w:t>
            </w:r>
            <w:r>
              <w:rPr>
                <w:rFonts w:hint="eastAsia"/>
                <w:color w:val="auto"/>
                <w:lang w:eastAsia="zh-CN"/>
              </w:rPr>
              <w:t>裙脚</w:t>
            </w:r>
            <w:r>
              <w:rPr>
                <w:color w:val="auto"/>
              </w:rPr>
              <w:t>防渗，防渗层为至少1米厚粘土层（渗透系数≤10</w:t>
            </w:r>
            <w:r>
              <w:rPr>
                <w:color w:val="auto"/>
                <w:vertAlign w:val="superscript"/>
              </w:rPr>
              <w:t>-7</w:t>
            </w:r>
            <w:r>
              <w:rPr>
                <w:color w:val="auto"/>
              </w:rPr>
              <w:t>cm/s），或2mm厚高密度聚乙烯</w:t>
            </w:r>
            <w:r>
              <w:rPr>
                <w:rFonts w:hint="eastAsia"/>
                <w:color w:val="auto"/>
              </w:rPr>
              <w:t>膜等人工防渗材料</w:t>
            </w:r>
            <w:r>
              <w:rPr>
                <w:rFonts w:hint="eastAsia"/>
                <w:color w:val="auto"/>
                <w:lang w:eastAsia="zh-CN"/>
              </w:rPr>
              <w:t>（</w:t>
            </w:r>
            <w:r>
              <w:rPr>
                <w:color w:val="auto"/>
              </w:rPr>
              <w:t>渗透系数≤10</w:t>
            </w:r>
            <w:r>
              <w:rPr>
                <w:color w:val="auto"/>
                <w:vertAlign w:val="superscript"/>
              </w:rPr>
              <w:t>-10</w:t>
            </w:r>
            <w:r>
              <w:rPr>
                <w:color w:val="auto"/>
              </w:rPr>
              <w:t>cm/s</w:t>
            </w:r>
            <w:r>
              <w:rPr>
                <w:rFonts w:hint="eastAsia"/>
                <w:color w:val="auto"/>
                <w:lang w:eastAsia="zh-CN"/>
              </w:rPr>
              <w:t>）</w:t>
            </w:r>
            <w:r>
              <w:rPr>
                <w:color w:val="auto"/>
              </w:rPr>
              <w:t>。</w:t>
            </w:r>
          </w:p>
          <w:p w14:paraId="74487F23">
            <w:pPr>
              <w:pStyle w:val="77"/>
              <w:rPr>
                <w:color w:val="auto"/>
              </w:rPr>
            </w:pPr>
            <w:r>
              <w:rPr>
                <w:rFonts w:hint="eastAsia" w:ascii="宋体" w:hAnsi="宋体" w:cs="宋体"/>
                <w:color w:val="auto"/>
              </w:rPr>
              <w:t>②</w:t>
            </w:r>
            <w:r>
              <w:rPr>
                <w:color w:val="auto"/>
              </w:rPr>
              <w:t>一般防渗区：包括拆解车间、</w:t>
            </w:r>
            <w:r>
              <w:rPr>
                <w:rFonts w:hint="eastAsia"/>
                <w:color w:val="auto"/>
              </w:rPr>
              <w:t>农机拆除成品半成品及零件贮存库</w:t>
            </w:r>
            <w:r>
              <w:rPr>
                <w:color w:val="auto"/>
              </w:rPr>
              <w:t>、待拆车辆贮存场地。采用防渗混凝土或HDPE膜进行防渗，其防渗技术要求可满足等效黏土防渗层Mb≥1.5m，K≤1×10</w:t>
            </w:r>
            <w:r>
              <w:rPr>
                <w:color w:val="auto"/>
                <w:vertAlign w:val="superscript"/>
              </w:rPr>
              <w:t>-7</w:t>
            </w:r>
            <w:r>
              <w:rPr>
                <w:color w:val="auto"/>
              </w:rPr>
              <w:t>cm/s的要求。</w:t>
            </w:r>
          </w:p>
          <w:p w14:paraId="3F272780">
            <w:pPr>
              <w:pStyle w:val="77"/>
              <w:rPr>
                <w:b/>
                <w:bCs/>
                <w:color w:val="auto"/>
              </w:rPr>
            </w:pPr>
            <w:r>
              <w:rPr>
                <w:rFonts w:hint="eastAsia" w:ascii="宋体" w:hAnsi="宋体" w:cs="宋体"/>
                <w:color w:val="auto"/>
              </w:rPr>
              <w:t>③</w:t>
            </w:r>
            <w:r>
              <w:rPr>
                <w:color w:val="auto"/>
              </w:rPr>
              <w:t>简单防渗区：包括</w:t>
            </w:r>
            <w:r>
              <w:rPr>
                <w:rFonts w:hint="eastAsia"/>
                <w:color w:val="auto"/>
                <w:lang w:val="en-US" w:eastAsia="zh-CN"/>
              </w:rPr>
              <w:t>办公室、</w:t>
            </w:r>
            <w:r>
              <w:rPr>
                <w:color w:val="auto"/>
              </w:rPr>
              <w:t>厂区道路，进行一般地面水泥硬化。</w:t>
            </w:r>
          </w:p>
          <w:p w14:paraId="699C3110">
            <w:pPr>
              <w:pStyle w:val="77"/>
              <w:rPr>
                <w:bCs/>
                <w:color w:val="auto"/>
              </w:rPr>
            </w:pPr>
            <w:r>
              <w:rPr>
                <w:color w:val="auto"/>
              </w:rPr>
              <w:t>企业需要在严格落实本环评提出的减缓措施的基础上，加强污染物源头控制，做好事故风险防范工作，做好厂内地面的硬化、防腐、防渗工作，特别是原料贮存、生产废水处理设施各单元、固废堆场的地面防渗工作，可有效控制厂区内废水污染物的下渗现象，则企业污染物不会对区域地下水环境造成明显影响。在采取以上措施后，本项目对周围地下水环境影响较小。</w:t>
            </w:r>
          </w:p>
          <w:p w14:paraId="241EC516">
            <w:pPr>
              <w:pStyle w:val="84"/>
              <w:rPr>
                <w:color w:val="auto"/>
              </w:rPr>
            </w:pPr>
            <w:r>
              <w:rPr>
                <w:color w:val="auto"/>
              </w:rPr>
              <w:t>六、土壤影响分析</w:t>
            </w:r>
          </w:p>
          <w:p w14:paraId="29408E15">
            <w:pPr>
              <w:pStyle w:val="84"/>
              <w:rPr>
                <w:color w:val="auto"/>
              </w:rPr>
            </w:pPr>
            <w:r>
              <w:rPr>
                <w:color w:val="auto"/>
              </w:rPr>
              <w:t>（一）污染源分析</w:t>
            </w:r>
          </w:p>
          <w:p w14:paraId="15E35575">
            <w:pPr>
              <w:pStyle w:val="77"/>
              <w:rPr>
                <w:color w:val="auto"/>
              </w:rPr>
            </w:pPr>
            <w:r>
              <w:rPr>
                <w:color w:val="auto"/>
              </w:rPr>
              <w:t>本项目产生的污染物为不需要考虑大气沉降、地表径流及垂直入渗的污染物质，故无需单独开展土壤评价，只对土壤进行简单分析。</w:t>
            </w:r>
          </w:p>
          <w:p w14:paraId="511BC926">
            <w:pPr>
              <w:pStyle w:val="77"/>
              <w:rPr>
                <w:color w:val="auto"/>
              </w:rPr>
            </w:pPr>
            <w:r>
              <w:rPr>
                <w:color w:val="auto"/>
              </w:rPr>
              <w:t>对土壤污染造成污染源主要为各类池体，如不采取合理的保护措施，则存在一定的土壤污染风险，因此建设单位必须加强对各工段产生的废气采取严格的防治措施后，实际污染物排放量较小，因此预计不会对周围环境产生污染。</w:t>
            </w:r>
          </w:p>
          <w:p w14:paraId="5BDFCEE1">
            <w:pPr>
              <w:pStyle w:val="77"/>
              <w:rPr>
                <w:snapToGrid w:val="0"/>
                <w:color w:val="auto"/>
              </w:rPr>
            </w:pPr>
            <w:r>
              <w:rPr>
                <w:snapToGrid w:val="0"/>
                <w:color w:val="auto"/>
              </w:rPr>
              <w:t>1、正常情况下土壤环境影响分析</w:t>
            </w:r>
          </w:p>
          <w:p w14:paraId="4EB9086A">
            <w:pPr>
              <w:pStyle w:val="77"/>
              <w:rPr>
                <w:snapToGrid w:val="0"/>
                <w:color w:val="auto"/>
              </w:rPr>
            </w:pPr>
            <w:r>
              <w:rPr>
                <w:snapToGrid w:val="0"/>
                <w:color w:val="auto"/>
              </w:rPr>
              <w:t>项目区存在的可能污染土壤的物质主要为废油液，收集的废油液存储于包装桶内，包装桶置于托盘内，项目拆解车间、</w:t>
            </w:r>
            <w:r>
              <w:rPr>
                <w:rFonts w:hint="eastAsia"/>
                <w:snapToGrid w:val="0"/>
                <w:color w:val="auto"/>
                <w:lang w:eastAsia="zh-CN"/>
              </w:rPr>
              <w:t>危险废物贮存库</w:t>
            </w:r>
            <w:r>
              <w:rPr>
                <w:snapToGrid w:val="0"/>
                <w:color w:val="auto"/>
              </w:rPr>
              <w:t>等均进行防渗处理，因此，当包装桶破裂，废油液泄漏时可通过托盘得到收集，也可通过硬质防渗地面得以拦截，不会下渗污染土壤。项目拆解车间及</w:t>
            </w:r>
            <w:r>
              <w:rPr>
                <w:rFonts w:hint="eastAsia"/>
                <w:snapToGrid w:val="0"/>
                <w:color w:val="auto"/>
                <w:lang w:eastAsia="zh-CN"/>
              </w:rPr>
              <w:t>危险废物贮存库</w:t>
            </w:r>
            <w:r>
              <w:rPr>
                <w:snapToGrid w:val="0"/>
                <w:color w:val="auto"/>
              </w:rPr>
              <w:t>均已进行硬化及防渗处理，因此项目正常生产中无土壤污染途径，对项目区土壤环境影响较小。</w:t>
            </w:r>
          </w:p>
          <w:p w14:paraId="5F69DD8B">
            <w:pPr>
              <w:pStyle w:val="77"/>
              <w:rPr>
                <w:snapToGrid w:val="0"/>
                <w:color w:val="auto"/>
              </w:rPr>
            </w:pPr>
            <w:r>
              <w:rPr>
                <w:snapToGrid w:val="0"/>
                <w:color w:val="auto"/>
              </w:rPr>
              <w:t>2、非正常情况下土壤环境影响分析</w:t>
            </w:r>
          </w:p>
          <w:p w14:paraId="7607633D">
            <w:pPr>
              <w:pStyle w:val="77"/>
              <w:rPr>
                <w:snapToGrid w:val="0"/>
                <w:color w:val="auto"/>
              </w:rPr>
            </w:pPr>
            <w:r>
              <w:rPr>
                <w:snapToGrid w:val="0"/>
                <w:color w:val="auto"/>
              </w:rPr>
              <w:t>若</w:t>
            </w:r>
            <w:r>
              <w:rPr>
                <w:rFonts w:hint="eastAsia"/>
                <w:snapToGrid w:val="0"/>
                <w:color w:val="auto"/>
                <w:lang w:eastAsia="zh-CN"/>
              </w:rPr>
              <w:t>危险废物贮存库</w:t>
            </w:r>
            <w:r>
              <w:rPr>
                <w:snapToGrid w:val="0"/>
                <w:color w:val="auto"/>
              </w:rPr>
              <w:t>、拆解车间发生渗漏，有可能污染土壤环境。因此，项目土壤污染源主要有</w:t>
            </w:r>
            <w:r>
              <w:rPr>
                <w:rFonts w:hint="eastAsia"/>
                <w:snapToGrid w:val="0"/>
                <w:color w:val="auto"/>
                <w:lang w:eastAsia="zh-CN"/>
              </w:rPr>
              <w:t>危险废物贮存库</w:t>
            </w:r>
            <w:r>
              <w:rPr>
                <w:snapToGrid w:val="0"/>
                <w:color w:val="auto"/>
              </w:rPr>
              <w:t>和拆解车间，污染物为石油类，其中石油类属于持久性有机污染物，污染途径为废油液泄漏至土壤，并下渗至地下水环境。</w:t>
            </w:r>
          </w:p>
          <w:p w14:paraId="2188B255">
            <w:pPr>
              <w:pStyle w:val="84"/>
              <w:rPr>
                <w:snapToGrid w:val="0"/>
                <w:color w:val="auto"/>
              </w:rPr>
            </w:pPr>
            <w:r>
              <w:rPr>
                <w:snapToGrid w:val="0"/>
                <w:color w:val="auto"/>
              </w:rPr>
              <w:t>（二）污染防治措施</w:t>
            </w:r>
          </w:p>
          <w:p w14:paraId="4DABD6FB">
            <w:pPr>
              <w:pStyle w:val="77"/>
              <w:rPr>
                <w:color w:val="auto"/>
              </w:rPr>
            </w:pPr>
            <w:r>
              <w:rPr>
                <w:color w:val="auto"/>
              </w:rPr>
              <w:t>1、污染物源头控制措施</w:t>
            </w:r>
          </w:p>
          <w:p w14:paraId="55C68193">
            <w:pPr>
              <w:pStyle w:val="77"/>
              <w:rPr>
                <w:color w:val="auto"/>
              </w:rPr>
            </w:pPr>
            <w:r>
              <w:rPr>
                <w:color w:val="auto"/>
              </w:rPr>
              <w:t>危险废物的搜集、转运、交接、接收、贮存严格按照相应的规程、规范执行。厂区内设置生活垃圾收集点，集中收集后的生活垃圾由环卫部门统一运至生活垃圾填埋场。生活垃圾运输实现收集容器化、运输密封化。危险废物委托有资质单位处置，防止固废因淋溶对土壤造成的二次污染。</w:t>
            </w:r>
          </w:p>
          <w:p w14:paraId="40D77266">
            <w:pPr>
              <w:pStyle w:val="77"/>
              <w:rPr>
                <w:color w:val="auto"/>
              </w:rPr>
            </w:pPr>
            <w:r>
              <w:rPr>
                <w:color w:val="auto"/>
              </w:rPr>
              <w:t>2、</w:t>
            </w:r>
            <w:r>
              <w:rPr>
                <w:snapToGrid w:val="0"/>
                <w:color w:val="auto"/>
              </w:rPr>
              <w:t>分区防渗措施</w:t>
            </w:r>
          </w:p>
          <w:p w14:paraId="07F49CE6">
            <w:pPr>
              <w:pStyle w:val="77"/>
              <w:rPr>
                <w:color w:val="auto"/>
              </w:rPr>
            </w:pPr>
            <w:r>
              <w:rPr>
                <w:color w:val="auto"/>
              </w:rPr>
              <w:t>本项目拆解车间、待拆车辆贮存场地、</w:t>
            </w:r>
            <w:r>
              <w:rPr>
                <w:rFonts w:hint="eastAsia"/>
                <w:color w:val="auto"/>
              </w:rPr>
              <w:t>农机拆除成品半成品及零件贮存库</w:t>
            </w:r>
            <w:r>
              <w:rPr>
                <w:color w:val="auto"/>
              </w:rPr>
              <w:t>、</w:t>
            </w:r>
            <w:r>
              <w:rPr>
                <w:rFonts w:hint="eastAsia"/>
                <w:color w:val="auto"/>
                <w:lang w:eastAsia="zh-CN"/>
              </w:rPr>
              <w:t>危险废物贮存库</w:t>
            </w:r>
            <w:r>
              <w:rPr>
                <w:color w:val="auto"/>
              </w:rPr>
              <w:t>等需要进行地面硬化并防渗漏，满足GB50037的防油渗地面要求：</w:t>
            </w:r>
            <w:r>
              <w:rPr>
                <w:rFonts w:hint="eastAsia" w:ascii="宋体" w:hAnsi="宋体" w:cs="宋体"/>
                <w:color w:val="auto"/>
              </w:rPr>
              <w:t>①</w:t>
            </w:r>
            <w:r>
              <w:rPr>
                <w:color w:val="auto"/>
              </w:rPr>
              <w:t>包括</w:t>
            </w:r>
            <w:r>
              <w:rPr>
                <w:rFonts w:hint="eastAsia"/>
                <w:color w:val="auto"/>
                <w:lang w:eastAsia="zh-CN"/>
              </w:rPr>
              <w:t>危险废物贮存库</w:t>
            </w:r>
            <w:r>
              <w:rPr>
                <w:color w:val="auto"/>
              </w:rPr>
              <w:t>。采取抗渗钢纤维混凝土或高密度聚乙烯膜(HDPE)进行防渗，防渗技术要求达到等效黏土防渗层Mb≥6.0m，K≤1×10</w:t>
            </w:r>
            <w:r>
              <w:rPr>
                <w:color w:val="auto"/>
                <w:vertAlign w:val="superscript"/>
              </w:rPr>
              <w:t>-7</w:t>
            </w:r>
            <w:r>
              <w:rPr>
                <w:color w:val="auto"/>
              </w:rPr>
              <w:t>cm/s的要求；</w:t>
            </w:r>
            <w:r>
              <w:rPr>
                <w:rFonts w:hint="eastAsia"/>
                <w:color w:val="auto"/>
                <w:lang w:eastAsia="zh-CN"/>
              </w:rPr>
              <w:t>危险废物贮存库</w:t>
            </w:r>
            <w:r>
              <w:rPr>
                <w:bCs/>
                <w:color w:val="auto"/>
              </w:rPr>
              <w:t>建设严格按照</w:t>
            </w:r>
            <w:r>
              <w:rPr>
                <w:rFonts w:hint="eastAsia"/>
                <w:bCs/>
                <w:color w:val="auto"/>
                <w:lang w:eastAsia="zh-CN"/>
              </w:rPr>
              <w:t>《危险废物贮存污染控制标准》（GB18597-2023）</w:t>
            </w:r>
            <w:r>
              <w:rPr>
                <w:bCs/>
                <w:color w:val="auto"/>
              </w:rPr>
              <w:t>中相关规定进行设置，地面防渗、</w:t>
            </w:r>
            <w:r>
              <w:rPr>
                <w:rFonts w:hint="eastAsia"/>
                <w:bCs/>
                <w:color w:val="auto"/>
                <w:lang w:eastAsia="zh-CN"/>
              </w:rPr>
              <w:t>裙脚</w:t>
            </w:r>
            <w:r>
              <w:rPr>
                <w:bCs/>
                <w:color w:val="auto"/>
              </w:rPr>
              <w:t>防渗，防渗层为至少1米厚粘土层（渗透系数≤10</w:t>
            </w:r>
            <w:r>
              <w:rPr>
                <w:bCs/>
                <w:color w:val="auto"/>
                <w:vertAlign w:val="superscript"/>
              </w:rPr>
              <w:t>-7</w:t>
            </w:r>
            <w:r>
              <w:rPr>
                <w:bCs/>
                <w:color w:val="auto"/>
              </w:rPr>
              <w:t>cm/s），或2mm厚高密度聚乙烯</w:t>
            </w:r>
            <w:r>
              <w:rPr>
                <w:rFonts w:hint="eastAsia"/>
                <w:bCs/>
                <w:color w:val="auto"/>
              </w:rPr>
              <w:t>膜等人工防渗材料</w:t>
            </w:r>
            <w:r>
              <w:rPr>
                <w:rFonts w:hint="eastAsia"/>
                <w:bCs/>
                <w:color w:val="auto"/>
                <w:lang w:eastAsia="zh-CN"/>
              </w:rPr>
              <w:t>（</w:t>
            </w:r>
            <w:r>
              <w:rPr>
                <w:bCs/>
                <w:color w:val="auto"/>
              </w:rPr>
              <w:t>渗透系数≤10</w:t>
            </w:r>
            <w:r>
              <w:rPr>
                <w:bCs/>
                <w:color w:val="auto"/>
                <w:vertAlign w:val="superscript"/>
              </w:rPr>
              <w:t>-10</w:t>
            </w:r>
            <w:r>
              <w:rPr>
                <w:bCs/>
                <w:color w:val="auto"/>
              </w:rPr>
              <w:t>cm/s</w:t>
            </w:r>
            <w:r>
              <w:rPr>
                <w:rFonts w:hint="eastAsia"/>
                <w:bCs/>
                <w:color w:val="auto"/>
                <w:lang w:eastAsia="zh-CN"/>
              </w:rPr>
              <w:t>）</w:t>
            </w:r>
            <w:r>
              <w:rPr>
                <w:bCs/>
                <w:color w:val="auto"/>
              </w:rPr>
              <w:t>，并设置20cm高围堰。</w:t>
            </w:r>
            <w:r>
              <w:rPr>
                <w:rFonts w:hint="eastAsia" w:ascii="宋体" w:hAnsi="宋体" w:cs="宋体"/>
                <w:color w:val="auto"/>
              </w:rPr>
              <w:t>②</w:t>
            </w:r>
            <w:r>
              <w:rPr>
                <w:color w:val="auto"/>
              </w:rPr>
              <w:t>一般防渗区：包括拆解车间、待拆车辆贮存场地、</w:t>
            </w:r>
            <w:r>
              <w:rPr>
                <w:rFonts w:hint="eastAsia"/>
                <w:color w:val="auto"/>
              </w:rPr>
              <w:t>农机拆除成品半成品及零件贮存库</w:t>
            </w:r>
            <w:r>
              <w:rPr>
                <w:color w:val="auto"/>
              </w:rPr>
              <w:t>。</w:t>
            </w:r>
            <w:r>
              <w:rPr>
                <w:color w:val="FF0000"/>
              </w:rPr>
              <w:t>采用防渗混凝土或HDPE膜进行防渗，其防渗技术要求可满足等效黏土防渗层Mb≥1.5m，K≤1×10</w:t>
            </w:r>
            <w:r>
              <w:rPr>
                <w:color w:val="FF0000"/>
                <w:vertAlign w:val="superscript"/>
              </w:rPr>
              <w:t>-7</w:t>
            </w:r>
            <w:r>
              <w:rPr>
                <w:color w:val="FF0000"/>
              </w:rPr>
              <w:t>cm/s的要求</w:t>
            </w:r>
            <w:r>
              <w:rPr>
                <w:color w:val="auto"/>
              </w:rPr>
              <w:t>。</w:t>
            </w:r>
            <w:r>
              <w:rPr>
                <w:rFonts w:hint="eastAsia" w:ascii="宋体" w:hAnsi="宋体" w:cs="宋体"/>
                <w:color w:val="auto"/>
              </w:rPr>
              <w:t>③</w:t>
            </w:r>
            <w:r>
              <w:rPr>
                <w:color w:val="auto"/>
              </w:rPr>
              <w:t>简单防渗区：包括厂区道路，进行一般地面水泥硬化。在采取防渗、防泄漏等环保措施后，不会对土壤产生影响。</w:t>
            </w:r>
          </w:p>
          <w:p w14:paraId="16072C8E">
            <w:pPr>
              <w:pStyle w:val="84"/>
              <w:rPr>
                <w:color w:val="auto"/>
              </w:rPr>
            </w:pPr>
            <w:r>
              <w:rPr>
                <w:color w:val="auto"/>
              </w:rPr>
              <w:t>七、环境风险</w:t>
            </w:r>
          </w:p>
          <w:p w14:paraId="42DA15DA">
            <w:pPr>
              <w:pStyle w:val="84"/>
              <w:rPr>
                <w:color w:val="auto"/>
              </w:rPr>
            </w:pPr>
            <w:r>
              <w:rPr>
                <w:color w:val="auto"/>
              </w:rPr>
              <w:t>（一）风险识别</w:t>
            </w:r>
          </w:p>
          <w:p w14:paraId="0FF892EA">
            <w:pPr>
              <w:pStyle w:val="77"/>
              <w:rPr>
                <w:color w:val="auto"/>
              </w:rPr>
            </w:pPr>
            <w:r>
              <w:rPr>
                <w:rFonts w:hint="eastAsia" w:ascii="宋体" w:hAnsi="宋体" w:cs="宋体"/>
                <w:color w:val="auto"/>
              </w:rPr>
              <w:t>①</w:t>
            </w:r>
            <w:r>
              <w:rPr>
                <w:color w:val="auto"/>
              </w:rPr>
              <w:t>物质危险性识别</w:t>
            </w:r>
          </w:p>
          <w:p w14:paraId="3F6D138A">
            <w:pPr>
              <w:pStyle w:val="77"/>
              <w:rPr>
                <w:color w:val="auto"/>
              </w:rPr>
            </w:pPr>
            <w:r>
              <w:rPr>
                <w:color w:val="auto"/>
              </w:rPr>
              <w:t>根据《建设项目环境风险评价技术导则》（HJ169-2018）附录表B.1，确定本项目生产过程中涉及的危险物质为柴油、机油、润滑油、硫酸等，其危险特性和理化性质等分别见下表。</w:t>
            </w:r>
          </w:p>
          <w:p w14:paraId="193E5D6F">
            <w:pPr>
              <w:pStyle w:val="78"/>
              <w:rPr>
                <w:color w:val="auto"/>
                <w:szCs w:val="22"/>
                <w:lang w:val="zh-CN"/>
              </w:rPr>
            </w:pPr>
            <w:r>
              <w:rPr>
                <w:color w:val="auto"/>
              </w:rPr>
              <w:t>表4-1</w:t>
            </w:r>
            <w:r>
              <w:rPr>
                <w:rFonts w:hint="eastAsia"/>
                <w:color w:val="auto"/>
                <w:lang w:val="en-US" w:eastAsia="zh-CN"/>
              </w:rPr>
              <w:t>1</w:t>
            </w:r>
            <w:r>
              <w:rPr>
                <w:color w:val="auto"/>
              </w:rPr>
              <w:t xml:space="preserve"> 风险物质的危险性识别</w:t>
            </w:r>
          </w:p>
          <w:tbl>
            <w:tblPr>
              <w:tblStyle w:val="72"/>
              <w:tblW w:w="4981"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7"/>
              <w:gridCol w:w="1168"/>
              <w:gridCol w:w="1898"/>
              <w:gridCol w:w="3876"/>
            </w:tblGrid>
            <w:tr w14:paraId="4D56EE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9" w:hRule="atLeast"/>
              </w:trPr>
              <w:tc>
                <w:tcPr>
                  <w:tcW w:w="777" w:type="dxa"/>
                  <w:vAlign w:val="center"/>
                </w:tcPr>
                <w:p w14:paraId="05C3E9DB">
                  <w:pPr>
                    <w:pStyle w:val="67"/>
                    <w:adjustRightInd w:val="0"/>
                    <w:snapToGrid w:val="0"/>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名称</w:t>
                  </w:r>
                </w:p>
              </w:tc>
              <w:tc>
                <w:tcPr>
                  <w:tcW w:w="1168" w:type="dxa"/>
                  <w:vAlign w:val="center"/>
                </w:tcPr>
                <w:p w14:paraId="6776ED9B">
                  <w:pPr>
                    <w:pStyle w:val="67"/>
                    <w:adjustRightInd w:val="0"/>
                    <w:snapToGrid w:val="0"/>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理化性质</w:t>
                  </w:r>
                </w:p>
              </w:tc>
              <w:tc>
                <w:tcPr>
                  <w:tcW w:w="1898" w:type="dxa"/>
                  <w:vAlign w:val="center"/>
                </w:tcPr>
                <w:p w14:paraId="48C80760">
                  <w:pPr>
                    <w:pStyle w:val="67"/>
                    <w:adjustRightInd w:val="0"/>
                    <w:snapToGrid w:val="0"/>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燃爆危险性</w:t>
                  </w:r>
                </w:p>
              </w:tc>
              <w:tc>
                <w:tcPr>
                  <w:tcW w:w="3876" w:type="dxa"/>
                  <w:vAlign w:val="center"/>
                </w:tcPr>
                <w:p w14:paraId="51F0D89B">
                  <w:pPr>
                    <w:pStyle w:val="67"/>
                    <w:adjustRightInd w:val="0"/>
                    <w:snapToGrid w:val="0"/>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毒性、危害</w:t>
                  </w:r>
                </w:p>
              </w:tc>
            </w:tr>
            <w:tr w14:paraId="7D9600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65" w:hRule="atLeast"/>
              </w:trPr>
              <w:tc>
                <w:tcPr>
                  <w:tcW w:w="777" w:type="dxa"/>
                  <w:vAlign w:val="center"/>
                </w:tcPr>
                <w:p w14:paraId="3A01795C">
                  <w:pPr>
                    <w:pStyle w:val="67"/>
                    <w:adjustRightInd w:val="0"/>
                    <w:snapToGrid w:val="0"/>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柴油</w:t>
                  </w:r>
                </w:p>
              </w:tc>
              <w:tc>
                <w:tcPr>
                  <w:tcW w:w="1168" w:type="dxa"/>
                  <w:vAlign w:val="center"/>
                </w:tcPr>
                <w:p w14:paraId="52B0A28D">
                  <w:pPr>
                    <w:pStyle w:val="67"/>
                    <w:adjustRightInd w:val="0"/>
                    <w:snapToGrid w:val="0"/>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稍有粘性</w:t>
                  </w:r>
                </w:p>
              </w:tc>
              <w:tc>
                <w:tcPr>
                  <w:tcW w:w="1898" w:type="dxa"/>
                  <w:vAlign w:val="center"/>
                </w:tcPr>
                <w:p w14:paraId="7DD7B330">
                  <w:pPr>
                    <w:pStyle w:val="67"/>
                    <w:keepNext/>
                    <w:adjustRightInd w:val="0"/>
                    <w:snapToGrid w:val="0"/>
                    <w:jc w:val="both"/>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火灾危险程度的乙B或丙A类物质，其闪点≥60℃，爆炸危险组别/类别为T3/IIA，未列入危险化学品范围</w:t>
                  </w:r>
                </w:p>
              </w:tc>
              <w:tc>
                <w:tcPr>
                  <w:tcW w:w="3876" w:type="dxa"/>
                  <w:vAlign w:val="center"/>
                </w:tcPr>
                <w:p w14:paraId="76136B39">
                  <w:pPr>
                    <w:pStyle w:val="67"/>
                    <w:adjustRightInd w:val="0"/>
                    <w:snapToGrid w:val="0"/>
                    <w:jc w:val="both"/>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对皮肤粘膜有刺激作用。皮肤接触柴油可引起接触性皮炎、油性痤疮。吸入柴油雾滴可引起吸入性肺炎</w:t>
                  </w:r>
                </w:p>
              </w:tc>
            </w:tr>
            <w:tr w14:paraId="6F58B7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70" w:hRule="atLeast"/>
              </w:trPr>
              <w:tc>
                <w:tcPr>
                  <w:tcW w:w="777" w:type="dxa"/>
                  <w:vAlign w:val="center"/>
                </w:tcPr>
                <w:p w14:paraId="148F265C">
                  <w:pPr>
                    <w:pStyle w:val="67"/>
                    <w:adjustRightInd w:val="0"/>
                    <w:snapToGrid w:val="0"/>
                    <w:jc w:val="both"/>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机油、润滑油</w:t>
                  </w:r>
                </w:p>
              </w:tc>
              <w:tc>
                <w:tcPr>
                  <w:tcW w:w="1168" w:type="dxa"/>
                  <w:vAlign w:val="center"/>
                </w:tcPr>
                <w:p w14:paraId="601EBB8F">
                  <w:pPr>
                    <w:pStyle w:val="67"/>
                    <w:adjustRightInd w:val="0"/>
                    <w:snapToGrid w:val="0"/>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油状液体</w:t>
                  </w:r>
                </w:p>
              </w:tc>
              <w:tc>
                <w:tcPr>
                  <w:tcW w:w="1898" w:type="dxa"/>
                  <w:vAlign w:val="center"/>
                </w:tcPr>
                <w:p w14:paraId="425B383B">
                  <w:pPr>
                    <w:pStyle w:val="67"/>
                    <w:keepNext/>
                    <w:adjustRightInd w:val="0"/>
                    <w:snapToGrid w:val="0"/>
                    <w:jc w:val="both"/>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可燃，闪点45℃，引燃温度248℃，遇明火、高热可燃。</w:t>
                  </w:r>
                </w:p>
              </w:tc>
              <w:tc>
                <w:tcPr>
                  <w:tcW w:w="3876" w:type="dxa"/>
                  <w:vAlign w:val="center"/>
                </w:tcPr>
                <w:p w14:paraId="0851E407">
                  <w:pPr>
                    <w:pStyle w:val="67"/>
                    <w:adjustRightInd w:val="0"/>
                    <w:snapToGrid w:val="0"/>
                    <w:jc w:val="both"/>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侵入途径：</w:t>
                  </w:r>
                  <w:r>
                    <w:rPr>
                      <w:rStyle w:val="69"/>
                      <w:rFonts w:hint="eastAsia" w:cs="Times New Roman"/>
                      <w:snapToGrid w:val="0"/>
                      <w:color w:val="auto"/>
                      <w:kern w:val="2"/>
                      <w:sz w:val="21"/>
                      <w:szCs w:val="21"/>
                      <w:lang w:eastAsia="zh-CN"/>
                    </w:rPr>
                    <w:t>吸入</w:t>
                  </w:r>
                  <w:r>
                    <w:rPr>
                      <w:rStyle w:val="69"/>
                      <w:rFonts w:ascii="Times New Roman" w:hAnsi="Times New Roman" w:cs="Times New Roman"/>
                      <w:snapToGrid w:val="0"/>
                      <w:color w:val="auto"/>
                      <w:kern w:val="2"/>
                      <w:sz w:val="21"/>
                      <w:szCs w:val="21"/>
                    </w:rPr>
                    <w:t>、食入；急性吸入，可出现乏力、头晕、头痛、恶心，严重者可引起油脂性肺炎。慢接触者，暴露部位可发生油性痤疮和接触性皮炎。可引起神经衰弱综合征，呼吸道和眼刺激症状及慢性油脂性肺炎。有资料报道，接触石油润滑油类的工人，有致癌的病例报告。</w:t>
                  </w:r>
                </w:p>
              </w:tc>
            </w:tr>
            <w:tr w14:paraId="5B8698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3" w:hRule="atLeast"/>
              </w:trPr>
              <w:tc>
                <w:tcPr>
                  <w:tcW w:w="777" w:type="dxa"/>
                  <w:vAlign w:val="center"/>
                </w:tcPr>
                <w:p w14:paraId="563C34A6">
                  <w:pPr>
                    <w:pStyle w:val="67"/>
                    <w:adjustRightInd w:val="0"/>
                    <w:snapToGrid w:val="0"/>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硫酸</w:t>
                  </w:r>
                </w:p>
              </w:tc>
              <w:tc>
                <w:tcPr>
                  <w:tcW w:w="1168" w:type="dxa"/>
                  <w:vAlign w:val="center"/>
                </w:tcPr>
                <w:p w14:paraId="0A8125A9">
                  <w:pPr>
                    <w:pStyle w:val="67"/>
                    <w:adjustRightInd w:val="0"/>
                    <w:snapToGrid w:val="0"/>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纯品为无色透明油状液体，无臭</w:t>
                  </w:r>
                </w:p>
              </w:tc>
              <w:tc>
                <w:tcPr>
                  <w:tcW w:w="1898" w:type="dxa"/>
                  <w:vAlign w:val="center"/>
                </w:tcPr>
                <w:p w14:paraId="031C8CFD">
                  <w:pPr>
                    <w:pStyle w:val="67"/>
                    <w:keepNext/>
                    <w:adjustRightInd w:val="0"/>
                    <w:snapToGrid w:val="0"/>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不燃</w:t>
                  </w:r>
                </w:p>
              </w:tc>
              <w:tc>
                <w:tcPr>
                  <w:tcW w:w="3876" w:type="dxa"/>
                  <w:vAlign w:val="center"/>
                </w:tcPr>
                <w:p w14:paraId="26BD2EFC">
                  <w:pPr>
                    <w:pStyle w:val="67"/>
                    <w:adjustRightInd w:val="0"/>
                    <w:snapToGrid w:val="0"/>
                    <w:jc w:val="both"/>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与易燃物(如苯)和有机物 (如糖、纤维素等)接触会发生剧烈反应，甚至引起燃烧。能与一些活性金属粉末发生反应，放出氢气。遇水大量放热，可发生沸溅。具有强腐蚀性。能绝大多数金属和塑料、橡胶及涂料。</w:t>
                  </w:r>
                </w:p>
              </w:tc>
            </w:tr>
            <w:tr w14:paraId="6A81CA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63" w:hRule="atLeast"/>
              </w:trPr>
              <w:tc>
                <w:tcPr>
                  <w:tcW w:w="777" w:type="dxa"/>
                  <w:vAlign w:val="center"/>
                </w:tcPr>
                <w:p w14:paraId="1F133CCB">
                  <w:pPr>
                    <w:pStyle w:val="67"/>
                    <w:adjustRightInd w:val="0"/>
                    <w:snapToGrid w:val="0"/>
                    <w:rPr>
                      <w:rStyle w:val="69"/>
                      <w:rFonts w:hint="eastAsia" w:ascii="Times New Roman" w:hAnsi="Times New Roman" w:eastAsia="宋体" w:cs="Times New Roman"/>
                      <w:snapToGrid w:val="0"/>
                      <w:color w:val="auto"/>
                      <w:kern w:val="2"/>
                      <w:sz w:val="21"/>
                      <w:szCs w:val="21"/>
                      <w:lang w:val="en-US" w:eastAsia="zh-CN"/>
                    </w:rPr>
                  </w:pPr>
                  <w:r>
                    <w:rPr>
                      <w:rStyle w:val="69"/>
                      <w:rFonts w:hint="eastAsia" w:cs="Times New Roman"/>
                      <w:snapToGrid w:val="0"/>
                      <w:color w:val="auto"/>
                      <w:kern w:val="2"/>
                      <w:sz w:val="21"/>
                      <w:szCs w:val="21"/>
                      <w:lang w:val="en-US" w:eastAsia="zh-CN"/>
                    </w:rPr>
                    <w:t>石棉</w:t>
                  </w:r>
                </w:p>
              </w:tc>
              <w:tc>
                <w:tcPr>
                  <w:tcW w:w="1168" w:type="dxa"/>
                  <w:vAlign w:val="center"/>
                </w:tcPr>
                <w:p w14:paraId="43EB0825">
                  <w:pPr>
                    <w:pStyle w:val="67"/>
                    <w:adjustRightInd w:val="0"/>
                    <w:snapToGrid w:val="0"/>
                    <w:rPr>
                      <w:rStyle w:val="69"/>
                      <w:rFonts w:hint="default" w:ascii="Times New Roman" w:hAnsi="Times New Roman" w:eastAsia="宋体" w:cs="Times New Roman"/>
                      <w:snapToGrid w:val="0"/>
                      <w:color w:val="auto"/>
                      <w:kern w:val="2"/>
                      <w:sz w:val="21"/>
                      <w:szCs w:val="21"/>
                      <w:lang w:val="en-US" w:eastAsia="zh-CN"/>
                    </w:rPr>
                  </w:pPr>
                  <w:r>
                    <w:rPr>
                      <w:rStyle w:val="69"/>
                      <w:rFonts w:hint="eastAsia" w:cs="Times New Roman"/>
                      <w:snapToGrid w:val="0"/>
                      <w:color w:val="auto"/>
                      <w:kern w:val="2"/>
                      <w:sz w:val="21"/>
                      <w:szCs w:val="21"/>
                      <w:lang w:val="en-US" w:eastAsia="zh-CN"/>
                    </w:rPr>
                    <w:t>固态</w:t>
                  </w:r>
                </w:p>
              </w:tc>
              <w:tc>
                <w:tcPr>
                  <w:tcW w:w="1898" w:type="dxa"/>
                  <w:vAlign w:val="center"/>
                </w:tcPr>
                <w:p w14:paraId="59B6EF69">
                  <w:pPr>
                    <w:pStyle w:val="67"/>
                    <w:keepNext/>
                    <w:adjustRightInd w:val="0"/>
                    <w:snapToGrid w:val="0"/>
                    <w:rPr>
                      <w:rFonts w:ascii="Times New Roman" w:hAnsi="Times New Roman" w:eastAsia="宋体" w:cs="Times New Roman"/>
                      <w:snapToGrid w:val="0"/>
                      <w:color w:val="auto"/>
                      <w:kern w:val="0"/>
                      <w:sz w:val="21"/>
                      <w:szCs w:val="21"/>
                      <w:lang w:val="en-US" w:eastAsia="zh-CN" w:bidi="ar-SA"/>
                    </w:rPr>
                  </w:pPr>
                  <w:r>
                    <w:rPr>
                      <w:rStyle w:val="69"/>
                      <w:rFonts w:ascii="Times New Roman" w:hAnsi="Times New Roman" w:cs="Times New Roman"/>
                      <w:snapToGrid w:val="0"/>
                      <w:color w:val="auto"/>
                      <w:kern w:val="2"/>
                      <w:sz w:val="21"/>
                      <w:szCs w:val="21"/>
                    </w:rPr>
                    <w:t>不燃</w:t>
                  </w:r>
                </w:p>
              </w:tc>
              <w:tc>
                <w:tcPr>
                  <w:tcW w:w="3876" w:type="dxa"/>
                  <w:vAlign w:val="center"/>
                </w:tcPr>
                <w:p w14:paraId="31809B85">
                  <w:pPr>
                    <w:pStyle w:val="67"/>
                    <w:adjustRightInd w:val="0"/>
                    <w:snapToGrid w:val="0"/>
                    <w:jc w:val="both"/>
                    <w:rPr>
                      <w:rStyle w:val="69"/>
                      <w:rFonts w:hint="eastAsia" w:ascii="Times New Roman" w:hAnsi="Times New Roman" w:eastAsia="宋体" w:cs="Times New Roman"/>
                      <w:snapToGrid w:val="0"/>
                      <w:color w:val="auto"/>
                      <w:kern w:val="2"/>
                      <w:sz w:val="21"/>
                      <w:szCs w:val="21"/>
                      <w:lang w:eastAsia="zh-CN"/>
                    </w:rPr>
                  </w:pPr>
                  <w:r>
                    <w:rPr>
                      <w:rStyle w:val="69"/>
                      <w:rFonts w:hint="eastAsia" w:ascii="Times New Roman" w:hAnsi="Times New Roman" w:cs="Times New Roman"/>
                      <w:snapToGrid w:val="0"/>
                      <w:color w:val="auto"/>
                      <w:kern w:val="2"/>
                      <w:sz w:val="21"/>
                      <w:szCs w:val="21"/>
                    </w:rPr>
                    <w:t>高毒</w:t>
                  </w:r>
                  <w:r>
                    <w:rPr>
                      <w:rStyle w:val="69"/>
                      <w:rFonts w:hint="eastAsia" w:cs="Times New Roman"/>
                      <w:snapToGrid w:val="0"/>
                      <w:color w:val="auto"/>
                      <w:kern w:val="2"/>
                      <w:sz w:val="21"/>
                      <w:szCs w:val="21"/>
                      <w:lang w:eastAsia="zh-CN"/>
                    </w:rPr>
                    <w:t>，急性毒性：插管-大鼠 LD: 》 4 毫升/公斤。石棉对人体是致癌的，特别是导致间皮瘤的风险，石棉能引起原发性肝癌和间皮肉瘤，而且还会导致胸膜间皮瘤，长期吸入一定量的石棉纤维或元纤维能引起石棉肺，肺癌，胸膜间皮瘤、腹膜间皮瘤和胃肠癌等，石棉具有较强的致癌性。</w:t>
                  </w:r>
                </w:p>
              </w:tc>
            </w:tr>
          </w:tbl>
          <w:p w14:paraId="470CC9AD">
            <w:pPr>
              <w:pStyle w:val="77"/>
              <w:rPr>
                <w:color w:val="auto"/>
              </w:rPr>
            </w:pPr>
            <w:r>
              <w:rPr>
                <w:rFonts w:hint="eastAsia" w:ascii="宋体" w:hAnsi="宋体" w:cs="宋体"/>
                <w:color w:val="auto"/>
              </w:rPr>
              <w:t>②</w:t>
            </w:r>
            <w:r>
              <w:rPr>
                <w:color w:val="auto"/>
              </w:rPr>
              <w:t>生产系统危险性识别</w:t>
            </w:r>
          </w:p>
          <w:p w14:paraId="0A8AE42D">
            <w:pPr>
              <w:pStyle w:val="77"/>
              <w:rPr>
                <w:color w:val="auto"/>
              </w:rPr>
            </w:pPr>
            <w:r>
              <w:rPr>
                <w:color w:val="auto"/>
              </w:rPr>
              <w:t>本项目在报废农业机械拆解过程中涉及剪断、切割、挤压、压扁等处理，拆解过程中会产生少量柴油和少量润滑油、机油等废油液，若切割过程中产生的火花飞溅到废油污上，可能会发生火灾或爆炸。</w:t>
            </w:r>
          </w:p>
          <w:p w14:paraId="7F41CE9E">
            <w:pPr>
              <w:pStyle w:val="77"/>
              <w:rPr>
                <w:color w:val="auto"/>
              </w:rPr>
            </w:pPr>
            <w:r>
              <w:rPr>
                <w:color w:val="auto"/>
              </w:rPr>
              <w:t>本项目报废农业机械拆解过程中所产生的</w:t>
            </w:r>
            <w:r>
              <w:rPr>
                <w:rFonts w:hint="eastAsia"/>
                <w:color w:val="auto"/>
                <w:lang w:val="en-US" w:eastAsia="zh-CN"/>
              </w:rPr>
              <w:t>废石棉、</w:t>
            </w:r>
            <w:r>
              <w:rPr>
                <w:color w:val="auto"/>
              </w:rPr>
              <w:t>铅酸蓄电池、柴油和少量润滑油、机油和冷却液等分类收集后，暂存于</w:t>
            </w:r>
            <w:r>
              <w:rPr>
                <w:rFonts w:hint="eastAsia"/>
                <w:color w:val="auto"/>
                <w:lang w:eastAsia="zh-CN"/>
              </w:rPr>
              <w:t>危险废物贮存库</w:t>
            </w:r>
            <w:r>
              <w:rPr>
                <w:color w:val="auto"/>
              </w:rPr>
              <w:t>，定期委托有资质的单位进行处置。在装卸、存储过程中可能存在的风险事故为：暂存过程中由于储罐、封盖老化或操作不规范，致使物料泄漏逸散，导致人员中毒；柴油散发到空气中遇明火可能会发生火灾或爆炸。</w:t>
            </w:r>
          </w:p>
          <w:p w14:paraId="59CE1D3B">
            <w:pPr>
              <w:pStyle w:val="77"/>
              <w:rPr>
                <w:color w:val="auto"/>
              </w:rPr>
            </w:pPr>
            <w:r>
              <w:rPr>
                <w:rFonts w:hint="eastAsia" w:ascii="宋体" w:hAnsi="宋体" w:cs="宋体"/>
                <w:color w:val="auto"/>
              </w:rPr>
              <w:t>③</w:t>
            </w:r>
            <w:r>
              <w:rPr>
                <w:color w:val="auto"/>
              </w:rPr>
              <w:t>主要危险物质分布情况</w:t>
            </w:r>
          </w:p>
          <w:p w14:paraId="6BAC1AE1">
            <w:pPr>
              <w:pStyle w:val="78"/>
              <w:rPr>
                <w:color w:val="auto"/>
              </w:rPr>
            </w:pPr>
            <w:r>
              <w:rPr>
                <w:color w:val="auto"/>
              </w:rPr>
              <w:t>表4-1</w:t>
            </w:r>
            <w:r>
              <w:rPr>
                <w:rFonts w:hint="eastAsia"/>
                <w:color w:val="auto"/>
                <w:lang w:val="en-US" w:eastAsia="zh-CN"/>
              </w:rPr>
              <w:t>2</w:t>
            </w:r>
            <w:r>
              <w:rPr>
                <w:color w:val="auto"/>
              </w:rPr>
              <w:t xml:space="preserve"> 危险物质分布情况表</w:t>
            </w:r>
          </w:p>
          <w:tbl>
            <w:tblPr>
              <w:tblStyle w:val="72"/>
              <w:tblW w:w="4981"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77"/>
              <w:gridCol w:w="2624"/>
              <w:gridCol w:w="2923"/>
              <w:gridCol w:w="1395"/>
            </w:tblGrid>
            <w:tr w14:paraId="3F77A5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 w:hRule="atLeast"/>
              </w:trPr>
              <w:tc>
                <w:tcPr>
                  <w:tcW w:w="754" w:type="dxa"/>
                  <w:vAlign w:val="center"/>
                </w:tcPr>
                <w:p w14:paraId="6BB4258C">
                  <w:pPr>
                    <w:pStyle w:val="67"/>
                    <w:adjustRightInd w:val="0"/>
                    <w:snapToGrid w:val="0"/>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序号</w:t>
                  </w:r>
                </w:p>
              </w:tc>
              <w:tc>
                <w:tcPr>
                  <w:tcW w:w="2547" w:type="dxa"/>
                  <w:vAlign w:val="center"/>
                </w:tcPr>
                <w:p w14:paraId="319AA13A">
                  <w:pPr>
                    <w:pStyle w:val="67"/>
                    <w:adjustRightInd w:val="0"/>
                    <w:snapToGrid w:val="0"/>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生产设施风险识别范围</w:t>
                  </w:r>
                </w:p>
              </w:tc>
              <w:tc>
                <w:tcPr>
                  <w:tcW w:w="2837" w:type="dxa"/>
                  <w:vAlign w:val="center"/>
                </w:tcPr>
                <w:p w14:paraId="12595218">
                  <w:pPr>
                    <w:pStyle w:val="67"/>
                    <w:keepNext/>
                    <w:adjustRightInd w:val="0"/>
                    <w:snapToGrid w:val="0"/>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物质风险识别范围</w:t>
                  </w:r>
                </w:p>
              </w:tc>
              <w:tc>
                <w:tcPr>
                  <w:tcW w:w="1354" w:type="dxa"/>
                  <w:vAlign w:val="center"/>
                </w:tcPr>
                <w:p w14:paraId="3525C69A">
                  <w:pPr>
                    <w:pStyle w:val="67"/>
                    <w:adjustRightInd w:val="0"/>
                    <w:snapToGrid w:val="0"/>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风险类别</w:t>
                  </w:r>
                </w:p>
              </w:tc>
            </w:tr>
            <w:tr w14:paraId="2BD46D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 w:hRule="atLeast"/>
              </w:trPr>
              <w:tc>
                <w:tcPr>
                  <w:tcW w:w="754" w:type="dxa"/>
                  <w:vAlign w:val="center"/>
                </w:tcPr>
                <w:p w14:paraId="1C5F9149">
                  <w:pPr>
                    <w:pStyle w:val="67"/>
                    <w:adjustRightInd w:val="0"/>
                    <w:snapToGrid w:val="0"/>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1</w:t>
                  </w:r>
                </w:p>
              </w:tc>
              <w:tc>
                <w:tcPr>
                  <w:tcW w:w="2547" w:type="dxa"/>
                  <w:vAlign w:val="center"/>
                </w:tcPr>
                <w:p w14:paraId="0871E859">
                  <w:pPr>
                    <w:pStyle w:val="67"/>
                    <w:adjustRightInd w:val="0"/>
                    <w:snapToGrid w:val="0"/>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拆解车间</w:t>
                  </w:r>
                </w:p>
              </w:tc>
              <w:tc>
                <w:tcPr>
                  <w:tcW w:w="2837" w:type="dxa"/>
                  <w:vMerge w:val="restart"/>
                  <w:vAlign w:val="center"/>
                </w:tcPr>
                <w:p w14:paraId="2BA3C85C">
                  <w:pPr>
                    <w:pStyle w:val="67"/>
                    <w:keepNext/>
                    <w:adjustRightInd w:val="0"/>
                    <w:snapToGrid w:val="0"/>
                    <w:jc w:val="both"/>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废油液（包括柴油、机油、润滑油、油水分离装置浮油等）、蓄电池</w:t>
                  </w:r>
                  <w:r>
                    <w:rPr>
                      <w:rStyle w:val="69"/>
                      <w:rFonts w:hint="eastAsia" w:cs="Times New Roman"/>
                      <w:snapToGrid w:val="0"/>
                      <w:color w:val="auto"/>
                      <w:kern w:val="2"/>
                      <w:sz w:val="21"/>
                      <w:szCs w:val="21"/>
                      <w:lang w:eastAsia="zh-CN"/>
                    </w:rPr>
                    <w:t>、</w:t>
                  </w:r>
                  <w:r>
                    <w:rPr>
                      <w:rStyle w:val="69"/>
                      <w:rFonts w:hint="eastAsia" w:cs="Times New Roman"/>
                      <w:snapToGrid w:val="0"/>
                      <w:color w:val="auto"/>
                      <w:kern w:val="2"/>
                      <w:sz w:val="21"/>
                      <w:szCs w:val="21"/>
                      <w:lang w:val="en-US" w:eastAsia="zh-CN"/>
                    </w:rPr>
                    <w:t>废石棉</w:t>
                  </w:r>
                  <w:r>
                    <w:rPr>
                      <w:rStyle w:val="69"/>
                      <w:rFonts w:ascii="Times New Roman" w:hAnsi="Times New Roman" w:cs="Times New Roman"/>
                      <w:snapToGrid w:val="0"/>
                      <w:color w:val="auto"/>
                      <w:kern w:val="2"/>
                      <w:sz w:val="21"/>
                      <w:szCs w:val="21"/>
                    </w:rPr>
                    <w:t>等</w:t>
                  </w:r>
                </w:p>
              </w:tc>
              <w:tc>
                <w:tcPr>
                  <w:tcW w:w="1354" w:type="dxa"/>
                  <w:vMerge w:val="restart"/>
                  <w:vAlign w:val="center"/>
                </w:tcPr>
                <w:p w14:paraId="6B3CECD8">
                  <w:pPr>
                    <w:pStyle w:val="67"/>
                    <w:adjustRightInd w:val="0"/>
                    <w:snapToGrid w:val="0"/>
                    <w:jc w:val="both"/>
                    <w:rPr>
                      <w:rStyle w:val="69"/>
                      <w:rFonts w:ascii="Times New Roman" w:hAnsi="Times New Roman" w:cs="Times New Roman"/>
                      <w:snapToGrid w:val="0"/>
                      <w:color w:val="auto"/>
                      <w:sz w:val="21"/>
                      <w:szCs w:val="21"/>
                    </w:rPr>
                  </w:pPr>
                  <w:r>
                    <w:rPr>
                      <w:rFonts w:cs="Times New Roman"/>
                      <w:snapToGrid w:val="0"/>
                      <w:color w:val="auto"/>
                      <w:sz w:val="21"/>
                      <w:szCs w:val="21"/>
                    </w:rPr>
                    <w:t>火灾、爆炸、泄露</w:t>
                  </w:r>
                </w:p>
              </w:tc>
            </w:tr>
            <w:tr w14:paraId="02291C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0" w:hRule="atLeast"/>
              </w:trPr>
              <w:tc>
                <w:tcPr>
                  <w:tcW w:w="754" w:type="dxa"/>
                  <w:vAlign w:val="center"/>
                </w:tcPr>
                <w:p w14:paraId="7A3B3628">
                  <w:pPr>
                    <w:pStyle w:val="67"/>
                    <w:adjustRightInd w:val="0"/>
                    <w:snapToGrid w:val="0"/>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2</w:t>
                  </w:r>
                </w:p>
              </w:tc>
              <w:tc>
                <w:tcPr>
                  <w:tcW w:w="2547" w:type="dxa"/>
                  <w:vAlign w:val="center"/>
                </w:tcPr>
                <w:p w14:paraId="77C6CA5A">
                  <w:pPr>
                    <w:pStyle w:val="67"/>
                    <w:adjustRightInd w:val="0"/>
                    <w:snapToGrid w:val="0"/>
                    <w:rPr>
                      <w:rStyle w:val="69"/>
                      <w:rFonts w:hint="eastAsia" w:ascii="Times New Roman" w:hAnsi="Times New Roman" w:eastAsia="宋体" w:cs="Times New Roman"/>
                      <w:snapToGrid w:val="0"/>
                      <w:color w:val="auto"/>
                      <w:sz w:val="21"/>
                      <w:szCs w:val="21"/>
                      <w:lang w:eastAsia="zh-CN"/>
                    </w:rPr>
                  </w:pPr>
                  <w:r>
                    <w:rPr>
                      <w:rStyle w:val="69"/>
                      <w:rFonts w:hint="eastAsia" w:cs="Times New Roman"/>
                      <w:snapToGrid w:val="0"/>
                      <w:color w:val="auto"/>
                      <w:kern w:val="2"/>
                      <w:sz w:val="21"/>
                      <w:szCs w:val="21"/>
                      <w:lang w:eastAsia="zh-CN"/>
                    </w:rPr>
                    <w:t>危险废物贮存库</w:t>
                  </w:r>
                </w:p>
              </w:tc>
              <w:tc>
                <w:tcPr>
                  <w:tcW w:w="2837" w:type="dxa"/>
                  <w:vMerge w:val="continue"/>
                  <w:vAlign w:val="center"/>
                </w:tcPr>
                <w:p w14:paraId="3FFDEB85">
                  <w:pPr>
                    <w:pStyle w:val="67"/>
                    <w:keepNext/>
                    <w:adjustRightInd w:val="0"/>
                    <w:snapToGrid w:val="0"/>
                    <w:jc w:val="both"/>
                    <w:rPr>
                      <w:rStyle w:val="69"/>
                      <w:rFonts w:ascii="Times New Roman" w:hAnsi="Times New Roman" w:cs="Times New Roman"/>
                      <w:snapToGrid w:val="0"/>
                      <w:color w:val="auto"/>
                      <w:sz w:val="21"/>
                      <w:szCs w:val="21"/>
                    </w:rPr>
                  </w:pPr>
                </w:p>
              </w:tc>
              <w:tc>
                <w:tcPr>
                  <w:tcW w:w="1354" w:type="dxa"/>
                  <w:vMerge w:val="continue"/>
                  <w:vAlign w:val="center"/>
                </w:tcPr>
                <w:p w14:paraId="51379051">
                  <w:pPr>
                    <w:pStyle w:val="67"/>
                    <w:adjustRightInd w:val="0"/>
                    <w:snapToGrid w:val="0"/>
                    <w:rPr>
                      <w:rStyle w:val="69"/>
                      <w:rFonts w:ascii="Times New Roman" w:hAnsi="Times New Roman" w:cs="Times New Roman"/>
                      <w:snapToGrid w:val="0"/>
                      <w:color w:val="auto"/>
                      <w:sz w:val="21"/>
                      <w:szCs w:val="21"/>
                    </w:rPr>
                  </w:pPr>
                </w:p>
              </w:tc>
            </w:tr>
            <w:tr w14:paraId="2DE6F7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 w:hRule="atLeast"/>
              </w:trPr>
              <w:tc>
                <w:tcPr>
                  <w:tcW w:w="754" w:type="dxa"/>
                  <w:vAlign w:val="center"/>
                </w:tcPr>
                <w:p w14:paraId="558E98D7">
                  <w:pPr>
                    <w:pStyle w:val="67"/>
                    <w:adjustRightInd w:val="0"/>
                    <w:snapToGrid w:val="0"/>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3</w:t>
                  </w:r>
                </w:p>
              </w:tc>
              <w:tc>
                <w:tcPr>
                  <w:tcW w:w="2547" w:type="dxa"/>
                  <w:vAlign w:val="center"/>
                </w:tcPr>
                <w:p w14:paraId="4370CEAE">
                  <w:pPr>
                    <w:pStyle w:val="67"/>
                    <w:adjustRightInd w:val="0"/>
                    <w:snapToGrid w:val="0"/>
                    <w:rPr>
                      <w:rStyle w:val="69"/>
                      <w:rFonts w:ascii="Times New Roman" w:hAnsi="Times New Roman" w:cs="Times New Roman"/>
                      <w:snapToGrid w:val="0"/>
                      <w:color w:val="auto"/>
                      <w:sz w:val="21"/>
                      <w:szCs w:val="21"/>
                    </w:rPr>
                  </w:pPr>
                  <w:r>
                    <w:rPr>
                      <w:rStyle w:val="69"/>
                      <w:rFonts w:ascii="Times New Roman" w:hAnsi="Times New Roman" w:cs="Times New Roman"/>
                      <w:snapToGrid w:val="0"/>
                      <w:color w:val="auto"/>
                      <w:kern w:val="2"/>
                      <w:sz w:val="21"/>
                      <w:szCs w:val="21"/>
                    </w:rPr>
                    <w:t>待拆车辆贮存场地</w:t>
                  </w:r>
                </w:p>
              </w:tc>
              <w:tc>
                <w:tcPr>
                  <w:tcW w:w="2837" w:type="dxa"/>
                  <w:vMerge w:val="continue"/>
                  <w:vAlign w:val="center"/>
                </w:tcPr>
                <w:p w14:paraId="2C4FC79E">
                  <w:pPr>
                    <w:pStyle w:val="67"/>
                    <w:keepNext/>
                    <w:adjustRightInd w:val="0"/>
                    <w:snapToGrid w:val="0"/>
                    <w:rPr>
                      <w:rStyle w:val="69"/>
                      <w:rFonts w:ascii="Times New Roman" w:hAnsi="Times New Roman" w:cs="Times New Roman"/>
                      <w:snapToGrid w:val="0"/>
                      <w:color w:val="auto"/>
                      <w:sz w:val="21"/>
                      <w:szCs w:val="21"/>
                    </w:rPr>
                  </w:pPr>
                </w:p>
              </w:tc>
              <w:tc>
                <w:tcPr>
                  <w:tcW w:w="1354" w:type="dxa"/>
                  <w:vMerge w:val="continue"/>
                  <w:vAlign w:val="center"/>
                </w:tcPr>
                <w:p w14:paraId="2241CCB2">
                  <w:pPr>
                    <w:pStyle w:val="67"/>
                    <w:adjustRightInd w:val="0"/>
                    <w:snapToGrid w:val="0"/>
                    <w:rPr>
                      <w:rStyle w:val="69"/>
                      <w:rFonts w:ascii="Times New Roman" w:hAnsi="Times New Roman" w:cs="Times New Roman"/>
                      <w:snapToGrid w:val="0"/>
                      <w:color w:val="auto"/>
                      <w:sz w:val="21"/>
                      <w:szCs w:val="21"/>
                    </w:rPr>
                  </w:pPr>
                </w:p>
              </w:tc>
            </w:tr>
          </w:tbl>
          <w:p w14:paraId="587B431A">
            <w:pPr>
              <w:pStyle w:val="77"/>
              <w:rPr>
                <w:color w:val="auto"/>
              </w:rPr>
            </w:pPr>
            <w:r>
              <w:rPr>
                <w:color w:val="auto"/>
              </w:rPr>
              <w:t>本项目环境风险事故主要是由柴油存储桶等易燃易爆物质，可能发生火灾甚至爆炸。另外危险废物暂存或管理不当，造成废油液泄漏，污染土壤并进一步影响地下水体。</w:t>
            </w:r>
          </w:p>
          <w:p w14:paraId="5519D126">
            <w:pPr>
              <w:pStyle w:val="84"/>
              <w:keepLines w:val="0"/>
              <w:pageBreakBefore w:val="0"/>
              <w:widowControl w:val="0"/>
              <w:kinsoku/>
              <w:wordWrap/>
              <w:overflowPunct/>
              <w:topLinePunct w:val="0"/>
              <w:bidi w:val="0"/>
              <w:spacing w:line="500" w:lineRule="exact"/>
              <w:textAlignment w:val="auto"/>
              <w:rPr>
                <w:b w:val="0"/>
                <w:bCs w:val="0"/>
                <w:color w:val="auto"/>
              </w:rPr>
            </w:pPr>
            <w:r>
              <w:rPr>
                <w:color w:val="auto"/>
              </w:rPr>
              <w:t>（二）</w:t>
            </w:r>
            <w:r>
              <w:rPr>
                <w:rFonts w:hint="eastAsia"/>
                <w:color w:val="auto"/>
              </w:rPr>
              <w:t>环境风险潜势初判及评价等级确定</w:t>
            </w:r>
          </w:p>
          <w:p w14:paraId="1C5877B8">
            <w:pPr>
              <w:keepNext/>
              <w:keepLines w:val="0"/>
              <w:pageBreakBefore w:val="0"/>
              <w:widowControl w:val="0"/>
              <w:kinsoku/>
              <w:wordWrap/>
              <w:overflowPunct/>
              <w:topLinePunct w:val="0"/>
              <w:bidi w:val="0"/>
              <w:spacing w:line="500" w:lineRule="exact"/>
              <w:ind w:firstLine="480" w:firstLineChars="200"/>
              <w:textAlignment w:val="auto"/>
              <w:rPr>
                <w:rFonts w:hint="eastAsia" w:ascii="Times New Roman" w:hAnsi="Times New Roman" w:eastAsia="宋体" w:cs="Times New Roman"/>
                <w:color w:val="auto"/>
                <w:sz w:val="24"/>
                <w:lang w:eastAsia="zh-CN"/>
              </w:rPr>
            </w:pPr>
            <w:r>
              <w:rPr>
                <w:rFonts w:hint="eastAsia" w:ascii="Times New Roman" w:hAnsi="Times New Roman" w:eastAsia="宋体" w:cs="Times New Roman"/>
                <w:color w:val="auto"/>
                <w:sz w:val="24"/>
              </w:rPr>
              <w:t>根据《建设项目环境风险评价技术导则》（HJ169-2018）和《危险化学品重大危险源辨识》（GB18218-2018）中重大危险源的判定方法，且根据本项目工艺特点，评价从物质危险性、储运过程中的危险性进行识别，废油液最大存储量为2</w:t>
            </w:r>
            <w:r>
              <w:rPr>
                <w:rFonts w:hint="eastAsia" w:ascii="Times New Roman" w:hAnsi="Times New Roman" w:eastAsia="宋体" w:cs="Times New Roman"/>
                <w:color w:val="auto"/>
                <w:sz w:val="24"/>
                <w:lang w:val="en-US" w:eastAsia="zh-CN"/>
              </w:rPr>
              <w:t>.5</w:t>
            </w:r>
            <w:r>
              <w:rPr>
                <w:rFonts w:hint="eastAsia" w:ascii="Times New Roman" w:hAnsi="Times New Roman" w:eastAsia="宋体" w:cs="Times New Roman"/>
                <w:color w:val="auto"/>
                <w:sz w:val="24"/>
              </w:rPr>
              <w:t>t；废蓄电池转最大存储量为</w:t>
            </w:r>
            <w:r>
              <w:rPr>
                <w:rFonts w:hint="eastAsia" w:cs="Times New Roman"/>
                <w:color w:val="auto"/>
                <w:sz w:val="24"/>
                <w:lang w:val="en-US" w:eastAsia="zh-CN"/>
              </w:rPr>
              <w:t>4</w:t>
            </w:r>
            <w:r>
              <w:rPr>
                <w:rFonts w:hint="eastAsia" w:ascii="Times New Roman" w:hAnsi="Times New Roman" w:eastAsia="宋体" w:cs="Times New Roman"/>
                <w:color w:val="auto"/>
                <w:sz w:val="24"/>
              </w:rPr>
              <w:t>t，硫酸为废蓄电池重量为1</w:t>
            </w:r>
            <w:r>
              <w:rPr>
                <w:rFonts w:hint="eastAsia" w:ascii="Times New Roman" w:hAnsi="Times New Roman" w:eastAsia="宋体" w:cs="Times New Roman"/>
                <w:color w:val="auto"/>
                <w:sz w:val="24"/>
                <w:lang w:val="en-US" w:eastAsia="zh-CN"/>
              </w:rPr>
              <w:t>0%</w:t>
            </w:r>
            <w:r>
              <w:rPr>
                <w:rFonts w:hint="eastAsia" w:ascii="Times New Roman" w:hAnsi="Times New Roman" w:eastAsia="宋体" w:cs="Times New Roman"/>
                <w:color w:val="auto"/>
                <w:sz w:val="24"/>
              </w:rPr>
              <w:t>，则蓄电池中硫酸量为</w:t>
            </w:r>
            <w:r>
              <w:rPr>
                <w:rFonts w:hint="eastAsia" w:ascii="Times New Roman" w:hAnsi="Times New Roman" w:eastAsia="宋体" w:cs="Times New Roman"/>
                <w:color w:val="auto"/>
                <w:sz w:val="24"/>
                <w:lang w:val="en-US" w:eastAsia="zh-CN"/>
              </w:rPr>
              <w:t>0.</w:t>
            </w:r>
            <w:r>
              <w:rPr>
                <w:rFonts w:hint="eastAsia" w:cs="Times New Roman"/>
                <w:color w:val="auto"/>
                <w:sz w:val="24"/>
                <w:lang w:val="en-US" w:eastAsia="zh-CN"/>
              </w:rPr>
              <w:t>4</w:t>
            </w:r>
            <w:r>
              <w:rPr>
                <w:rFonts w:hint="eastAsia" w:ascii="Times New Roman" w:hAnsi="Times New Roman" w:eastAsia="宋体" w:cs="Times New Roman"/>
                <w:color w:val="auto"/>
                <w:sz w:val="24"/>
              </w:rPr>
              <w:t>t</w:t>
            </w:r>
            <w:r>
              <w:rPr>
                <w:rFonts w:hint="eastAsia" w:cs="Times New Roman"/>
                <w:color w:val="auto"/>
                <w:sz w:val="24"/>
                <w:lang w:eastAsia="zh-CN"/>
              </w:rPr>
              <w:t>；</w:t>
            </w:r>
            <w:r>
              <w:rPr>
                <w:rFonts w:hint="eastAsia" w:cs="Times New Roman"/>
                <w:color w:val="auto"/>
                <w:sz w:val="24"/>
                <w:lang w:val="en-US" w:eastAsia="zh-CN"/>
              </w:rPr>
              <w:t>石棉废物</w:t>
            </w:r>
            <w:r>
              <w:rPr>
                <w:rFonts w:hint="eastAsia" w:ascii="Times New Roman" w:hAnsi="Times New Roman" w:eastAsia="宋体" w:cs="Times New Roman"/>
                <w:color w:val="auto"/>
                <w:sz w:val="24"/>
              </w:rPr>
              <w:t>最大存储量为</w:t>
            </w:r>
            <w:r>
              <w:rPr>
                <w:rFonts w:hint="eastAsia" w:cs="Times New Roman"/>
                <w:color w:val="auto"/>
                <w:sz w:val="24"/>
                <w:lang w:val="en-US" w:eastAsia="zh-CN"/>
              </w:rPr>
              <w:t>0.1</w:t>
            </w:r>
            <w:r>
              <w:rPr>
                <w:rFonts w:hint="eastAsia" w:ascii="Times New Roman" w:hAnsi="Times New Roman" w:eastAsia="宋体" w:cs="Times New Roman"/>
                <w:color w:val="auto"/>
                <w:sz w:val="24"/>
              </w:rPr>
              <w:t>t。经计算辨识结果见下表</w:t>
            </w:r>
            <w:r>
              <w:rPr>
                <w:rFonts w:hint="eastAsia" w:ascii="Times New Roman" w:hAnsi="Times New Roman" w:eastAsia="宋体" w:cs="Times New Roman"/>
                <w:color w:val="auto"/>
                <w:sz w:val="24"/>
                <w:lang w:eastAsia="zh-CN"/>
              </w:rPr>
              <w:t>。</w:t>
            </w:r>
          </w:p>
          <w:p w14:paraId="09FE35F2">
            <w:pPr>
              <w:keepNext/>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表4-</w:t>
            </w:r>
            <w:r>
              <w:rPr>
                <w:rFonts w:hint="eastAsia" w:ascii="Times New Roman" w:hAnsi="Times New Roman" w:eastAsia="宋体" w:cs="Times New Roman"/>
                <w:b/>
                <w:bCs/>
                <w:color w:val="auto"/>
                <w:szCs w:val="21"/>
                <w:lang w:val="en-US" w:eastAsia="zh-CN"/>
              </w:rPr>
              <w:t>1</w:t>
            </w:r>
            <w:r>
              <w:rPr>
                <w:rFonts w:hint="eastAsia" w:cs="Times New Roman"/>
                <w:b/>
                <w:bCs/>
                <w:color w:val="auto"/>
                <w:szCs w:val="21"/>
                <w:lang w:val="en-US" w:eastAsia="zh-CN"/>
              </w:rPr>
              <w:t>3</w:t>
            </w:r>
            <w:r>
              <w:rPr>
                <w:rFonts w:ascii="Times New Roman" w:hAnsi="Times New Roman" w:eastAsia="宋体" w:cs="Times New Roman"/>
                <w:b/>
                <w:bCs/>
                <w:color w:val="auto"/>
                <w:szCs w:val="21"/>
              </w:rPr>
              <w:t>危险化学品重大危险源辨识表</w:t>
            </w:r>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41"/>
              <w:gridCol w:w="1670"/>
              <w:gridCol w:w="1145"/>
              <w:gridCol w:w="1418"/>
              <w:gridCol w:w="942"/>
              <w:gridCol w:w="1429"/>
            </w:tblGrid>
            <w:tr w14:paraId="7C5DB3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0" w:hRule="atLeast"/>
              </w:trPr>
              <w:tc>
                <w:tcPr>
                  <w:tcW w:w="737" w:type="pct"/>
                  <w:noWrap w:val="0"/>
                  <w:vAlign w:val="center"/>
                </w:tcPr>
                <w:p w14:paraId="2D12F918">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单元名称</w:t>
                  </w:r>
                </w:p>
              </w:tc>
              <w:tc>
                <w:tcPr>
                  <w:tcW w:w="1078" w:type="pct"/>
                  <w:noWrap w:val="0"/>
                  <w:vAlign w:val="center"/>
                </w:tcPr>
                <w:p w14:paraId="76A7B501">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单元内物质名称</w:t>
                  </w:r>
                </w:p>
              </w:tc>
              <w:tc>
                <w:tcPr>
                  <w:tcW w:w="739" w:type="pct"/>
                  <w:noWrap w:val="0"/>
                  <w:vAlign w:val="center"/>
                </w:tcPr>
                <w:p w14:paraId="0303DC6C">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CAS号</w:t>
                  </w:r>
                </w:p>
              </w:tc>
              <w:tc>
                <w:tcPr>
                  <w:tcW w:w="915" w:type="pct"/>
                  <w:noWrap w:val="0"/>
                  <w:vAlign w:val="center"/>
                </w:tcPr>
                <w:p w14:paraId="12EA263C">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单元内最大存储量（t）</w:t>
                  </w:r>
                </w:p>
              </w:tc>
              <w:tc>
                <w:tcPr>
                  <w:tcW w:w="607" w:type="pct"/>
                  <w:noWrap w:val="0"/>
                  <w:vAlign w:val="center"/>
                </w:tcPr>
                <w:p w14:paraId="453B9EDB">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临界量（t）</w:t>
                  </w:r>
                </w:p>
              </w:tc>
              <w:tc>
                <w:tcPr>
                  <w:tcW w:w="922" w:type="pct"/>
                  <w:noWrap w:val="0"/>
                  <w:vAlign w:val="center"/>
                </w:tcPr>
                <w:p w14:paraId="46FC65A9">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危险物质</w:t>
                  </w:r>
                </w:p>
                <w:p w14:paraId="005A608B">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Q值</w:t>
                  </w:r>
                </w:p>
              </w:tc>
            </w:tr>
            <w:tr w14:paraId="23AD10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737" w:type="pct"/>
                  <w:vMerge w:val="restart"/>
                  <w:noWrap w:val="0"/>
                  <w:vAlign w:val="center"/>
                </w:tcPr>
                <w:p w14:paraId="69F76AC2">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生产车间</w:t>
                  </w:r>
                </w:p>
              </w:tc>
              <w:tc>
                <w:tcPr>
                  <w:tcW w:w="1078" w:type="pct"/>
                  <w:noWrap w:val="0"/>
                  <w:vAlign w:val="center"/>
                </w:tcPr>
                <w:p w14:paraId="139A9E8B">
                  <w:pPr>
                    <w:keepNext/>
                    <w:jc w:val="center"/>
                    <w:rPr>
                      <w:rFonts w:hint="eastAsia" w:ascii="Times New Roman" w:hAnsi="Times New Roman" w:eastAsia="宋体" w:cs="Times New Roman"/>
                      <w:color w:val="auto"/>
                      <w:szCs w:val="21"/>
                      <w:lang w:val="en-US" w:eastAsia="zh-CN"/>
                    </w:rPr>
                  </w:pPr>
                  <w:r>
                    <w:rPr>
                      <w:rFonts w:ascii="Times New Roman" w:hAnsi="Times New Roman" w:eastAsia="宋体" w:cs="Times New Roman"/>
                      <w:color w:val="auto"/>
                      <w:szCs w:val="21"/>
                    </w:rPr>
                    <w:t>柴油、机油、</w:t>
                  </w:r>
                  <w:r>
                    <w:rPr>
                      <w:rFonts w:hint="eastAsia" w:ascii="Times New Roman" w:hAnsi="Times New Roman" w:eastAsia="宋体" w:cs="Times New Roman"/>
                      <w:color w:val="auto"/>
                      <w:szCs w:val="21"/>
                    </w:rPr>
                    <w:t>油水分离器浮油</w:t>
                  </w:r>
                  <w:r>
                    <w:rPr>
                      <w:rFonts w:hint="eastAsia" w:ascii="Times New Roman" w:hAnsi="Times New Roman" w:eastAsia="宋体" w:cs="Times New Roman"/>
                      <w:color w:val="auto"/>
                      <w:szCs w:val="21"/>
                      <w:lang w:val="en-US" w:eastAsia="zh-CN"/>
                    </w:rPr>
                    <w:t>等</w:t>
                  </w:r>
                </w:p>
              </w:tc>
              <w:tc>
                <w:tcPr>
                  <w:tcW w:w="739" w:type="pct"/>
                  <w:noWrap w:val="0"/>
                  <w:vAlign w:val="center"/>
                </w:tcPr>
                <w:p w14:paraId="0119F1D7">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w:t>
                  </w:r>
                </w:p>
              </w:tc>
              <w:tc>
                <w:tcPr>
                  <w:tcW w:w="915" w:type="pct"/>
                  <w:noWrap w:val="0"/>
                  <w:vAlign w:val="center"/>
                </w:tcPr>
                <w:p w14:paraId="5718328E">
                  <w:pPr>
                    <w:keepNext/>
                    <w:jc w:val="center"/>
                    <w:rPr>
                      <w:rFonts w:hint="default"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rPr>
                    <w:t>2</w:t>
                  </w:r>
                  <w:r>
                    <w:rPr>
                      <w:rFonts w:hint="eastAsia" w:ascii="Times New Roman" w:hAnsi="Times New Roman" w:eastAsia="宋体" w:cs="Times New Roman"/>
                      <w:color w:val="auto"/>
                      <w:szCs w:val="21"/>
                      <w:lang w:val="en-US" w:eastAsia="zh-CN"/>
                    </w:rPr>
                    <w:t>.5</w:t>
                  </w:r>
                </w:p>
              </w:tc>
              <w:tc>
                <w:tcPr>
                  <w:tcW w:w="607" w:type="pct"/>
                  <w:noWrap w:val="0"/>
                  <w:vAlign w:val="center"/>
                </w:tcPr>
                <w:p w14:paraId="27E7B206">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2500</w:t>
                  </w:r>
                </w:p>
              </w:tc>
              <w:tc>
                <w:tcPr>
                  <w:tcW w:w="922" w:type="pct"/>
                  <w:noWrap w:val="0"/>
                  <w:vAlign w:val="center"/>
                </w:tcPr>
                <w:p w14:paraId="0326CB99">
                  <w:pPr>
                    <w:keepNext/>
                    <w:jc w:val="center"/>
                    <w:rPr>
                      <w:rFonts w:hint="eastAsia" w:ascii="Times New Roman" w:hAnsi="Times New Roman" w:eastAsia="宋体" w:cs="Times New Roman"/>
                      <w:color w:val="auto"/>
                      <w:szCs w:val="21"/>
                      <w:lang w:eastAsia="zh-CN"/>
                    </w:rPr>
                  </w:pPr>
                  <w:r>
                    <w:rPr>
                      <w:rFonts w:ascii="Times New Roman" w:hAnsi="Times New Roman" w:eastAsia="宋体" w:cs="Times New Roman"/>
                      <w:color w:val="auto"/>
                      <w:szCs w:val="21"/>
                    </w:rPr>
                    <w:t>0.00</w:t>
                  </w:r>
                  <w:r>
                    <w:rPr>
                      <w:rFonts w:hint="eastAsia" w:ascii="Times New Roman" w:hAnsi="Times New Roman" w:eastAsia="宋体" w:cs="Times New Roman"/>
                      <w:color w:val="auto"/>
                      <w:szCs w:val="21"/>
                      <w:lang w:val="en-US" w:eastAsia="zh-CN"/>
                    </w:rPr>
                    <w:t>1</w:t>
                  </w:r>
                </w:p>
              </w:tc>
            </w:tr>
            <w:tr w14:paraId="6C47B0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8" w:hRule="atLeast"/>
              </w:trPr>
              <w:tc>
                <w:tcPr>
                  <w:tcW w:w="737" w:type="pct"/>
                  <w:vMerge w:val="continue"/>
                  <w:noWrap w:val="0"/>
                  <w:vAlign w:val="center"/>
                </w:tcPr>
                <w:p w14:paraId="5130DD98">
                  <w:pPr>
                    <w:keepNext/>
                    <w:jc w:val="center"/>
                    <w:rPr>
                      <w:rFonts w:ascii="Times New Roman" w:hAnsi="Times New Roman" w:eastAsia="宋体" w:cs="Times New Roman"/>
                      <w:color w:val="auto"/>
                      <w:szCs w:val="21"/>
                    </w:rPr>
                  </w:pPr>
                </w:p>
              </w:tc>
              <w:tc>
                <w:tcPr>
                  <w:tcW w:w="1078" w:type="pct"/>
                  <w:noWrap w:val="0"/>
                  <w:vAlign w:val="center"/>
                </w:tcPr>
                <w:p w14:paraId="2E78CD19">
                  <w:pPr>
                    <w:keepNext/>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废石棉</w:t>
                  </w:r>
                </w:p>
              </w:tc>
              <w:tc>
                <w:tcPr>
                  <w:tcW w:w="739" w:type="pct"/>
                  <w:noWrap w:val="0"/>
                  <w:vAlign w:val="center"/>
                </w:tcPr>
                <w:p w14:paraId="579BD5DE">
                  <w:pPr>
                    <w:keepNext/>
                    <w:jc w:val="center"/>
                    <w:rPr>
                      <w:rFonts w:ascii="Times New Roman" w:hAnsi="Times New Roman" w:eastAsia="宋体" w:cs="Times New Roman"/>
                      <w:color w:val="auto"/>
                      <w:szCs w:val="21"/>
                      <w:highlight w:val="none"/>
                    </w:rPr>
                  </w:pPr>
                  <w:r>
                    <w:rPr>
                      <w:rFonts w:hint="eastAsia" w:ascii="Times New Roman" w:hAnsi="Times New Roman" w:eastAsia="宋体" w:cs="Times New Roman"/>
                      <w:color w:val="auto"/>
                      <w:szCs w:val="21"/>
                      <w:highlight w:val="none"/>
                    </w:rPr>
                    <w:t>1332-21-4</w:t>
                  </w:r>
                </w:p>
              </w:tc>
              <w:tc>
                <w:tcPr>
                  <w:tcW w:w="915" w:type="pct"/>
                  <w:noWrap w:val="0"/>
                  <w:vAlign w:val="center"/>
                </w:tcPr>
                <w:p w14:paraId="506F1A60">
                  <w:pPr>
                    <w:keepNex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0.1</w:t>
                  </w:r>
                </w:p>
              </w:tc>
              <w:tc>
                <w:tcPr>
                  <w:tcW w:w="607" w:type="pct"/>
                  <w:noWrap w:val="0"/>
                  <w:vAlign w:val="center"/>
                </w:tcPr>
                <w:p w14:paraId="76F75270">
                  <w:pPr>
                    <w:keepNext/>
                    <w:jc w:val="center"/>
                    <w:rPr>
                      <w:rFonts w:hint="eastAsia"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5</w:t>
                  </w:r>
                </w:p>
              </w:tc>
              <w:tc>
                <w:tcPr>
                  <w:tcW w:w="922" w:type="pct"/>
                  <w:noWrap w:val="0"/>
                  <w:vAlign w:val="center"/>
                </w:tcPr>
                <w:p w14:paraId="4A952A04">
                  <w:pPr>
                    <w:keepNext/>
                    <w:jc w:val="center"/>
                    <w:rPr>
                      <w:rFonts w:hint="default" w:ascii="Times New Roman" w:hAnsi="Times New Roman" w:eastAsia="宋体" w:cs="Times New Roman"/>
                      <w:color w:val="auto"/>
                      <w:szCs w:val="21"/>
                      <w:highlight w:val="none"/>
                      <w:lang w:val="en-US" w:eastAsia="zh-CN"/>
                    </w:rPr>
                  </w:pPr>
                  <w:r>
                    <w:rPr>
                      <w:rFonts w:hint="eastAsia" w:cs="Times New Roman"/>
                      <w:color w:val="auto"/>
                      <w:szCs w:val="21"/>
                      <w:highlight w:val="none"/>
                      <w:lang w:val="en-US" w:eastAsia="zh-CN"/>
                    </w:rPr>
                    <w:t>0.02</w:t>
                  </w:r>
                </w:p>
              </w:tc>
            </w:tr>
            <w:tr w14:paraId="063E24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737" w:type="pct"/>
                  <w:vMerge w:val="continue"/>
                  <w:noWrap w:val="0"/>
                  <w:vAlign w:val="center"/>
                </w:tcPr>
                <w:p w14:paraId="5E3885A0">
                  <w:pPr>
                    <w:keepNext/>
                    <w:jc w:val="center"/>
                    <w:rPr>
                      <w:rFonts w:ascii="Times New Roman" w:hAnsi="Times New Roman" w:eastAsia="宋体" w:cs="Times New Roman"/>
                      <w:color w:val="auto"/>
                      <w:szCs w:val="21"/>
                    </w:rPr>
                  </w:pPr>
                </w:p>
              </w:tc>
              <w:tc>
                <w:tcPr>
                  <w:tcW w:w="1078" w:type="pct"/>
                  <w:noWrap w:val="0"/>
                  <w:vAlign w:val="center"/>
                </w:tcPr>
                <w:p w14:paraId="3A0967ED">
                  <w:pPr>
                    <w:keepNext/>
                    <w:jc w:val="center"/>
                    <w:rPr>
                      <w:rFonts w:hint="eastAsia" w:ascii="Times New Roman" w:hAnsi="Times New Roman" w:eastAsia="宋体" w:cs="Times New Roman"/>
                      <w:color w:val="auto"/>
                      <w:szCs w:val="21"/>
                    </w:rPr>
                  </w:pPr>
                  <w:r>
                    <w:rPr>
                      <w:rFonts w:hint="eastAsia" w:ascii="Times New Roman" w:hAnsi="Times New Roman" w:eastAsia="宋体" w:cs="Times New Roman"/>
                      <w:color w:val="auto"/>
                      <w:szCs w:val="21"/>
                    </w:rPr>
                    <w:t>废蓄电池（硫酸）</w:t>
                  </w:r>
                </w:p>
              </w:tc>
              <w:tc>
                <w:tcPr>
                  <w:tcW w:w="739" w:type="pct"/>
                  <w:noWrap w:val="0"/>
                  <w:vAlign w:val="center"/>
                </w:tcPr>
                <w:p w14:paraId="35E9B0AD">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7664-93-9</w:t>
                  </w:r>
                </w:p>
              </w:tc>
              <w:tc>
                <w:tcPr>
                  <w:tcW w:w="915" w:type="pct"/>
                  <w:noWrap w:val="0"/>
                  <w:vAlign w:val="center"/>
                </w:tcPr>
                <w:p w14:paraId="4632CC64">
                  <w:pPr>
                    <w:keepNext/>
                    <w:jc w:val="center"/>
                    <w:rPr>
                      <w:rFonts w:hint="eastAsia" w:ascii="Times New Roman" w:hAnsi="Times New Roman" w:eastAsia="宋体" w:cs="Times New Roman"/>
                      <w:color w:val="auto"/>
                      <w:szCs w:val="21"/>
                      <w:lang w:val="en-US" w:eastAsia="zh-CN"/>
                    </w:rPr>
                  </w:pPr>
                  <w:r>
                    <w:rPr>
                      <w:rFonts w:hint="eastAsia" w:ascii="Times New Roman" w:hAnsi="Times New Roman" w:eastAsia="宋体" w:cs="Times New Roman"/>
                      <w:color w:val="auto"/>
                      <w:szCs w:val="21"/>
                    </w:rPr>
                    <w:t>0.</w:t>
                  </w:r>
                  <w:r>
                    <w:rPr>
                      <w:rFonts w:hint="eastAsia" w:cs="Times New Roman"/>
                      <w:color w:val="auto"/>
                      <w:szCs w:val="21"/>
                      <w:lang w:val="en-US" w:eastAsia="zh-CN"/>
                    </w:rPr>
                    <w:t>4</w:t>
                  </w:r>
                </w:p>
              </w:tc>
              <w:tc>
                <w:tcPr>
                  <w:tcW w:w="607" w:type="pct"/>
                  <w:noWrap w:val="0"/>
                  <w:vAlign w:val="center"/>
                </w:tcPr>
                <w:p w14:paraId="08F06D8B">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10</w:t>
                  </w:r>
                </w:p>
              </w:tc>
              <w:tc>
                <w:tcPr>
                  <w:tcW w:w="922" w:type="pct"/>
                  <w:noWrap w:val="0"/>
                  <w:vAlign w:val="center"/>
                </w:tcPr>
                <w:p w14:paraId="5D4689BD">
                  <w:pPr>
                    <w:keepNext/>
                    <w:jc w:val="center"/>
                    <w:rPr>
                      <w:rFonts w:hint="eastAsia" w:ascii="Times New Roman" w:hAnsi="Times New Roman" w:eastAsia="宋体" w:cs="Times New Roman"/>
                      <w:color w:val="auto"/>
                      <w:szCs w:val="21"/>
                      <w:lang w:val="en-US" w:eastAsia="zh-CN"/>
                    </w:rPr>
                  </w:pPr>
                  <w:r>
                    <w:rPr>
                      <w:rFonts w:ascii="Times New Roman" w:hAnsi="Times New Roman" w:eastAsia="宋体" w:cs="Times New Roman"/>
                      <w:color w:val="auto"/>
                      <w:szCs w:val="21"/>
                    </w:rPr>
                    <w:t>0.0</w:t>
                  </w:r>
                  <w:r>
                    <w:rPr>
                      <w:rFonts w:hint="eastAsia" w:cs="Times New Roman"/>
                      <w:color w:val="auto"/>
                      <w:szCs w:val="21"/>
                      <w:lang w:val="en-US" w:eastAsia="zh-CN"/>
                    </w:rPr>
                    <w:t>4</w:t>
                  </w:r>
                </w:p>
              </w:tc>
            </w:tr>
            <w:tr w14:paraId="7A1CC9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trPr>
              <w:tc>
                <w:tcPr>
                  <w:tcW w:w="4077" w:type="pct"/>
                  <w:gridSpan w:val="5"/>
                  <w:noWrap w:val="0"/>
                  <w:vAlign w:val="center"/>
                </w:tcPr>
                <w:p w14:paraId="5EF60C26">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Q值</w:t>
                  </w:r>
                </w:p>
              </w:tc>
              <w:tc>
                <w:tcPr>
                  <w:tcW w:w="922" w:type="pct"/>
                  <w:noWrap w:val="0"/>
                  <w:vAlign w:val="center"/>
                </w:tcPr>
                <w:p w14:paraId="2F35CCAC">
                  <w:pPr>
                    <w:keepNext/>
                    <w:jc w:val="center"/>
                    <w:rPr>
                      <w:rFonts w:hint="eastAsia" w:ascii="Times New Roman" w:hAnsi="Times New Roman" w:eastAsia="宋体" w:cs="Times New Roman"/>
                      <w:color w:val="auto"/>
                      <w:szCs w:val="21"/>
                      <w:lang w:eastAsia="zh-CN"/>
                    </w:rPr>
                  </w:pPr>
                  <w:r>
                    <w:rPr>
                      <w:rFonts w:ascii="Times New Roman" w:hAnsi="Times New Roman" w:eastAsia="宋体" w:cs="Times New Roman"/>
                      <w:color w:val="auto"/>
                      <w:szCs w:val="21"/>
                    </w:rPr>
                    <w:t>0.0</w:t>
                  </w:r>
                  <w:r>
                    <w:rPr>
                      <w:rFonts w:hint="eastAsia" w:cs="Times New Roman"/>
                      <w:color w:val="auto"/>
                      <w:szCs w:val="21"/>
                      <w:lang w:val="en-US" w:eastAsia="zh-CN"/>
                    </w:rPr>
                    <w:t>6</w:t>
                  </w:r>
                  <w:r>
                    <w:rPr>
                      <w:rFonts w:hint="eastAsia" w:ascii="Times New Roman" w:hAnsi="Times New Roman" w:eastAsia="宋体" w:cs="Times New Roman"/>
                      <w:color w:val="auto"/>
                      <w:szCs w:val="21"/>
                      <w:lang w:val="en-US" w:eastAsia="zh-CN"/>
                    </w:rPr>
                    <w:t>1</w:t>
                  </w:r>
                </w:p>
              </w:tc>
            </w:tr>
          </w:tbl>
          <w:p w14:paraId="647457F7">
            <w:pPr>
              <w:keepNext/>
              <w:jc w:val="center"/>
              <w:rPr>
                <w:rFonts w:ascii="Times New Roman" w:hAnsi="Times New Roman" w:eastAsia="宋体" w:cs="Times New Roman"/>
                <w:b/>
                <w:bCs/>
                <w:color w:val="auto"/>
                <w:szCs w:val="21"/>
              </w:rPr>
            </w:pPr>
            <w:r>
              <w:rPr>
                <w:rFonts w:ascii="Times New Roman" w:hAnsi="Times New Roman" w:eastAsia="宋体" w:cs="Times New Roman"/>
                <w:b/>
                <w:bCs/>
                <w:color w:val="auto"/>
                <w:szCs w:val="21"/>
              </w:rPr>
              <w:t>表4-</w:t>
            </w:r>
            <w:r>
              <w:rPr>
                <w:rFonts w:hint="eastAsia" w:ascii="Times New Roman" w:hAnsi="Times New Roman" w:eastAsia="宋体" w:cs="Times New Roman"/>
                <w:b/>
                <w:bCs/>
                <w:color w:val="auto"/>
                <w:szCs w:val="21"/>
                <w:lang w:val="en-US" w:eastAsia="zh-CN"/>
              </w:rPr>
              <w:t>1</w:t>
            </w:r>
            <w:r>
              <w:rPr>
                <w:rFonts w:hint="eastAsia" w:cs="Times New Roman"/>
                <w:b/>
                <w:bCs/>
                <w:color w:val="auto"/>
                <w:szCs w:val="21"/>
                <w:lang w:val="en-US" w:eastAsia="zh-CN"/>
              </w:rPr>
              <w:t>4</w:t>
            </w:r>
            <w:r>
              <w:rPr>
                <w:rFonts w:ascii="Times New Roman" w:hAnsi="Times New Roman" w:eastAsia="宋体" w:cs="Times New Roman"/>
                <w:b/>
                <w:bCs/>
                <w:color w:val="auto"/>
                <w:szCs w:val="21"/>
              </w:rPr>
              <w:t>环境风险评价工作等级划分</w:t>
            </w:r>
          </w:p>
          <w:tbl>
            <w:tblPr>
              <w:tblStyle w:val="19"/>
              <w:tblW w:w="4998"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528"/>
              <w:gridCol w:w="1441"/>
              <w:gridCol w:w="1495"/>
              <w:gridCol w:w="1851"/>
              <w:gridCol w:w="1430"/>
            </w:tblGrid>
            <w:tr w14:paraId="2FAFB3A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33" w:hRule="atLeast"/>
                <w:jc w:val="center"/>
              </w:trPr>
              <w:tc>
                <w:tcPr>
                  <w:tcW w:w="987" w:type="pct"/>
                  <w:tcBorders>
                    <w:top w:val="single" w:color="000000" w:sz="12" w:space="0"/>
                    <w:left w:val="nil"/>
                    <w:bottom w:val="single" w:color="000000" w:sz="4" w:space="0"/>
                    <w:right w:val="single" w:color="000000" w:sz="4" w:space="0"/>
                  </w:tcBorders>
                  <w:noWrap w:val="0"/>
                  <w:vAlign w:val="center"/>
                </w:tcPr>
                <w:p w14:paraId="46FA631A">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环境风险潜势</w:t>
                  </w:r>
                </w:p>
              </w:tc>
              <w:tc>
                <w:tcPr>
                  <w:tcW w:w="930" w:type="pct"/>
                  <w:tcBorders>
                    <w:top w:val="single" w:color="000000" w:sz="12" w:space="0"/>
                    <w:left w:val="single" w:color="000000" w:sz="4" w:space="0"/>
                    <w:bottom w:val="single" w:color="000000" w:sz="4" w:space="0"/>
                    <w:right w:val="single" w:color="000000" w:sz="4" w:space="0"/>
                  </w:tcBorders>
                  <w:noWrap w:val="0"/>
                  <w:vAlign w:val="center"/>
                </w:tcPr>
                <w:p w14:paraId="10A6561A">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Ⅳ、Ⅳ+</w:t>
                  </w:r>
                </w:p>
              </w:tc>
              <w:tc>
                <w:tcPr>
                  <w:tcW w:w="965" w:type="pct"/>
                  <w:tcBorders>
                    <w:top w:val="single" w:color="000000" w:sz="12" w:space="0"/>
                    <w:left w:val="single" w:color="000000" w:sz="4" w:space="0"/>
                    <w:bottom w:val="single" w:color="000000" w:sz="4" w:space="0"/>
                    <w:right w:val="single" w:color="000000" w:sz="4" w:space="0"/>
                  </w:tcBorders>
                  <w:noWrap w:val="0"/>
                  <w:vAlign w:val="center"/>
                </w:tcPr>
                <w:p w14:paraId="5FF7BDFF">
                  <w:pPr>
                    <w:keepNext/>
                    <w:spacing w:line="36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Ⅲ</w:t>
                  </w:r>
                </w:p>
              </w:tc>
              <w:tc>
                <w:tcPr>
                  <w:tcW w:w="1195" w:type="pct"/>
                  <w:tcBorders>
                    <w:top w:val="single" w:color="000000" w:sz="12" w:space="0"/>
                    <w:left w:val="single" w:color="000000" w:sz="4" w:space="0"/>
                    <w:bottom w:val="single" w:color="000000" w:sz="4" w:space="0"/>
                    <w:right w:val="single" w:color="000000" w:sz="4" w:space="0"/>
                  </w:tcBorders>
                  <w:noWrap w:val="0"/>
                  <w:vAlign w:val="center"/>
                </w:tcPr>
                <w:p w14:paraId="57085059">
                  <w:pPr>
                    <w:keepNext/>
                    <w:spacing w:line="36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Ⅱ</w:t>
                  </w:r>
                </w:p>
              </w:tc>
              <w:tc>
                <w:tcPr>
                  <w:tcW w:w="920" w:type="pct"/>
                  <w:tcBorders>
                    <w:top w:val="single" w:color="000000" w:sz="12" w:space="0"/>
                    <w:left w:val="single" w:color="000000" w:sz="4" w:space="0"/>
                    <w:bottom w:val="single" w:color="000000" w:sz="4" w:space="0"/>
                    <w:right w:val="nil"/>
                  </w:tcBorders>
                  <w:noWrap w:val="0"/>
                  <w:vAlign w:val="center"/>
                </w:tcPr>
                <w:p w14:paraId="2CEA092C">
                  <w:pPr>
                    <w:keepNext/>
                    <w:spacing w:line="36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Ⅰ</w:t>
                  </w:r>
                </w:p>
              </w:tc>
            </w:tr>
            <w:tr w14:paraId="6EB0F92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11" w:hRule="atLeast"/>
                <w:jc w:val="center"/>
              </w:trPr>
              <w:tc>
                <w:tcPr>
                  <w:tcW w:w="987" w:type="pct"/>
                  <w:tcBorders>
                    <w:top w:val="single" w:color="000000" w:sz="4" w:space="0"/>
                    <w:left w:val="nil"/>
                    <w:bottom w:val="single" w:color="000000" w:sz="4" w:space="0"/>
                    <w:right w:val="single" w:color="000000" w:sz="4" w:space="0"/>
                  </w:tcBorders>
                  <w:noWrap w:val="0"/>
                  <w:vAlign w:val="center"/>
                </w:tcPr>
                <w:p w14:paraId="3F24DB63">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评价工作等级</w:t>
                  </w:r>
                </w:p>
              </w:tc>
              <w:tc>
                <w:tcPr>
                  <w:tcW w:w="930" w:type="pct"/>
                  <w:tcBorders>
                    <w:top w:val="single" w:color="000000" w:sz="4" w:space="0"/>
                    <w:left w:val="single" w:color="000000" w:sz="4" w:space="0"/>
                    <w:bottom w:val="single" w:color="000000" w:sz="4" w:space="0"/>
                    <w:right w:val="single" w:color="000000" w:sz="4" w:space="0"/>
                  </w:tcBorders>
                  <w:noWrap w:val="0"/>
                  <w:vAlign w:val="center"/>
                </w:tcPr>
                <w:p w14:paraId="17DEF065">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一</w:t>
                  </w:r>
                </w:p>
              </w:tc>
              <w:tc>
                <w:tcPr>
                  <w:tcW w:w="965" w:type="pct"/>
                  <w:tcBorders>
                    <w:top w:val="single" w:color="000000" w:sz="4" w:space="0"/>
                    <w:left w:val="single" w:color="000000" w:sz="4" w:space="0"/>
                    <w:bottom w:val="single" w:color="000000" w:sz="4" w:space="0"/>
                    <w:right w:val="single" w:color="000000" w:sz="4" w:space="0"/>
                  </w:tcBorders>
                  <w:noWrap w:val="0"/>
                  <w:vAlign w:val="center"/>
                </w:tcPr>
                <w:p w14:paraId="33E5B406">
                  <w:pPr>
                    <w:keepNext/>
                    <w:spacing w:line="36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二</w:t>
                  </w:r>
                </w:p>
              </w:tc>
              <w:tc>
                <w:tcPr>
                  <w:tcW w:w="1195" w:type="pct"/>
                  <w:tcBorders>
                    <w:top w:val="single" w:color="000000" w:sz="4" w:space="0"/>
                    <w:left w:val="single" w:color="000000" w:sz="4" w:space="0"/>
                    <w:bottom w:val="single" w:color="000000" w:sz="4" w:space="0"/>
                    <w:right w:val="single" w:color="000000" w:sz="4" w:space="0"/>
                  </w:tcBorders>
                  <w:noWrap w:val="0"/>
                  <w:vAlign w:val="center"/>
                </w:tcPr>
                <w:p w14:paraId="03584996">
                  <w:pPr>
                    <w:keepNext/>
                    <w:spacing w:line="36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三</w:t>
                  </w:r>
                </w:p>
              </w:tc>
              <w:tc>
                <w:tcPr>
                  <w:tcW w:w="920" w:type="pct"/>
                  <w:tcBorders>
                    <w:top w:val="single" w:color="000000" w:sz="4" w:space="0"/>
                    <w:left w:val="single" w:color="000000" w:sz="4" w:space="0"/>
                    <w:bottom w:val="single" w:color="000000" w:sz="4" w:space="0"/>
                    <w:right w:val="nil"/>
                  </w:tcBorders>
                  <w:noWrap w:val="0"/>
                  <w:vAlign w:val="center"/>
                </w:tcPr>
                <w:p w14:paraId="19EB766F">
                  <w:pPr>
                    <w:keepNext/>
                    <w:spacing w:line="360" w:lineRule="exact"/>
                    <w:jc w:val="center"/>
                    <w:rPr>
                      <w:rFonts w:ascii="Times New Roman" w:hAnsi="Times New Roman" w:eastAsia="宋体" w:cs="Times New Roman"/>
                      <w:color w:val="auto"/>
                      <w:szCs w:val="21"/>
                    </w:rPr>
                  </w:pPr>
                  <w:r>
                    <w:rPr>
                      <w:rFonts w:ascii="Times New Roman" w:hAnsi="Times New Roman" w:eastAsia="宋体" w:cs="Times New Roman"/>
                      <w:color w:val="auto"/>
                      <w:szCs w:val="21"/>
                    </w:rPr>
                    <w:t>简单分析a</w:t>
                  </w:r>
                </w:p>
              </w:tc>
            </w:tr>
            <w:tr w14:paraId="627D4FF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649" w:hRule="atLeast"/>
                <w:jc w:val="center"/>
              </w:trPr>
              <w:tc>
                <w:tcPr>
                  <w:tcW w:w="5000" w:type="pct"/>
                  <w:gridSpan w:val="5"/>
                  <w:tcBorders>
                    <w:top w:val="single" w:color="000000" w:sz="4" w:space="0"/>
                    <w:left w:val="nil"/>
                    <w:bottom w:val="single" w:color="000000" w:sz="12" w:space="0"/>
                    <w:right w:val="nil"/>
                  </w:tcBorders>
                  <w:noWrap w:val="0"/>
                  <w:vAlign w:val="center"/>
                </w:tcPr>
                <w:p w14:paraId="1F6192A2">
                  <w:pPr>
                    <w:keepNext/>
                    <w:jc w:val="center"/>
                    <w:rPr>
                      <w:rFonts w:ascii="Times New Roman" w:hAnsi="Times New Roman" w:eastAsia="宋体" w:cs="Times New Roman"/>
                      <w:color w:val="auto"/>
                      <w:szCs w:val="21"/>
                    </w:rPr>
                  </w:pPr>
                  <w:r>
                    <w:rPr>
                      <w:rFonts w:ascii="Times New Roman" w:hAnsi="Times New Roman" w:eastAsia="宋体" w:cs="Times New Roman"/>
                      <w:color w:val="auto"/>
                      <w:szCs w:val="21"/>
                    </w:rPr>
                    <w:t>a是相对于详细评价工作内容而言，在描述危险物质、环境影响途径、环境危害后果、风险防范措施等方面给出的定型说明。见附录A。</w:t>
                  </w:r>
                </w:p>
              </w:tc>
            </w:tr>
          </w:tbl>
          <w:p w14:paraId="249F51DB">
            <w:pPr>
              <w:keepNext/>
              <w:tabs>
                <w:tab w:val="left" w:leader="middleDot" w:pos="0"/>
              </w:tabs>
              <w:adjustRightInd w:val="0"/>
              <w:snapToGrid w:val="0"/>
              <w:spacing w:line="360" w:lineRule="auto"/>
              <w:ind w:firstLine="480" w:firstLineChars="200"/>
              <w:rPr>
                <w:rFonts w:ascii="Times New Roman" w:hAnsi="Times New Roman" w:eastAsia="宋体" w:cs="Times New Roman"/>
                <w:color w:val="auto"/>
                <w:sz w:val="24"/>
              </w:rPr>
            </w:pPr>
            <w:r>
              <w:rPr>
                <w:rFonts w:ascii="Times New Roman" w:hAnsi="Times New Roman" w:eastAsia="宋体" w:cs="Times New Roman"/>
                <w:color w:val="auto"/>
                <w:sz w:val="24"/>
              </w:rPr>
              <w:t>经计算Q=0.0</w:t>
            </w:r>
            <w:r>
              <w:rPr>
                <w:rFonts w:hint="eastAsia" w:cs="Times New Roman"/>
                <w:color w:val="auto"/>
                <w:sz w:val="24"/>
                <w:lang w:val="en-US" w:eastAsia="zh-CN"/>
              </w:rPr>
              <w:t>6</w:t>
            </w:r>
            <w:r>
              <w:rPr>
                <w:rFonts w:hint="eastAsia" w:ascii="Times New Roman" w:hAnsi="Times New Roman" w:eastAsia="宋体" w:cs="Times New Roman"/>
                <w:color w:val="auto"/>
                <w:sz w:val="24"/>
                <w:lang w:val="en-US" w:eastAsia="zh-CN"/>
              </w:rPr>
              <w:t>1</w:t>
            </w:r>
            <w:r>
              <w:rPr>
                <w:rFonts w:ascii="Times New Roman" w:hAnsi="Times New Roman" w:eastAsia="宋体" w:cs="Times New Roman"/>
                <w:color w:val="auto"/>
                <w:sz w:val="24"/>
              </w:rPr>
              <w:t>＜1，本项目环境风险潜势为Ⅰ，故本项目环境风险只需进行简单分析。</w:t>
            </w:r>
          </w:p>
          <w:p w14:paraId="54A099EB">
            <w:pPr>
              <w:pStyle w:val="109"/>
              <w:ind w:firstLine="480"/>
              <w:rPr>
                <w:rFonts w:ascii="Times New Roman" w:hAnsi="Times New Roman" w:eastAsia="宋体" w:cs="Times New Roman"/>
                <w:b/>
                <w:bCs/>
                <w:color w:val="auto"/>
                <w:kern w:val="0"/>
                <w:sz w:val="24"/>
                <w:szCs w:val="24"/>
                <w:lang w:val="en-US" w:eastAsia="zh-CN" w:bidi="ar-SA"/>
              </w:rPr>
            </w:pPr>
            <w:r>
              <w:rPr>
                <w:rFonts w:hint="eastAsia" w:ascii="Times New Roman" w:hAnsi="Times New Roman" w:eastAsia="宋体" w:cs="Times New Roman"/>
                <w:b/>
                <w:bCs/>
                <w:color w:val="auto"/>
                <w:kern w:val="0"/>
                <w:sz w:val="24"/>
                <w:szCs w:val="24"/>
                <w:lang w:val="en-US" w:eastAsia="zh-CN" w:bidi="ar-SA"/>
              </w:rPr>
              <w:t>（三）风险分析</w:t>
            </w:r>
          </w:p>
          <w:p w14:paraId="5D12D324">
            <w:pPr>
              <w:pStyle w:val="109"/>
              <w:ind w:firstLine="480"/>
              <w:rPr>
                <w:color w:val="auto"/>
                <w:szCs w:val="24"/>
                <w:u w:val="none"/>
              </w:rPr>
            </w:pPr>
            <w:r>
              <w:rPr>
                <w:rFonts w:hint="eastAsia"/>
                <w:color w:val="auto"/>
                <w:szCs w:val="24"/>
                <w:u w:val="none"/>
              </w:rPr>
              <w:t>（1）废油液泄漏、油箱拆解遇明火造成火灾爆炸风险事故影响分析</w:t>
            </w:r>
          </w:p>
          <w:p w14:paraId="523DD658">
            <w:pPr>
              <w:pStyle w:val="109"/>
              <w:ind w:firstLine="480"/>
              <w:rPr>
                <w:color w:val="auto"/>
                <w:szCs w:val="24"/>
                <w:u w:val="none"/>
              </w:rPr>
            </w:pPr>
            <w:r>
              <w:rPr>
                <w:rFonts w:hint="eastAsia"/>
                <w:color w:val="auto"/>
                <w:szCs w:val="24"/>
                <w:u w:val="none"/>
              </w:rPr>
              <w:t>若柴油、废油液等危险物质发生泄漏，若遇到火源很容易就会被点燃而引发火灾，火灾燃烧产生的废气次生污染以及消防过程产生的消防废水也可能对区域空气、地表水、土壤、地下水等环境因素造成污染。</w:t>
            </w:r>
          </w:p>
          <w:p w14:paraId="2A3C3AEC">
            <w:pPr>
              <w:pStyle w:val="109"/>
              <w:ind w:firstLine="480"/>
              <w:rPr>
                <w:color w:val="auto"/>
                <w:szCs w:val="24"/>
                <w:u w:val="none"/>
              </w:rPr>
            </w:pPr>
            <w:r>
              <w:rPr>
                <w:rFonts w:hint="eastAsia"/>
                <w:color w:val="auto"/>
                <w:szCs w:val="24"/>
                <w:u w:val="none"/>
              </w:rPr>
              <w:t>（2）铅酸电池电解液泄漏风险事故影响分析</w:t>
            </w:r>
          </w:p>
          <w:p w14:paraId="71A880F0">
            <w:pPr>
              <w:pStyle w:val="109"/>
              <w:ind w:firstLine="480"/>
              <w:rPr>
                <w:color w:val="auto"/>
                <w:szCs w:val="24"/>
                <w:u w:val="single"/>
              </w:rPr>
            </w:pPr>
            <w:r>
              <w:rPr>
                <w:rFonts w:hint="eastAsia"/>
                <w:color w:val="auto"/>
                <w:szCs w:val="24"/>
                <w:u w:val="none"/>
              </w:rPr>
              <w:t>废铅酸蓄电池采用专用的存放箱存放，若在搬运过程中箱子跌落，电池破损，泄漏的电解液直接泄漏在储存箱内。开启储存箱进行清理时，电解液中的硫酸少量挥发，对事故处理的工作人员和场区内环境空气造成影响，电解液泄漏至环境中可能对环境空气、地下水产生影响。</w:t>
            </w:r>
          </w:p>
          <w:p w14:paraId="5229824F">
            <w:pPr>
              <w:pStyle w:val="109"/>
              <w:ind w:firstLine="480"/>
              <w:rPr>
                <w:rFonts w:hint="eastAsia" w:ascii="Times New Roman" w:hAnsi="Times New Roman" w:eastAsia="宋体" w:cs="Times New Roman"/>
                <w:b/>
                <w:bCs/>
                <w:color w:val="auto"/>
                <w:kern w:val="0"/>
                <w:sz w:val="24"/>
                <w:szCs w:val="24"/>
                <w:lang w:val="en-US" w:eastAsia="zh-CN" w:bidi="ar-SA"/>
              </w:rPr>
            </w:pPr>
            <w:r>
              <w:rPr>
                <w:rFonts w:hint="eastAsia" w:ascii="Times New Roman" w:hAnsi="Times New Roman" w:eastAsia="宋体" w:cs="Times New Roman"/>
                <w:b/>
                <w:bCs/>
                <w:color w:val="auto"/>
                <w:kern w:val="0"/>
                <w:sz w:val="24"/>
                <w:szCs w:val="24"/>
                <w:lang w:val="en-US" w:eastAsia="zh-CN" w:bidi="ar-SA"/>
              </w:rPr>
              <w:t>（四）风险防范措施</w:t>
            </w:r>
          </w:p>
          <w:p w14:paraId="5C60037D">
            <w:pPr>
              <w:pStyle w:val="109"/>
              <w:ind w:firstLine="480"/>
              <w:rPr>
                <w:color w:val="auto"/>
                <w:szCs w:val="24"/>
              </w:rPr>
            </w:pPr>
            <w:r>
              <w:rPr>
                <w:rFonts w:hint="eastAsia"/>
                <w:color w:val="auto"/>
                <w:szCs w:val="24"/>
              </w:rPr>
              <w:t>（1）危险废物储存运输过程中风险防范措施</w:t>
            </w:r>
          </w:p>
          <w:p w14:paraId="5E9E89E0">
            <w:pPr>
              <w:pStyle w:val="109"/>
              <w:ind w:firstLine="480"/>
              <w:rPr>
                <w:color w:val="auto"/>
                <w:szCs w:val="24"/>
              </w:rPr>
            </w:pPr>
            <w:r>
              <w:rPr>
                <w:rFonts w:hint="eastAsia"/>
                <w:color w:val="auto"/>
                <w:szCs w:val="24"/>
              </w:rPr>
              <w:t>贮存要求：①危险废物暂存间门口需张贴标注规范的危险废物标识和信息板，屋内张贴《危险废物管理制度》；</w:t>
            </w:r>
          </w:p>
          <w:p w14:paraId="75213331">
            <w:pPr>
              <w:pStyle w:val="109"/>
              <w:ind w:firstLine="480"/>
              <w:rPr>
                <w:color w:val="auto"/>
                <w:szCs w:val="24"/>
              </w:rPr>
            </w:pPr>
            <w:r>
              <w:rPr>
                <w:rFonts w:hint="eastAsia"/>
                <w:color w:val="auto"/>
                <w:szCs w:val="24"/>
              </w:rPr>
              <w:t>②不同的危险废物应有明显的区域划分，液态危险废物需盛装在完好的容器内，并将容器防治在防泄漏托盘内，并在容器粘贴危险废物信息标签；固态危险废物需包装完好无破损，并系挂危险废物信息标签。</w:t>
            </w:r>
          </w:p>
          <w:p w14:paraId="478531BE">
            <w:pPr>
              <w:pStyle w:val="109"/>
              <w:ind w:firstLine="480"/>
              <w:rPr>
                <w:color w:val="auto"/>
                <w:szCs w:val="24"/>
              </w:rPr>
            </w:pPr>
            <w:r>
              <w:rPr>
                <w:rFonts w:hint="eastAsia"/>
                <w:color w:val="auto"/>
                <w:szCs w:val="24"/>
              </w:rPr>
              <w:t>③需按危险废物转移三联单的要求做好危险废物台账，危险废物暂存间内禁止存放陈危险废物及应急工具以外的其他物品。产生的危险废物应每个月都进行转移处理。危险废物的储存、处置过程中必须严格执行国家《危险废物贮存污染控制标准》(GB18597-2001)及《危险化学品安全管理条例》的有关规定。</w:t>
            </w:r>
          </w:p>
          <w:p w14:paraId="0ED53B88">
            <w:pPr>
              <w:pStyle w:val="109"/>
              <w:ind w:firstLine="480"/>
              <w:rPr>
                <w:color w:val="auto"/>
                <w:szCs w:val="24"/>
                <w:u w:val="none"/>
              </w:rPr>
            </w:pPr>
            <w:r>
              <w:rPr>
                <w:rFonts w:hint="eastAsia"/>
                <w:color w:val="auto"/>
                <w:szCs w:val="24"/>
                <w:u w:val="none"/>
              </w:rPr>
              <w:t>泄漏措施：①一旦发生泄漏，首先要疏散无关人员，隔离泄漏污染区，如果是小量的泄漏，且物料不具有危险性，同时能为该工作区的人员所控制时，则由该工作区的人员佩戴使用相应的个人防护用品,参照危险化学品安全技术说明书及标签上的安全信息采取控制措施;如果泄漏易燃品，则必须立即消除泄漏污染区域内的各种火源。</w:t>
            </w:r>
          </w:p>
          <w:p w14:paraId="58AC21AB">
            <w:pPr>
              <w:pStyle w:val="109"/>
              <w:ind w:firstLine="480"/>
              <w:rPr>
                <w:color w:val="auto"/>
                <w:szCs w:val="24"/>
                <w:u w:val="none"/>
              </w:rPr>
            </w:pPr>
            <w:r>
              <w:rPr>
                <w:rFonts w:hint="eastAsia"/>
                <w:color w:val="auto"/>
                <w:szCs w:val="24"/>
                <w:u w:val="none"/>
              </w:rPr>
              <w:t>②容器发生泄漏，应根据实际情况，采取措施堵塞和修补裂口，制止进一步泄漏，或转换容器（利用包装空桶闲置储缸）。</w:t>
            </w:r>
          </w:p>
          <w:p w14:paraId="4805A067">
            <w:pPr>
              <w:pStyle w:val="109"/>
              <w:ind w:firstLine="480"/>
              <w:rPr>
                <w:color w:val="auto"/>
                <w:szCs w:val="24"/>
                <w:u w:val="none"/>
              </w:rPr>
            </w:pPr>
            <w:r>
              <w:rPr>
                <w:rFonts w:hint="eastAsia"/>
                <w:color w:val="auto"/>
                <w:szCs w:val="24"/>
                <w:u w:val="none"/>
              </w:rPr>
              <w:t>③拆解区以及危险品仓库四周均设置导流槽，将泄漏物质导流入应急池，得以有效的处理，避免危险有毒物质流入外界造成环境污染。</w:t>
            </w:r>
          </w:p>
          <w:p w14:paraId="7266A12D">
            <w:pPr>
              <w:pStyle w:val="109"/>
              <w:ind w:firstLine="480"/>
              <w:rPr>
                <w:color w:val="FF0000"/>
                <w:szCs w:val="24"/>
                <w:u w:val="none"/>
              </w:rPr>
            </w:pPr>
            <w:r>
              <w:rPr>
                <w:rFonts w:hint="eastAsia"/>
                <w:color w:val="FF0000"/>
                <w:szCs w:val="24"/>
                <w:u w:val="none"/>
              </w:rPr>
              <w:t>④对于发生泄漏引起火灾等事故应把消防产生的废水收集在应急池中，灭火处理完毕后将该废水送至有资质的公司处理，严禁泄漏到环境中去，造成环境风险事故。</w:t>
            </w:r>
          </w:p>
          <w:p w14:paraId="5BBF81C0">
            <w:pPr>
              <w:pStyle w:val="109"/>
              <w:ind w:firstLine="480"/>
              <w:rPr>
                <w:color w:val="FF0000"/>
                <w:szCs w:val="24"/>
                <w:u w:val="none"/>
              </w:rPr>
            </w:pPr>
            <w:r>
              <w:rPr>
                <w:rFonts w:hint="eastAsia"/>
                <w:color w:val="FF0000"/>
                <w:szCs w:val="24"/>
                <w:u w:val="none"/>
              </w:rPr>
              <w:t>⑤当拆解过程中发生单个蓄电池破损、电解液泄漏，及时用收集容器对泄漏液体进行收集、密封保存，少量滴落的电解液采用石灰、活性炭等吸附材料覆盖，吸附材料收集后作为危废交由有资质的单位处置。当处理储存箱内泄漏电解液，需将破损的和完好的电池取出、分开隔离贮存，箱内电解液采用专用收集容器收集、密封保存。处理事故的工作人员在进行清理工作时须穿戴防护服、防腐蚀手套、口罩等防护用品，避免在操作中受到伤害。</w:t>
            </w:r>
          </w:p>
          <w:p w14:paraId="50970705">
            <w:pPr>
              <w:pStyle w:val="109"/>
              <w:ind w:firstLine="480"/>
              <w:rPr>
                <w:color w:val="auto"/>
                <w:szCs w:val="24"/>
                <w:u w:val="none"/>
              </w:rPr>
            </w:pPr>
            <w:r>
              <w:rPr>
                <w:rFonts w:hint="eastAsia"/>
                <w:color w:val="auto"/>
                <w:szCs w:val="24"/>
                <w:u w:val="none"/>
              </w:rPr>
              <w:t>（2）消防及火灾报警系统</w:t>
            </w:r>
          </w:p>
          <w:p w14:paraId="565A89E4">
            <w:pPr>
              <w:pStyle w:val="109"/>
              <w:ind w:firstLine="480"/>
              <w:rPr>
                <w:color w:val="auto"/>
                <w:szCs w:val="24"/>
                <w:u w:val="none"/>
              </w:rPr>
            </w:pPr>
            <w:r>
              <w:rPr>
                <w:rFonts w:hint="eastAsia"/>
                <w:color w:val="auto"/>
                <w:szCs w:val="24"/>
                <w:u w:val="none"/>
              </w:rPr>
              <w:t>①拆解车间内严禁明火，严禁在未排空废油液的情况下进行油箱拆解。</w:t>
            </w:r>
          </w:p>
          <w:p w14:paraId="12D586E7">
            <w:pPr>
              <w:pStyle w:val="109"/>
              <w:ind w:firstLine="480"/>
              <w:rPr>
                <w:color w:val="auto"/>
                <w:szCs w:val="24"/>
                <w:u w:val="none"/>
              </w:rPr>
            </w:pPr>
            <w:r>
              <w:rPr>
                <w:rFonts w:hint="eastAsia"/>
                <w:color w:val="auto"/>
                <w:szCs w:val="24"/>
                <w:u w:val="none"/>
              </w:rPr>
              <w:t>②厂内配备满足GB 50016规定的消防设施设备（灭火器、消火栓、消防沙等），设置消防池（100m</w:t>
            </w:r>
            <w:r>
              <w:rPr>
                <w:rFonts w:hint="eastAsia"/>
                <w:color w:val="auto"/>
                <w:szCs w:val="24"/>
                <w:u w:val="none"/>
                <w:vertAlign w:val="superscript"/>
              </w:rPr>
              <w:t>3</w:t>
            </w:r>
            <w:r>
              <w:rPr>
                <w:rFonts w:hint="eastAsia"/>
                <w:color w:val="auto"/>
                <w:szCs w:val="24"/>
                <w:u w:val="none"/>
              </w:rPr>
              <w:t>），每年对灭火器材、设施进行检查，如有损坏或压力不足应及时维修更新。检测内容、时间、人员应有记录保存。安全检测应根据设备的安全性、危险性设定检测频次。在消防器材、设施放置处，安排相应的管理者负责。</w:t>
            </w:r>
          </w:p>
          <w:p w14:paraId="2CB8880D">
            <w:pPr>
              <w:pStyle w:val="109"/>
              <w:ind w:firstLine="480"/>
              <w:rPr>
                <w:color w:val="auto"/>
                <w:szCs w:val="24"/>
                <w:u w:val="none"/>
              </w:rPr>
            </w:pPr>
            <w:r>
              <w:rPr>
                <w:rFonts w:hint="eastAsia"/>
                <w:color w:val="auto"/>
                <w:szCs w:val="24"/>
                <w:u w:val="none"/>
              </w:rPr>
              <w:t>③保持消防器材的完整齐备，严禁将消防器材挪做它用，特殊情况必须经相关管理部门的同意。</w:t>
            </w:r>
          </w:p>
          <w:p w14:paraId="3D0B4D9E">
            <w:pPr>
              <w:pStyle w:val="109"/>
              <w:ind w:firstLine="480"/>
              <w:rPr>
                <w:color w:val="auto"/>
                <w:szCs w:val="24"/>
                <w:u w:val="none"/>
              </w:rPr>
            </w:pPr>
            <w:r>
              <w:rPr>
                <w:rFonts w:hint="eastAsia"/>
                <w:color w:val="auto"/>
                <w:szCs w:val="24"/>
                <w:u w:val="none"/>
              </w:rPr>
              <w:t>（3）风险防范综合措施</w:t>
            </w:r>
          </w:p>
          <w:p w14:paraId="24C9F7CE">
            <w:pPr>
              <w:pStyle w:val="109"/>
              <w:ind w:firstLine="480"/>
              <w:rPr>
                <w:color w:val="auto"/>
                <w:szCs w:val="24"/>
                <w:u w:val="none"/>
              </w:rPr>
            </w:pPr>
            <w:r>
              <w:rPr>
                <w:rFonts w:hint="eastAsia"/>
                <w:color w:val="auto"/>
                <w:szCs w:val="24"/>
                <w:u w:val="none"/>
              </w:rPr>
              <w:t>①强化安全生产管理，必须制订岗位责任制，将责任落实到部门和个人严格遵守操作规程，严格遵守《化学危险品管理条例》及国家、地方关于易燃、易爆、有毒有害物料的储运使用安全规定。</w:t>
            </w:r>
          </w:p>
          <w:p w14:paraId="0DC19B93">
            <w:pPr>
              <w:pStyle w:val="109"/>
              <w:ind w:firstLine="480"/>
              <w:rPr>
                <w:color w:val="auto"/>
                <w:szCs w:val="24"/>
                <w:u w:val="none"/>
              </w:rPr>
            </w:pPr>
            <w:r>
              <w:rPr>
                <w:rFonts w:hint="eastAsia"/>
                <w:color w:val="auto"/>
                <w:szCs w:val="24"/>
                <w:u w:val="none"/>
              </w:rPr>
              <w:t>②建立健全环保及安全管理部门，该部门应加强监督检查，按规定监测厂内外空气及水体中的有毒有害物质，及时发现，立即处理，避免污染。</w:t>
            </w:r>
          </w:p>
          <w:p w14:paraId="64D1D384">
            <w:pPr>
              <w:pStyle w:val="109"/>
              <w:ind w:firstLine="480"/>
              <w:rPr>
                <w:color w:val="auto"/>
                <w:szCs w:val="24"/>
                <w:u w:val="none"/>
              </w:rPr>
            </w:pPr>
            <w:r>
              <w:rPr>
                <w:rFonts w:hint="eastAsia"/>
                <w:color w:val="auto"/>
                <w:szCs w:val="24"/>
                <w:u w:val="none"/>
              </w:rPr>
              <w:t>③建设单位应编制建设项目环境风险应急预案，报环保部门批准后生产中实施，并安排环境风险应急预案及风险污染处置演练，进行应急处置宣传、教育。</w:t>
            </w:r>
          </w:p>
          <w:p w14:paraId="3327C786">
            <w:pPr>
              <w:pStyle w:val="109"/>
              <w:ind w:firstLine="480"/>
              <w:rPr>
                <w:rFonts w:hint="eastAsia"/>
                <w:color w:val="auto"/>
                <w:szCs w:val="24"/>
                <w:u w:val="none"/>
              </w:rPr>
            </w:pPr>
            <w:r>
              <w:rPr>
                <w:rFonts w:hint="eastAsia"/>
                <w:color w:val="auto"/>
                <w:szCs w:val="24"/>
                <w:u w:val="none"/>
              </w:rPr>
              <w:t>④成立事故应急处理小组，由车间安全负责人担任事故应急小组组长，一旦发火灾等事故，应立即启动事故应急预案，并向有关环境管理部门汇报情况，协助环境管理部门进行应急监测等工作。</w:t>
            </w:r>
          </w:p>
          <w:p w14:paraId="6C3B07D8">
            <w:pPr>
              <w:pStyle w:val="109"/>
              <w:ind w:firstLine="480"/>
              <w:rPr>
                <w:rFonts w:hint="eastAsia" w:eastAsia="宋体"/>
                <w:color w:val="auto"/>
                <w:lang w:val="en-US" w:eastAsia="zh-CN"/>
              </w:rPr>
            </w:pPr>
            <w:r>
              <w:rPr>
                <w:rFonts w:hint="default" w:eastAsia="宋体"/>
                <w:color w:val="auto"/>
                <w:lang w:val="en-US" w:eastAsia="zh-CN"/>
              </w:rPr>
              <w:t>本项目</w:t>
            </w:r>
            <w:r>
              <w:rPr>
                <w:rFonts w:hint="eastAsia" w:eastAsia="宋体"/>
                <w:color w:val="auto"/>
                <w:lang w:val="en-US" w:eastAsia="zh-CN"/>
              </w:rPr>
              <w:t>危废贮存库</w:t>
            </w:r>
            <w:r>
              <w:rPr>
                <w:rFonts w:hint="default" w:eastAsia="宋体"/>
                <w:color w:val="auto"/>
                <w:lang w:val="en-US" w:eastAsia="zh-CN"/>
              </w:rPr>
              <w:t>及危险废物暂存容器应采取以下污染防治措施：</w:t>
            </w:r>
          </w:p>
          <w:p w14:paraId="68E0F301">
            <w:pPr>
              <w:pStyle w:val="109"/>
              <w:ind w:firstLine="480"/>
              <w:rPr>
                <w:rFonts w:hint="eastAsia" w:eastAsia="宋体"/>
                <w:color w:val="auto"/>
                <w:lang w:val="en-US" w:eastAsia="zh-CN"/>
              </w:rPr>
            </w:pPr>
            <w:r>
              <w:rPr>
                <w:rFonts w:hint="default" w:eastAsia="宋体"/>
                <w:color w:val="auto"/>
                <w:lang w:val="en-US" w:eastAsia="zh-CN"/>
              </w:rPr>
              <w:t>（1）危险废物暂存应严格按照</w:t>
            </w:r>
            <w:r>
              <w:rPr>
                <w:rFonts w:hint="eastAsia" w:eastAsia="宋体"/>
                <w:color w:val="auto"/>
                <w:lang w:val="en-US" w:eastAsia="zh-CN"/>
              </w:rPr>
              <w:t>《</w:t>
            </w:r>
            <w:r>
              <w:rPr>
                <w:rFonts w:hint="default" w:eastAsia="宋体"/>
                <w:color w:val="auto"/>
                <w:lang w:val="en-US" w:eastAsia="zh-CN"/>
              </w:rPr>
              <w:t>危险废物贮存污染控制标准</w:t>
            </w:r>
            <w:r>
              <w:rPr>
                <w:rFonts w:hint="eastAsia" w:eastAsia="宋体"/>
                <w:color w:val="auto"/>
                <w:lang w:val="en-US" w:eastAsia="zh-CN"/>
              </w:rPr>
              <w:t>》</w:t>
            </w:r>
            <w:r>
              <w:rPr>
                <w:rFonts w:hint="default" w:eastAsia="宋体"/>
                <w:color w:val="auto"/>
                <w:lang w:val="en-US" w:eastAsia="zh-CN"/>
              </w:rPr>
              <w:t>（GB18597-20</w:t>
            </w:r>
            <w:r>
              <w:rPr>
                <w:rFonts w:hint="eastAsia" w:eastAsia="宋体"/>
                <w:color w:val="auto"/>
                <w:lang w:val="en-US" w:eastAsia="zh-CN"/>
              </w:rPr>
              <w:t>23</w:t>
            </w:r>
            <w:r>
              <w:rPr>
                <w:rFonts w:hint="default" w:eastAsia="宋体"/>
                <w:color w:val="auto"/>
                <w:lang w:val="en-US" w:eastAsia="zh-CN"/>
              </w:rPr>
              <w:t>）要求执行。对存储的各种危险废物的容器进行标识，避免混合、混放。危险废物暂存和处理按照国家相关要求进行，使用专用密闭容器分类存储，并交给有资质的单位安全处</w:t>
            </w:r>
            <w:r>
              <w:rPr>
                <w:rFonts w:hint="eastAsia" w:eastAsia="宋体"/>
                <w:color w:val="auto"/>
                <w:lang w:val="en-US" w:eastAsia="zh-CN"/>
              </w:rPr>
              <w:t>置</w:t>
            </w:r>
            <w:r>
              <w:rPr>
                <w:rFonts w:hint="default" w:eastAsia="宋体"/>
                <w:color w:val="auto"/>
                <w:lang w:val="en-US" w:eastAsia="zh-CN"/>
              </w:rPr>
              <w:t>。日常管理应专人专管，严格进行日常安全防护管理和监测。</w:t>
            </w:r>
          </w:p>
          <w:p w14:paraId="594CA32E">
            <w:pPr>
              <w:pStyle w:val="109"/>
              <w:ind w:firstLine="480"/>
              <w:rPr>
                <w:rFonts w:hint="eastAsia" w:eastAsia="宋体"/>
                <w:color w:val="auto"/>
                <w:lang w:val="en-US" w:eastAsia="zh-CN"/>
              </w:rPr>
            </w:pPr>
            <w:r>
              <w:rPr>
                <w:rFonts w:hint="default" w:eastAsia="宋体"/>
                <w:color w:val="auto"/>
                <w:lang w:val="en-US" w:eastAsia="zh-CN"/>
              </w:rPr>
              <w:t>（2）危险废物贮存应关注</w:t>
            </w:r>
            <w:r>
              <w:rPr>
                <w:rFonts w:hint="eastAsia" w:eastAsia="宋体"/>
                <w:color w:val="auto"/>
                <w:lang w:val="en-US" w:eastAsia="zh-CN"/>
              </w:rPr>
              <w:t>“</w:t>
            </w:r>
            <w:r>
              <w:rPr>
                <w:rFonts w:hint="default" w:eastAsia="宋体"/>
                <w:color w:val="auto"/>
                <w:lang w:val="en-US" w:eastAsia="zh-CN"/>
              </w:rPr>
              <w:t>防风、防雨、防晒、防渗漏</w:t>
            </w:r>
            <w:r>
              <w:rPr>
                <w:rFonts w:hint="eastAsia" w:eastAsia="宋体"/>
                <w:color w:val="auto"/>
                <w:lang w:val="en-US" w:eastAsia="zh-CN"/>
              </w:rPr>
              <w:t>”</w:t>
            </w:r>
            <w:r>
              <w:rPr>
                <w:rFonts w:hint="default" w:eastAsia="宋体"/>
                <w:color w:val="auto"/>
                <w:lang w:val="en-US" w:eastAsia="zh-CN"/>
              </w:rPr>
              <w:t>，贮存设施按照</w:t>
            </w:r>
            <w:r>
              <w:rPr>
                <w:rFonts w:hint="eastAsia" w:eastAsia="宋体"/>
                <w:color w:val="auto"/>
                <w:lang w:val="en-US" w:eastAsia="zh-CN"/>
              </w:rPr>
              <w:t>《危险废物贮存污染控制标准》（GB18597-2023）</w:t>
            </w:r>
            <w:r>
              <w:rPr>
                <w:rFonts w:hint="default" w:eastAsia="宋体"/>
                <w:color w:val="auto"/>
                <w:lang w:val="en-US" w:eastAsia="zh-CN"/>
              </w:rPr>
              <w:t>要求，对其地面进行重点防渗处理，采用铺设防护垫层+2.0mm高密度聚乙烯（HDPE）防渗膜，在做好基层防渗的基础上进行水泥硬化，渗透系数K≤1.0×10-10cm/s</w:t>
            </w:r>
            <w:r>
              <w:rPr>
                <w:rFonts w:hint="eastAsia" w:eastAsia="宋体"/>
                <w:color w:val="auto"/>
                <w:lang w:val="en-US" w:eastAsia="zh-CN"/>
              </w:rPr>
              <w:t>。</w:t>
            </w:r>
          </w:p>
          <w:p w14:paraId="7AC6C96E">
            <w:pPr>
              <w:pStyle w:val="109"/>
              <w:ind w:firstLine="480"/>
              <w:rPr>
                <w:rFonts w:hint="default" w:eastAsia="宋体"/>
                <w:color w:val="auto"/>
                <w:lang w:val="en-US" w:eastAsia="zh-CN"/>
              </w:rPr>
            </w:pPr>
            <w:r>
              <w:rPr>
                <w:rFonts w:hint="eastAsia" w:eastAsia="宋体"/>
                <w:color w:val="auto"/>
                <w:lang w:val="en-US" w:eastAsia="zh-CN"/>
              </w:rPr>
              <w:t>通过采取上述措施，可满足《危险废物贮存污染控制标准》（GB18597-2023）</w:t>
            </w:r>
            <w:r>
              <w:rPr>
                <w:rFonts w:hint="default" w:eastAsia="宋体"/>
                <w:color w:val="auto"/>
                <w:lang w:val="en-US" w:eastAsia="zh-CN"/>
              </w:rPr>
              <w:t>相关要求，危险废物暂存具备可行性。</w:t>
            </w:r>
          </w:p>
          <w:p w14:paraId="7210630E">
            <w:pPr>
              <w:pStyle w:val="109"/>
              <w:ind w:firstLine="480"/>
              <w:rPr>
                <w:rFonts w:hint="eastAsia" w:eastAsia="宋体"/>
                <w:color w:val="auto"/>
                <w:lang w:val="en-US" w:eastAsia="zh-CN"/>
              </w:rPr>
            </w:pPr>
            <w:r>
              <w:rPr>
                <w:rFonts w:hint="default" w:eastAsia="宋体"/>
                <w:color w:val="auto"/>
                <w:lang w:val="en-US" w:eastAsia="zh-CN"/>
              </w:rPr>
              <w:t>本项目产生的危险废物在厂内指定的</w:t>
            </w:r>
            <w:r>
              <w:rPr>
                <w:rFonts w:hint="eastAsia" w:eastAsia="宋体"/>
                <w:color w:val="auto"/>
                <w:lang w:val="en-US" w:eastAsia="zh-CN"/>
              </w:rPr>
              <w:t>危废贮存库</w:t>
            </w:r>
            <w:r>
              <w:rPr>
                <w:rFonts w:hint="default" w:eastAsia="宋体"/>
                <w:color w:val="auto"/>
                <w:lang w:val="en-US" w:eastAsia="zh-CN"/>
              </w:rPr>
              <w:t>安全暂存，定期委托有资质单位回收处理，由持有危险废物经营许可证、危险货物运</w:t>
            </w:r>
            <w:r>
              <w:rPr>
                <w:rFonts w:hint="eastAsia" w:eastAsia="宋体"/>
                <w:color w:val="auto"/>
                <w:lang w:val="en-US" w:eastAsia="zh-CN"/>
              </w:rPr>
              <w:t>输资质的单位拉运。本环评要求的危险废物运输应采取以下防治措施：</w:t>
            </w:r>
          </w:p>
          <w:p w14:paraId="59B8149F">
            <w:pPr>
              <w:pStyle w:val="109"/>
              <w:ind w:firstLine="480"/>
              <w:rPr>
                <w:rFonts w:hint="eastAsia" w:eastAsia="宋体"/>
                <w:color w:val="auto"/>
                <w:lang w:val="en-US" w:eastAsia="zh-CN"/>
              </w:rPr>
            </w:pPr>
            <w:r>
              <w:rPr>
                <w:rFonts w:hint="default" w:eastAsia="宋体"/>
                <w:color w:val="auto"/>
                <w:lang w:val="en-US" w:eastAsia="zh-CN"/>
              </w:rPr>
              <w:t>（1）转移危险废物的，应当通过国家危险废物信息管理系统（以下简称信息系统）填写、运行危险废物电子转移联单，并依照国家有关规定公开危险废物转移相关污染环境防治信息。</w:t>
            </w:r>
          </w:p>
          <w:p w14:paraId="27CEB0BD">
            <w:pPr>
              <w:pStyle w:val="109"/>
              <w:ind w:firstLine="480"/>
              <w:rPr>
                <w:rFonts w:hint="default" w:eastAsia="宋体"/>
                <w:color w:val="auto"/>
                <w:lang w:val="en-US" w:eastAsia="zh-CN"/>
              </w:rPr>
            </w:pPr>
            <w:r>
              <w:rPr>
                <w:rFonts w:hint="default" w:eastAsia="宋体"/>
                <w:color w:val="auto"/>
                <w:lang w:val="en-US" w:eastAsia="zh-CN"/>
              </w:rPr>
              <w:t>（2）危险废物转移联单应当根据危险废物管理计划中填报的危险废物转移等备案信息填写、运行。</w:t>
            </w:r>
          </w:p>
          <w:p w14:paraId="0878B8B1">
            <w:pPr>
              <w:pStyle w:val="109"/>
              <w:ind w:firstLine="480"/>
              <w:rPr>
                <w:rFonts w:hint="eastAsia" w:eastAsia="宋体"/>
                <w:color w:val="auto"/>
                <w:lang w:val="en-US" w:eastAsia="zh-CN"/>
              </w:rPr>
            </w:pPr>
            <w:r>
              <w:rPr>
                <w:rFonts w:hint="default" w:eastAsia="宋体"/>
                <w:color w:val="auto"/>
                <w:lang w:val="en-US" w:eastAsia="zh-CN"/>
              </w:rPr>
              <w:t>（3）移出人每转移一车（船或者其他运输工具）次同类危险废物，应当填写、运行一份危险废物转移联单；每车（船或者其他运输工具）次转移多类危险废物的，可以填写、运行一份危险废物转移联单，也可以每一类危险废物填写、运行一份危险废物转移联单。</w:t>
            </w:r>
          </w:p>
          <w:p w14:paraId="131E50E2">
            <w:pPr>
              <w:pStyle w:val="109"/>
              <w:ind w:firstLine="480"/>
              <w:rPr>
                <w:rFonts w:hint="eastAsia" w:eastAsia="宋体"/>
                <w:color w:val="auto"/>
                <w:lang w:val="en-US" w:eastAsia="zh-CN"/>
              </w:rPr>
            </w:pPr>
            <w:r>
              <w:rPr>
                <w:rFonts w:hint="default" w:eastAsia="宋体"/>
                <w:color w:val="auto"/>
                <w:lang w:val="en-US" w:eastAsia="zh-CN"/>
              </w:rPr>
              <w:t>使用同一车（船或者其他运输工具）一次为多个移出人转移危险废物的，每个移出人应当分别填写、运行危险废物转移联单。</w:t>
            </w:r>
          </w:p>
          <w:p w14:paraId="62F72B15">
            <w:pPr>
              <w:pStyle w:val="109"/>
              <w:ind w:firstLine="480"/>
              <w:rPr>
                <w:rFonts w:hint="eastAsia" w:eastAsia="宋体"/>
                <w:color w:val="auto"/>
                <w:lang w:val="en-US" w:eastAsia="zh-CN"/>
              </w:rPr>
            </w:pPr>
            <w:r>
              <w:rPr>
                <w:rFonts w:hint="default" w:eastAsia="宋体"/>
                <w:color w:val="auto"/>
                <w:lang w:val="en-US" w:eastAsia="zh-CN"/>
              </w:rPr>
              <w:t>（4）采用联运方式转移危险废物的，前一承运人和后一承运人应当明确运输交接的时间和地点。后一承运人应当核实危险废物转移联单确定的移出人信息、前一承运人信息及危险废物相关信息。</w:t>
            </w:r>
          </w:p>
          <w:p w14:paraId="231EA4AE">
            <w:pPr>
              <w:pStyle w:val="109"/>
              <w:ind w:firstLine="480"/>
              <w:rPr>
                <w:rFonts w:hint="eastAsia" w:eastAsia="宋体"/>
                <w:color w:val="auto"/>
                <w:lang w:val="en-US" w:eastAsia="zh-CN"/>
              </w:rPr>
            </w:pPr>
            <w:r>
              <w:rPr>
                <w:rFonts w:hint="default" w:eastAsia="宋体"/>
                <w:color w:val="auto"/>
                <w:lang w:val="en-US" w:eastAsia="zh-CN"/>
              </w:rPr>
              <w:t>（5）接受人应当对运抵的危险废物进行核实验收，并在接受之日起五个工作日内通过信息系统确认接受。运抵的危险废物的名称、数量、特性、形态、包装方式与危险废物转移联单填写内容不符的，接受人应当及时告知移出人，视情况决定是否接受，同时向接受地生态环境主管部门报告。</w:t>
            </w:r>
          </w:p>
          <w:p w14:paraId="63FDE9D7">
            <w:pPr>
              <w:pStyle w:val="109"/>
              <w:ind w:firstLine="480"/>
              <w:rPr>
                <w:rFonts w:hint="default" w:eastAsia="宋体"/>
                <w:color w:val="auto"/>
                <w:lang w:val="en-US" w:eastAsia="zh-CN"/>
              </w:rPr>
            </w:pPr>
            <w:r>
              <w:rPr>
                <w:rFonts w:hint="default" w:eastAsia="宋体"/>
                <w:color w:val="auto"/>
                <w:lang w:val="en-US" w:eastAsia="zh-CN"/>
              </w:rPr>
              <w:t>（6）对不通过车（船或者其他运输工具），且无法按次对危险废物计量的其他方式转移危险废物的，移出人和接受人应当分别配备计量记录设备，将每天危险废物转移的种类、重量（数量）、形态和危险特性等信息纳入相关台账记录，并根据所在地设区的市级以上地方生态环境主管部门的要求填写、运行危险废物转移联单。</w:t>
            </w:r>
          </w:p>
          <w:p w14:paraId="05616A08">
            <w:pPr>
              <w:pStyle w:val="109"/>
              <w:ind w:firstLine="480"/>
              <w:rPr>
                <w:rFonts w:hint="eastAsia" w:eastAsia="宋体"/>
                <w:color w:val="auto"/>
                <w:lang w:val="en-US" w:eastAsia="zh-CN"/>
              </w:rPr>
            </w:pPr>
            <w:r>
              <w:rPr>
                <w:rFonts w:hint="default" w:eastAsia="宋体"/>
                <w:color w:val="auto"/>
                <w:lang w:val="en-US" w:eastAsia="zh-CN"/>
              </w:rPr>
              <w:t>（7）危险废物电子转移联单数据应当在信息系统中至少保存十</w:t>
            </w:r>
            <w:r>
              <w:rPr>
                <w:rFonts w:hint="eastAsia" w:eastAsia="宋体"/>
                <w:color w:val="auto"/>
                <w:lang w:val="en-US" w:eastAsia="zh-CN"/>
              </w:rPr>
              <w:t>年。</w:t>
            </w:r>
            <w:r>
              <w:rPr>
                <w:rFonts w:hint="default" w:eastAsia="宋体"/>
                <w:color w:val="auto"/>
                <w:lang w:val="en-US" w:eastAsia="zh-CN"/>
              </w:rPr>
              <w:t>因特殊原因无法运行危险废物电子转移联单的，可以先使用纸质转移联单，并于转移活动完成后十个工作日内在信息系统中补录电子转移联单。</w:t>
            </w:r>
          </w:p>
          <w:p w14:paraId="2BE5258D">
            <w:pPr>
              <w:pStyle w:val="109"/>
              <w:ind w:firstLine="480"/>
              <w:rPr>
                <w:rFonts w:hint="eastAsia" w:eastAsia="宋体"/>
                <w:color w:val="auto"/>
                <w:lang w:val="en-US" w:eastAsia="zh-CN"/>
              </w:rPr>
            </w:pPr>
            <w:r>
              <w:rPr>
                <w:rFonts w:hint="default" w:eastAsia="宋体"/>
                <w:color w:val="auto"/>
                <w:lang w:val="en-US" w:eastAsia="zh-CN"/>
              </w:rPr>
              <w:t>（8）有防鼠、防蚊蝇、防蟑螂的安全措施；防止渗漏和雨水冲刷；易于清洁和消毒；避免阳光直射；</w:t>
            </w:r>
          </w:p>
          <w:p w14:paraId="5DACAE3C">
            <w:pPr>
              <w:pStyle w:val="109"/>
              <w:ind w:firstLine="480"/>
              <w:rPr>
                <w:rFonts w:hint="eastAsia" w:eastAsia="宋体"/>
                <w:color w:val="auto"/>
                <w:lang w:val="en-US" w:eastAsia="zh-CN"/>
              </w:rPr>
            </w:pPr>
            <w:r>
              <w:rPr>
                <w:rFonts w:hint="default" w:eastAsia="宋体"/>
                <w:color w:val="auto"/>
                <w:lang w:val="en-US" w:eastAsia="zh-CN"/>
              </w:rPr>
              <w:t>（9）按照</w:t>
            </w:r>
            <w:r>
              <w:rPr>
                <w:rFonts w:hint="eastAsia" w:eastAsia="宋体"/>
                <w:color w:val="auto"/>
                <w:lang w:val="en-US" w:eastAsia="zh-CN"/>
              </w:rPr>
              <w:t>《</w:t>
            </w:r>
            <w:r>
              <w:rPr>
                <w:rFonts w:hint="default" w:eastAsia="宋体"/>
                <w:color w:val="auto"/>
                <w:lang w:val="en-US" w:eastAsia="zh-CN"/>
              </w:rPr>
              <w:t>环境保护图形标志固体废物贮存场</w:t>
            </w:r>
            <w:r>
              <w:rPr>
                <w:rFonts w:hint="eastAsia" w:eastAsia="宋体"/>
                <w:color w:val="auto"/>
                <w:lang w:val="en-US" w:eastAsia="zh-CN"/>
              </w:rPr>
              <w:t>》</w:t>
            </w:r>
            <w:r>
              <w:rPr>
                <w:rFonts w:hint="default" w:eastAsia="宋体"/>
                <w:color w:val="auto"/>
                <w:lang w:val="en-US" w:eastAsia="zh-CN"/>
              </w:rPr>
              <w:t>（GB15562.2-1995）附录A的规定在危险废物外包装设</w:t>
            </w:r>
            <w:r>
              <w:rPr>
                <w:rFonts w:hint="eastAsia" w:eastAsia="宋体"/>
                <w:color w:val="auto"/>
                <w:lang w:val="en-US" w:eastAsia="zh-CN"/>
              </w:rPr>
              <w:t>置</w:t>
            </w:r>
            <w:r>
              <w:rPr>
                <w:rFonts w:hint="default" w:eastAsia="宋体"/>
                <w:color w:val="auto"/>
                <w:lang w:val="en-US" w:eastAsia="zh-CN"/>
              </w:rPr>
              <w:t>警示标志；</w:t>
            </w:r>
          </w:p>
          <w:p w14:paraId="763C116F">
            <w:pPr>
              <w:pStyle w:val="109"/>
              <w:ind w:firstLine="480"/>
              <w:rPr>
                <w:rFonts w:hint="default" w:eastAsia="宋体"/>
                <w:color w:val="auto"/>
                <w:lang w:val="en-US" w:eastAsia="zh-CN"/>
              </w:rPr>
            </w:pPr>
            <w:r>
              <w:rPr>
                <w:rFonts w:hint="default" w:eastAsia="宋体"/>
                <w:color w:val="auto"/>
                <w:lang w:val="en-US" w:eastAsia="zh-CN"/>
              </w:rPr>
              <w:t>（10）输路线应尽量避开敏感保护目标，避免穿越人口稠密区，远离人员活动区和生活垃圾存放场所，方便危险废物运送人员及运送工具、车辆的出入；运输人员要穿安全防护服。</w:t>
            </w:r>
          </w:p>
          <w:p w14:paraId="47D6E33F">
            <w:pPr>
              <w:pStyle w:val="109"/>
              <w:ind w:firstLine="480"/>
              <w:rPr>
                <w:rFonts w:hint="eastAsia" w:eastAsia="宋体"/>
                <w:color w:val="auto"/>
                <w:lang w:val="en-US" w:eastAsia="zh-CN"/>
              </w:rPr>
            </w:pPr>
            <w:r>
              <w:rPr>
                <w:rFonts w:hint="default" w:eastAsia="宋体"/>
                <w:color w:val="auto"/>
                <w:lang w:val="en-US" w:eastAsia="zh-CN"/>
              </w:rPr>
              <w:t>（11）危险废物内部转运应参照</w:t>
            </w:r>
            <w:r>
              <w:rPr>
                <w:rFonts w:hint="eastAsia" w:eastAsia="宋体"/>
                <w:color w:val="auto"/>
                <w:lang w:val="en-US" w:eastAsia="zh-CN"/>
              </w:rPr>
              <w:t>《</w:t>
            </w:r>
            <w:r>
              <w:rPr>
                <w:rFonts w:hint="default" w:eastAsia="宋体"/>
                <w:color w:val="auto"/>
                <w:lang w:val="en-US" w:eastAsia="zh-CN"/>
              </w:rPr>
              <w:t>危险废物收集、贮存、运输技术规范</w:t>
            </w:r>
            <w:r>
              <w:rPr>
                <w:rFonts w:hint="eastAsia" w:eastAsia="宋体"/>
                <w:color w:val="auto"/>
                <w:lang w:val="en-US" w:eastAsia="zh-CN"/>
              </w:rPr>
              <w:t>》</w:t>
            </w:r>
            <w:r>
              <w:rPr>
                <w:rFonts w:hint="default" w:eastAsia="宋体"/>
                <w:color w:val="auto"/>
                <w:lang w:val="en-US" w:eastAsia="zh-CN"/>
              </w:rPr>
              <w:t>（HJ2025-2012）附录B填写</w:t>
            </w:r>
            <w:r>
              <w:rPr>
                <w:rFonts w:hint="eastAsia" w:eastAsia="宋体"/>
                <w:color w:val="auto"/>
                <w:lang w:val="en-US" w:eastAsia="zh-CN"/>
              </w:rPr>
              <w:t>《</w:t>
            </w:r>
            <w:r>
              <w:rPr>
                <w:rFonts w:hint="default" w:eastAsia="宋体"/>
                <w:color w:val="auto"/>
                <w:lang w:val="en-US" w:eastAsia="zh-CN"/>
              </w:rPr>
              <w:t>危险废物厂内转运记录表</w:t>
            </w:r>
            <w:r>
              <w:rPr>
                <w:rFonts w:hint="eastAsia" w:eastAsia="宋体"/>
                <w:color w:val="auto"/>
                <w:lang w:val="en-US" w:eastAsia="zh-CN"/>
              </w:rPr>
              <w:t>》</w:t>
            </w:r>
            <w:r>
              <w:rPr>
                <w:rFonts w:hint="default" w:eastAsia="宋体"/>
                <w:color w:val="auto"/>
                <w:lang w:val="en-US" w:eastAsia="zh-CN"/>
              </w:rPr>
              <w:t>，用专门车辆将危险废物运输至</w:t>
            </w:r>
            <w:r>
              <w:rPr>
                <w:rFonts w:hint="eastAsia" w:eastAsia="宋体"/>
                <w:color w:val="auto"/>
                <w:lang w:val="en-US" w:eastAsia="zh-CN"/>
              </w:rPr>
              <w:t>危废贮存库</w:t>
            </w:r>
            <w:r>
              <w:rPr>
                <w:rFonts w:hint="default" w:eastAsia="宋体"/>
                <w:color w:val="auto"/>
                <w:lang w:val="en-US" w:eastAsia="zh-CN"/>
              </w:rPr>
              <w:t>，车辆外部需有警示标志，避免在上班、下班、午休等人流较多的时段运输。危险废物内部转运结束后，应对转运路线进行检查和清理，确保无危险废物遗失在转运路线上。</w:t>
            </w:r>
          </w:p>
          <w:p w14:paraId="14CE7244">
            <w:pPr>
              <w:pStyle w:val="109"/>
              <w:ind w:firstLine="480"/>
              <w:rPr>
                <w:rFonts w:hint="eastAsia"/>
                <w:color w:val="auto"/>
                <w:lang w:val="en-US" w:eastAsia="zh-CN"/>
              </w:rPr>
            </w:pPr>
            <w:r>
              <w:rPr>
                <w:rFonts w:hint="default"/>
                <w:color w:val="auto"/>
                <w:lang w:val="en-US" w:eastAsia="zh-CN"/>
              </w:rPr>
              <w:t>通过采取上述措施，可以满足</w:t>
            </w:r>
            <w:r>
              <w:rPr>
                <w:rFonts w:hint="eastAsia"/>
                <w:color w:val="auto"/>
                <w:lang w:val="en-US" w:eastAsia="zh-CN"/>
              </w:rPr>
              <w:t>《</w:t>
            </w:r>
            <w:r>
              <w:rPr>
                <w:rFonts w:hint="default"/>
                <w:color w:val="auto"/>
                <w:lang w:val="en-US" w:eastAsia="zh-CN"/>
              </w:rPr>
              <w:t>危险废物收集、贮存、运输技术规范</w:t>
            </w:r>
            <w:r>
              <w:rPr>
                <w:rFonts w:hint="eastAsia"/>
                <w:color w:val="auto"/>
                <w:lang w:val="en-US" w:eastAsia="zh-CN"/>
              </w:rPr>
              <w:t>》</w:t>
            </w:r>
            <w:r>
              <w:rPr>
                <w:rFonts w:hint="default"/>
                <w:color w:val="auto"/>
                <w:lang w:val="en-US" w:eastAsia="zh-CN"/>
              </w:rPr>
              <w:t>（HJ2025-2012）及</w:t>
            </w:r>
            <w:r>
              <w:rPr>
                <w:rFonts w:hint="eastAsia"/>
                <w:color w:val="auto"/>
                <w:lang w:val="en-US" w:eastAsia="zh-CN"/>
              </w:rPr>
              <w:t>《</w:t>
            </w:r>
            <w:r>
              <w:rPr>
                <w:rFonts w:hint="default"/>
                <w:color w:val="auto"/>
                <w:lang w:val="en-US" w:eastAsia="zh-CN"/>
              </w:rPr>
              <w:t>危险废物转移管理办法</w:t>
            </w:r>
            <w:r>
              <w:rPr>
                <w:rFonts w:hint="eastAsia"/>
                <w:color w:val="auto"/>
                <w:lang w:val="en-US" w:eastAsia="zh-CN"/>
              </w:rPr>
              <w:t>》</w:t>
            </w:r>
            <w:r>
              <w:rPr>
                <w:rFonts w:hint="default"/>
                <w:color w:val="auto"/>
                <w:lang w:val="en-US" w:eastAsia="zh-CN"/>
              </w:rPr>
              <w:t>中相关规定。对周边环境敏感点影响较小，危险废物的转运具备可行性。</w:t>
            </w:r>
          </w:p>
          <w:p w14:paraId="6F1D4559">
            <w:pPr>
              <w:pStyle w:val="84"/>
              <w:rPr>
                <w:rFonts w:hint="eastAsia" w:ascii="Times New Roman" w:hAnsi="Times New Roman" w:eastAsia="宋体" w:cs="Times New Roman"/>
                <w:b w:val="0"/>
                <w:bCs w:val="0"/>
                <w:color w:val="auto"/>
                <w:kern w:val="2"/>
                <w:sz w:val="24"/>
                <w:szCs w:val="24"/>
                <w:u w:val="none"/>
                <w:lang w:val="en-US" w:eastAsia="zh-CN" w:bidi="ar-SA"/>
              </w:rPr>
            </w:pPr>
            <w:r>
              <w:rPr>
                <w:rFonts w:hint="eastAsia" w:ascii="Times New Roman" w:hAnsi="Times New Roman" w:eastAsia="宋体" w:cs="Times New Roman"/>
                <w:b w:val="0"/>
                <w:bCs w:val="0"/>
                <w:color w:val="auto"/>
                <w:kern w:val="2"/>
                <w:sz w:val="24"/>
                <w:szCs w:val="24"/>
                <w:u w:val="none"/>
                <w:lang w:val="en-US" w:eastAsia="zh-CN" w:bidi="ar-SA"/>
              </w:rPr>
              <w:t>综上所述，根据项目环境风险评价分析，主要的风险来自泄露和火灾爆炸事故。本环评要求企业必须加强安全管理，严格落实环评报告提出的风险防范措施和应急措施。经采取环评报告提出的风险防范措施和应急预案后，项目建成后全厂的环境风险在可控制和承受的范围之内。</w:t>
            </w:r>
          </w:p>
          <w:p w14:paraId="5E026DD5">
            <w:pPr>
              <w:pStyle w:val="84"/>
              <w:rPr>
                <w:color w:val="auto"/>
              </w:rPr>
            </w:pPr>
            <w:bookmarkStart w:id="36" w:name="_GoBack"/>
            <w:bookmarkEnd w:id="36"/>
            <w:r>
              <w:rPr>
                <w:color w:val="auto"/>
              </w:rPr>
              <w:t>八、环保投资概算</w:t>
            </w:r>
          </w:p>
          <w:p w14:paraId="09CD0BFA">
            <w:pPr>
              <w:pStyle w:val="77"/>
              <w:rPr>
                <w:color w:val="auto"/>
              </w:rPr>
            </w:pPr>
            <w:r>
              <w:rPr>
                <w:color w:val="auto"/>
              </w:rPr>
              <w:t>本项目环保投资估算见下表。</w:t>
            </w:r>
          </w:p>
          <w:p w14:paraId="53C5B9C0">
            <w:pPr>
              <w:pStyle w:val="78"/>
              <w:rPr>
                <w:color w:val="auto"/>
              </w:rPr>
            </w:pPr>
            <w:r>
              <w:rPr>
                <w:color w:val="auto"/>
              </w:rPr>
              <w:t>表4-</w:t>
            </w:r>
            <w:r>
              <w:rPr>
                <w:rFonts w:hint="eastAsia"/>
                <w:color w:val="auto"/>
                <w:lang w:val="en-US" w:eastAsia="zh-CN"/>
              </w:rPr>
              <w:t>15</w:t>
            </w:r>
            <w:r>
              <w:rPr>
                <w:color w:val="auto"/>
              </w:rPr>
              <w:t xml:space="preserve"> 环保投资一览表</w:t>
            </w:r>
          </w:p>
          <w:tbl>
            <w:tblPr>
              <w:tblStyle w:val="19"/>
              <w:tblW w:w="5000"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475"/>
              <w:gridCol w:w="1320"/>
              <w:gridCol w:w="1606"/>
              <w:gridCol w:w="3213"/>
              <w:gridCol w:w="1134"/>
            </w:tblGrid>
            <w:tr w14:paraId="21B48A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1742" w:type="dxa"/>
                  <w:gridSpan w:val="2"/>
                  <w:vAlign w:val="center"/>
                </w:tcPr>
                <w:p w14:paraId="69136B7F">
                  <w:pPr>
                    <w:pStyle w:val="51"/>
                    <w:keepNext/>
                    <w:rPr>
                      <w:color w:val="auto"/>
                    </w:rPr>
                  </w:pPr>
                  <w:r>
                    <w:rPr>
                      <w:color w:val="auto"/>
                    </w:rPr>
                    <w:t>投资项目</w:t>
                  </w:r>
                </w:p>
              </w:tc>
              <w:tc>
                <w:tcPr>
                  <w:tcW w:w="1559" w:type="dxa"/>
                  <w:vAlign w:val="center"/>
                </w:tcPr>
                <w:p w14:paraId="317C7910">
                  <w:pPr>
                    <w:pStyle w:val="51"/>
                    <w:keepNext/>
                    <w:rPr>
                      <w:color w:val="auto"/>
                    </w:rPr>
                  </w:pPr>
                  <w:r>
                    <w:rPr>
                      <w:color w:val="auto"/>
                    </w:rPr>
                    <w:t>污染源</w:t>
                  </w:r>
                </w:p>
              </w:tc>
              <w:tc>
                <w:tcPr>
                  <w:tcW w:w="3119" w:type="dxa"/>
                  <w:vAlign w:val="center"/>
                </w:tcPr>
                <w:p w14:paraId="781CB19A">
                  <w:pPr>
                    <w:pStyle w:val="51"/>
                    <w:keepNext/>
                    <w:rPr>
                      <w:color w:val="auto"/>
                    </w:rPr>
                  </w:pPr>
                  <w:r>
                    <w:rPr>
                      <w:color w:val="auto"/>
                    </w:rPr>
                    <w:t>具体措施</w:t>
                  </w:r>
                </w:p>
              </w:tc>
              <w:tc>
                <w:tcPr>
                  <w:tcW w:w="1101" w:type="dxa"/>
                  <w:vAlign w:val="center"/>
                </w:tcPr>
                <w:p w14:paraId="363CCC2A">
                  <w:pPr>
                    <w:pStyle w:val="51"/>
                    <w:keepNext/>
                    <w:rPr>
                      <w:color w:val="auto"/>
                    </w:rPr>
                  </w:pPr>
                  <w:r>
                    <w:rPr>
                      <w:color w:val="auto"/>
                    </w:rPr>
                    <w:t>投资</w:t>
                  </w:r>
                </w:p>
                <w:p w14:paraId="232D1157">
                  <w:pPr>
                    <w:pStyle w:val="51"/>
                    <w:keepNext/>
                    <w:rPr>
                      <w:color w:val="auto"/>
                    </w:rPr>
                  </w:pPr>
                  <w:r>
                    <w:rPr>
                      <w:color w:val="auto"/>
                    </w:rPr>
                    <w:t>（万元）</w:t>
                  </w:r>
                </w:p>
              </w:tc>
            </w:tr>
            <w:tr w14:paraId="0A51C17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60" w:hRule="atLeast"/>
                <w:jc w:val="center"/>
              </w:trPr>
              <w:tc>
                <w:tcPr>
                  <w:tcW w:w="461" w:type="dxa"/>
                  <w:vMerge w:val="restart"/>
                  <w:tcBorders>
                    <w:right w:val="single" w:color="auto" w:sz="4" w:space="0"/>
                  </w:tcBorders>
                  <w:vAlign w:val="center"/>
                </w:tcPr>
                <w:p w14:paraId="370C093C">
                  <w:pPr>
                    <w:pStyle w:val="51"/>
                    <w:keepNext/>
                    <w:rPr>
                      <w:color w:val="auto"/>
                    </w:rPr>
                  </w:pPr>
                  <w:r>
                    <w:rPr>
                      <w:color w:val="auto"/>
                    </w:rPr>
                    <w:t>运</w:t>
                  </w:r>
                </w:p>
                <w:p w14:paraId="00023845">
                  <w:pPr>
                    <w:pStyle w:val="51"/>
                    <w:keepNext/>
                    <w:rPr>
                      <w:color w:val="auto"/>
                    </w:rPr>
                  </w:pPr>
                  <w:r>
                    <w:rPr>
                      <w:color w:val="auto"/>
                    </w:rPr>
                    <w:t>营</w:t>
                  </w:r>
                </w:p>
                <w:p w14:paraId="4564F7E0">
                  <w:pPr>
                    <w:pStyle w:val="51"/>
                    <w:keepNext/>
                    <w:rPr>
                      <w:color w:val="auto"/>
                    </w:rPr>
                  </w:pPr>
                  <w:r>
                    <w:rPr>
                      <w:color w:val="auto"/>
                    </w:rPr>
                    <w:t>期</w:t>
                  </w:r>
                </w:p>
              </w:tc>
              <w:tc>
                <w:tcPr>
                  <w:tcW w:w="1281" w:type="dxa"/>
                  <w:tcBorders>
                    <w:left w:val="single" w:color="auto" w:sz="4" w:space="0"/>
                  </w:tcBorders>
                  <w:vAlign w:val="center"/>
                </w:tcPr>
                <w:p w14:paraId="06925830">
                  <w:pPr>
                    <w:pStyle w:val="51"/>
                    <w:keepNext/>
                    <w:rPr>
                      <w:color w:val="auto"/>
                    </w:rPr>
                  </w:pPr>
                  <w:r>
                    <w:rPr>
                      <w:color w:val="auto"/>
                    </w:rPr>
                    <w:t>废气治理</w:t>
                  </w:r>
                </w:p>
              </w:tc>
              <w:tc>
                <w:tcPr>
                  <w:tcW w:w="1559" w:type="dxa"/>
                  <w:vAlign w:val="center"/>
                </w:tcPr>
                <w:p w14:paraId="30694EAA">
                  <w:pPr>
                    <w:pStyle w:val="51"/>
                    <w:keepNext/>
                    <w:rPr>
                      <w:color w:val="auto"/>
                    </w:rPr>
                  </w:pPr>
                  <w:r>
                    <w:rPr>
                      <w:color w:val="auto"/>
                    </w:rPr>
                    <w:t>切割工段</w:t>
                  </w:r>
                </w:p>
              </w:tc>
              <w:tc>
                <w:tcPr>
                  <w:tcW w:w="3119" w:type="dxa"/>
                  <w:vAlign w:val="center"/>
                </w:tcPr>
                <w:p w14:paraId="0F5CFE61">
                  <w:pPr>
                    <w:pStyle w:val="51"/>
                    <w:keepNext/>
                    <w:jc w:val="both"/>
                    <w:rPr>
                      <w:rFonts w:hint="default" w:eastAsia="宋体"/>
                      <w:color w:val="auto"/>
                      <w:lang w:val="en-US" w:eastAsia="zh-CN"/>
                    </w:rPr>
                  </w:pPr>
                  <w:r>
                    <w:rPr>
                      <w:color w:val="auto"/>
                    </w:rPr>
                    <w:t>移动式</w:t>
                  </w:r>
                  <w:r>
                    <w:rPr>
                      <w:rFonts w:hint="eastAsia"/>
                      <w:color w:val="auto"/>
                      <w:lang w:val="en-US" w:eastAsia="zh-CN"/>
                    </w:rPr>
                    <w:t>布袋除尘</w:t>
                  </w:r>
                  <w:r>
                    <w:rPr>
                      <w:color w:val="auto"/>
                    </w:rPr>
                    <w:t>器、</w:t>
                  </w:r>
                  <w:r>
                    <w:rPr>
                      <w:rFonts w:hint="eastAsia"/>
                      <w:color w:val="auto"/>
                    </w:rPr>
                    <w:t>集气罩</w:t>
                  </w:r>
                  <w:r>
                    <w:rPr>
                      <w:rFonts w:hint="eastAsia"/>
                      <w:color w:val="auto"/>
                      <w:lang w:eastAsia="zh-CN"/>
                    </w:rPr>
                    <w:t>、</w:t>
                  </w:r>
                  <w:r>
                    <w:rPr>
                      <w:rFonts w:hint="eastAsia"/>
                      <w:color w:val="auto"/>
                    </w:rPr>
                    <w:t>活性炭吸附装置</w:t>
                  </w:r>
                  <w:r>
                    <w:rPr>
                      <w:rFonts w:hint="eastAsia"/>
                      <w:color w:val="auto"/>
                      <w:lang w:eastAsia="zh-CN"/>
                    </w:rPr>
                    <w:t>、</w:t>
                  </w:r>
                  <w:r>
                    <w:rPr>
                      <w:rFonts w:hint="eastAsia"/>
                      <w:color w:val="auto"/>
                      <w:lang w:val="en-US" w:eastAsia="zh-CN"/>
                    </w:rPr>
                    <w:t>危险废物贮存容器密闭</w:t>
                  </w:r>
                </w:p>
              </w:tc>
              <w:tc>
                <w:tcPr>
                  <w:tcW w:w="1101" w:type="dxa"/>
                  <w:vAlign w:val="center"/>
                </w:tcPr>
                <w:p w14:paraId="317FD1FB">
                  <w:pPr>
                    <w:pStyle w:val="51"/>
                    <w:keepNext/>
                    <w:rPr>
                      <w:color w:val="auto"/>
                    </w:rPr>
                  </w:pPr>
                  <w:r>
                    <w:rPr>
                      <w:color w:val="auto"/>
                    </w:rPr>
                    <w:t>1.0</w:t>
                  </w:r>
                </w:p>
              </w:tc>
            </w:tr>
            <w:tr w14:paraId="719B546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61" w:type="dxa"/>
                  <w:vMerge w:val="continue"/>
                  <w:tcBorders>
                    <w:right w:val="single" w:color="auto" w:sz="4" w:space="0"/>
                  </w:tcBorders>
                  <w:vAlign w:val="center"/>
                </w:tcPr>
                <w:p w14:paraId="0A6432E4">
                  <w:pPr>
                    <w:pStyle w:val="51"/>
                    <w:keepNext/>
                    <w:rPr>
                      <w:color w:val="auto"/>
                    </w:rPr>
                  </w:pPr>
                </w:p>
              </w:tc>
              <w:tc>
                <w:tcPr>
                  <w:tcW w:w="1281" w:type="dxa"/>
                  <w:tcBorders>
                    <w:left w:val="single" w:color="auto" w:sz="4" w:space="0"/>
                  </w:tcBorders>
                  <w:vAlign w:val="center"/>
                </w:tcPr>
                <w:p w14:paraId="046FB249">
                  <w:pPr>
                    <w:pStyle w:val="51"/>
                    <w:keepNext/>
                    <w:rPr>
                      <w:color w:val="auto"/>
                    </w:rPr>
                  </w:pPr>
                  <w:r>
                    <w:rPr>
                      <w:color w:val="auto"/>
                    </w:rPr>
                    <w:t>噪声治理</w:t>
                  </w:r>
                </w:p>
              </w:tc>
              <w:tc>
                <w:tcPr>
                  <w:tcW w:w="1559" w:type="dxa"/>
                  <w:vAlign w:val="center"/>
                </w:tcPr>
                <w:p w14:paraId="10E34E4A">
                  <w:pPr>
                    <w:pStyle w:val="51"/>
                    <w:keepNext/>
                    <w:rPr>
                      <w:color w:val="auto"/>
                    </w:rPr>
                  </w:pPr>
                  <w:r>
                    <w:rPr>
                      <w:color w:val="auto"/>
                    </w:rPr>
                    <w:t>设备噪声</w:t>
                  </w:r>
                </w:p>
              </w:tc>
              <w:tc>
                <w:tcPr>
                  <w:tcW w:w="3119" w:type="dxa"/>
                  <w:vAlign w:val="center"/>
                </w:tcPr>
                <w:p w14:paraId="1F3934FA">
                  <w:pPr>
                    <w:pStyle w:val="51"/>
                    <w:keepNext/>
                    <w:jc w:val="both"/>
                    <w:rPr>
                      <w:color w:val="auto"/>
                    </w:rPr>
                  </w:pPr>
                  <w:r>
                    <w:rPr>
                      <w:color w:val="auto"/>
                    </w:rPr>
                    <w:t>选用低噪声设备，隔声减振、车间采用隔声门窗等</w:t>
                  </w:r>
                </w:p>
              </w:tc>
              <w:tc>
                <w:tcPr>
                  <w:tcW w:w="1101" w:type="dxa"/>
                  <w:vAlign w:val="center"/>
                </w:tcPr>
                <w:p w14:paraId="7CE7610E">
                  <w:pPr>
                    <w:pStyle w:val="51"/>
                    <w:keepNext/>
                    <w:rPr>
                      <w:color w:val="auto"/>
                    </w:rPr>
                  </w:pPr>
                  <w:r>
                    <w:rPr>
                      <w:color w:val="auto"/>
                    </w:rPr>
                    <w:t>1.0</w:t>
                  </w:r>
                </w:p>
              </w:tc>
            </w:tr>
            <w:tr w14:paraId="1BD2F3D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61" w:type="dxa"/>
                  <w:vMerge w:val="continue"/>
                  <w:tcBorders>
                    <w:right w:val="single" w:color="auto" w:sz="4" w:space="0"/>
                  </w:tcBorders>
                  <w:vAlign w:val="center"/>
                </w:tcPr>
                <w:p w14:paraId="5E99CA0D">
                  <w:pPr>
                    <w:pStyle w:val="51"/>
                    <w:keepNext/>
                    <w:rPr>
                      <w:color w:val="auto"/>
                    </w:rPr>
                  </w:pPr>
                </w:p>
              </w:tc>
              <w:tc>
                <w:tcPr>
                  <w:tcW w:w="1281" w:type="dxa"/>
                  <w:tcBorders>
                    <w:left w:val="single" w:color="auto" w:sz="4" w:space="0"/>
                  </w:tcBorders>
                  <w:vAlign w:val="center"/>
                </w:tcPr>
                <w:p w14:paraId="75E42388">
                  <w:pPr>
                    <w:pStyle w:val="51"/>
                    <w:keepNext/>
                    <w:rPr>
                      <w:color w:val="auto"/>
                    </w:rPr>
                  </w:pPr>
                  <w:r>
                    <w:rPr>
                      <w:color w:val="auto"/>
                    </w:rPr>
                    <w:t>废水治理</w:t>
                  </w:r>
                </w:p>
              </w:tc>
              <w:tc>
                <w:tcPr>
                  <w:tcW w:w="1559" w:type="dxa"/>
                  <w:vAlign w:val="center"/>
                </w:tcPr>
                <w:p w14:paraId="41EB601F">
                  <w:pPr>
                    <w:pStyle w:val="51"/>
                    <w:keepNext/>
                    <w:rPr>
                      <w:rFonts w:hint="eastAsia" w:eastAsia="宋体"/>
                      <w:color w:val="auto"/>
                      <w:lang w:eastAsia="zh-CN"/>
                    </w:rPr>
                  </w:pPr>
                  <w:r>
                    <w:rPr>
                      <w:rFonts w:hint="eastAsia"/>
                      <w:color w:val="auto"/>
                      <w:lang w:val="en-US" w:eastAsia="zh-CN"/>
                    </w:rPr>
                    <w:t>生活污水</w:t>
                  </w:r>
                </w:p>
              </w:tc>
              <w:tc>
                <w:tcPr>
                  <w:tcW w:w="3119" w:type="dxa"/>
                  <w:vAlign w:val="center"/>
                </w:tcPr>
                <w:p w14:paraId="59B84165">
                  <w:pPr>
                    <w:pStyle w:val="51"/>
                    <w:keepNext/>
                    <w:jc w:val="center"/>
                    <w:rPr>
                      <w:rFonts w:hint="eastAsia" w:eastAsia="宋体"/>
                      <w:color w:val="auto"/>
                      <w:lang w:eastAsia="zh-CN"/>
                    </w:rPr>
                  </w:pPr>
                  <w:r>
                    <w:rPr>
                      <w:rFonts w:hint="eastAsia"/>
                      <w:color w:val="auto"/>
                      <w:lang w:val="en-US" w:eastAsia="zh-CN"/>
                    </w:rPr>
                    <w:t>防渗旱厕</w:t>
                  </w:r>
                </w:p>
              </w:tc>
              <w:tc>
                <w:tcPr>
                  <w:tcW w:w="1101" w:type="dxa"/>
                  <w:vAlign w:val="center"/>
                </w:tcPr>
                <w:p w14:paraId="39761420">
                  <w:pPr>
                    <w:pStyle w:val="51"/>
                    <w:keepNext/>
                    <w:rPr>
                      <w:color w:val="auto"/>
                    </w:rPr>
                  </w:pPr>
                  <w:r>
                    <w:rPr>
                      <w:color w:val="auto"/>
                    </w:rPr>
                    <w:t>1.0</w:t>
                  </w:r>
                </w:p>
              </w:tc>
            </w:tr>
            <w:tr w14:paraId="25CF051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2" w:hRule="atLeast"/>
                <w:jc w:val="center"/>
              </w:trPr>
              <w:tc>
                <w:tcPr>
                  <w:tcW w:w="461" w:type="dxa"/>
                  <w:vMerge w:val="continue"/>
                  <w:tcBorders>
                    <w:right w:val="single" w:color="auto" w:sz="4" w:space="0"/>
                  </w:tcBorders>
                  <w:vAlign w:val="center"/>
                </w:tcPr>
                <w:p w14:paraId="1E98F7A3">
                  <w:pPr>
                    <w:pStyle w:val="51"/>
                    <w:keepNext/>
                    <w:rPr>
                      <w:color w:val="auto"/>
                    </w:rPr>
                  </w:pPr>
                </w:p>
              </w:tc>
              <w:tc>
                <w:tcPr>
                  <w:tcW w:w="1281" w:type="dxa"/>
                  <w:vMerge w:val="restart"/>
                  <w:tcBorders>
                    <w:left w:val="single" w:color="auto" w:sz="4" w:space="0"/>
                  </w:tcBorders>
                  <w:vAlign w:val="center"/>
                </w:tcPr>
                <w:p w14:paraId="0DADAF06">
                  <w:pPr>
                    <w:pStyle w:val="51"/>
                    <w:keepNext/>
                    <w:rPr>
                      <w:color w:val="auto"/>
                    </w:rPr>
                  </w:pPr>
                  <w:r>
                    <w:rPr>
                      <w:color w:val="auto"/>
                    </w:rPr>
                    <w:t>固废</w:t>
                  </w:r>
                </w:p>
                <w:p w14:paraId="0DA60535">
                  <w:pPr>
                    <w:pStyle w:val="51"/>
                    <w:keepNext/>
                    <w:rPr>
                      <w:color w:val="auto"/>
                    </w:rPr>
                  </w:pPr>
                  <w:r>
                    <w:rPr>
                      <w:color w:val="auto"/>
                    </w:rPr>
                    <w:t>治理</w:t>
                  </w:r>
                </w:p>
              </w:tc>
              <w:tc>
                <w:tcPr>
                  <w:tcW w:w="1559" w:type="dxa"/>
                  <w:vAlign w:val="center"/>
                </w:tcPr>
                <w:p w14:paraId="7965F5CA">
                  <w:pPr>
                    <w:pStyle w:val="51"/>
                    <w:keepNext/>
                    <w:rPr>
                      <w:color w:val="auto"/>
                    </w:rPr>
                  </w:pPr>
                  <w:r>
                    <w:rPr>
                      <w:color w:val="auto"/>
                    </w:rPr>
                    <w:t>生活垃圾</w:t>
                  </w:r>
                </w:p>
              </w:tc>
              <w:tc>
                <w:tcPr>
                  <w:tcW w:w="3119" w:type="dxa"/>
                  <w:vAlign w:val="center"/>
                </w:tcPr>
                <w:p w14:paraId="3BCA4D25">
                  <w:pPr>
                    <w:pStyle w:val="51"/>
                    <w:keepNext/>
                    <w:rPr>
                      <w:color w:val="auto"/>
                    </w:rPr>
                  </w:pPr>
                  <w:r>
                    <w:rPr>
                      <w:color w:val="auto"/>
                    </w:rPr>
                    <w:t>设置生活垃圾收集箱</w:t>
                  </w:r>
                </w:p>
              </w:tc>
              <w:tc>
                <w:tcPr>
                  <w:tcW w:w="1101" w:type="dxa"/>
                  <w:vAlign w:val="center"/>
                </w:tcPr>
                <w:p w14:paraId="412422D2">
                  <w:pPr>
                    <w:pStyle w:val="51"/>
                    <w:keepNext/>
                    <w:rPr>
                      <w:rFonts w:hint="default" w:eastAsia="宋体"/>
                      <w:color w:val="auto"/>
                      <w:lang w:val="en-US" w:eastAsia="zh-CN"/>
                    </w:rPr>
                  </w:pPr>
                  <w:r>
                    <w:rPr>
                      <w:rFonts w:hint="eastAsia"/>
                      <w:color w:val="auto"/>
                      <w:lang w:val="en-US" w:eastAsia="zh-CN"/>
                    </w:rPr>
                    <w:t>0.3</w:t>
                  </w:r>
                </w:p>
              </w:tc>
            </w:tr>
            <w:tr w14:paraId="1D71871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461" w:type="dxa"/>
                  <w:vMerge w:val="continue"/>
                  <w:tcBorders>
                    <w:right w:val="single" w:color="auto" w:sz="4" w:space="0"/>
                  </w:tcBorders>
                  <w:vAlign w:val="center"/>
                </w:tcPr>
                <w:p w14:paraId="0DD9C891">
                  <w:pPr>
                    <w:pStyle w:val="51"/>
                    <w:keepNext/>
                    <w:rPr>
                      <w:color w:val="auto"/>
                    </w:rPr>
                  </w:pPr>
                </w:p>
              </w:tc>
              <w:tc>
                <w:tcPr>
                  <w:tcW w:w="1281" w:type="dxa"/>
                  <w:vMerge w:val="continue"/>
                  <w:tcBorders>
                    <w:left w:val="single" w:color="auto" w:sz="4" w:space="0"/>
                  </w:tcBorders>
                  <w:vAlign w:val="center"/>
                </w:tcPr>
                <w:p w14:paraId="2D5163C9">
                  <w:pPr>
                    <w:pStyle w:val="51"/>
                    <w:keepNext/>
                    <w:rPr>
                      <w:color w:val="auto"/>
                    </w:rPr>
                  </w:pPr>
                </w:p>
              </w:tc>
              <w:tc>
                <w:tcPr>
                  <w:tcW w:w="1559" w:type="dxa"/>
                  <w:vAlign w:val="center"/>
                </w:tcPr>
                <w:p w14:paraId="080E50EA">
                  <w:pPr>
                    <w:pStyle w:val="51"/>
                    <w:keepNext/>
                    <w:rPr>
                      <w:color w:val="auto"/>
                    </w:rPr>
                  </w:pPr>
                  <w:r>
                    <w:rPr>
                      <w:color w:val="auto"/>
                    </w:rPr>
                    <w:t>一般固体废物</w:t>
                  </w:r>
                </w:p>
              </w:tc>
              <w:tc>
                <w:tcPr>
                  <w:tcW w:w="3119" w:type="dxa"/>
                  <w:vAlign w:val="center"/>
                </w:tcPr>
                <w:p w14:paraId="5C54530B">
                  <w:pPr>
                    <w:pStyle w:val="51"/>
                    <w:keepNext/>
                    <w:rPr>
                      <w:color w:val="auto"/>
                    </w:rPr>
                  </w:pPr>
                  <w:r>
                    <w:rPr>
                      <w:color w:val="auto"/>
                    </w:rPr>
                    <w:t>存储装置</w:t>
                  </w:r>
                </w:p>
              </w:tc>
              <w:tc>
                <w:tcPr>
                  <w:tcW w:w="1101" w:type="dxa"/>
                  <w:vAlign w:val="center"/>
                </w:tcPr>
                <w:p w14:paraId="696AFEE7">
                  <w:pPr>
                    <w:pStyle w:val="51"/>
                    <w:keepNext/>
                    <w:rPr>
                      <w:rFonts w:hint="default" w:eastAsia="宋体"/>
                      <w:color w:val="auto"/>
                      <w:lang w:val="en-US" w:eastAsia="zh-CN"/>
                    </w:rPr>
                  </w:pPr>
                  <w:r>
                    <w:rPr>
                      <w:rFonts w:hint="eastAsia"/>
                      <w:color w:val="auto"/>
                      <w:lang w:val="en-US" w:eastAsia="zh-CN"/>
                    </w:rPr>
                    <w:t>2.0</w:t>
                  </w:r>
                </w:p>
              </w:tc>
            </w:tr>
            <w:tr w14:paraId="0A27DB5D">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461" w:type="dxa"/>
                  <w:vMerge w:val="continue"/>
                  <w:tcBorders>
                    <w:right w:val="single" w:color="auto" w:sz="4" w:space="0"/>
                  </w:tcBorders>
                  <w:vAlign w:val="center"/>
                </w:tcPr>
                <w:p w14:paraId="51C51799">
                  <w:pPr>
                    <w:pStyle w:val="51"/>
                    <w:keepNext/>
                    <w:rPr>
                      <w:color w:val="auto"/>
                    </w:rPr>
                  </w:pPr>
                </w:p>
              </w:tc>
              <w:tc>
                <w:tcPr>
                  <w:tcW w:w="1281" w:type="dxa"/>
                  <w:vMerge w:val="continue"/>
                  <w:tcBorders>
                    <w:left w:val="single" w:color="auto" w:sz="4" w:space="0"/>
                  </w:tcBorders>
                  <w:vAlign w:val="center"/>
                </w:tcPr>
                <w:p w14:paraId="13C037DE">
                  <w:pPr>
                    <w:pStyle w:val="51"/>
                    <w:keepNext/>
                    <w:rPr>
                      <w:color w:val="auto"/>
                    </w:rPr>
                  </w:pPr>
                </w:p>
              </w:tc>
              <w:tc>
                <w:tcPr>
                  <w:tcW w:w="1559" w:type="dxa"/>
                  <w:vAlign w:val="center"/>
                </w:tcPr>
                <w:p w14:paraId="08E1E109">
                  <w:pPr>
                    <w:pStyle w:val="51"/>
                    <w:keepNext/>
                    <w:rPr>
                      <w:color w:val="auto"/>
                    </w:rPr>
                  </w:pPr>
                  <w:r>
                    <w:rPr>
                      <w:color w:val="auto"/>
                    </w:rPr>
                    <w:t>危险废物</w:t>
                  </w:r>
                </w:p>
              </w:tc>
              <w:tc>
                <w:tcPr>
                  <w:tcW w:w="3119" w:type="dxa"/>
                  <w:vAlign w:val="center"/>
                </w:tcPr>
                <w:p w14:paraId="19F7882F">
                  <w:pPr>
                    <w:pStyle w:val="51"/>
                    <w:keepNext/>
                    <w:rPr>
                      <w:color w:val="auto"/>
                    </w:rPr>
                  </w:pPr>
                  <w:r>
                    <w:rPr>
                      <w:color w:val="auto"/>
                    </w:rPr>
                    <w:t>委托有资质单位处理</w:t>
                  </w:r>
                </w:p>
              </w:tc>
              <w:tc>
                <w:tcPr>
                  <w:tcW w:w="1101" w:type="dxa"/>
                  <w:vAlign w:val="center"/>
                </w:tcPr>
                <w:p w14:paraId="3E224077">
                  <w:pPr>
                    <w:pStyle w:val="51"/>
                    <w:keepNext/>
                    <w:rPr>
                      <w:rFonts w:hint="default" w:eastAsia="宋体"/>
                      <w:color w:val="auto"/>
                      <w:lang w:val="en-US" w:eastAsia="zh-CN"/>
                    </w:rPr>
                  </w:pPr>
                  <w:r>
                    <w:rPr>
                      <w:rFonts w:hint="eastAsia"/>
                      <w:color w:val="auto"/>
                      <w:lang w:val="en-US" w:eastAsia="zh-CN"/>
                    </w:rPr>
                    <w:t>2</w:t>
                  </w:r>
                </w:p>
              </w:tc>
            </w:tr>
            <w:tr w14:paraId="6A64447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461" w:type="dxa"/>
                  <w:vMerge w:val="continue"/>
                  <w:tcBorders>
                    <w:right w:val="single" w:color="auto" w:sz="4" w:space="0"/>
                  </w:tcBorders>
                  <w:vAlign w:val="center"/>
                </w:tcPr>
                <w:p w14:paraId="161A3723">
                  <w:pPr>
                    <w:pStyle w:val="51"/>
                    <w:keepNext/>
                    <w:rPr>
                      <w:color w:val="auto"/>
                    </w:rPr>
                  </w:pPr>
                </w:p>
              </w:tc>
              <w:tc>
                <w:tcPr>
                  <w:tcW w:w="1281" w:type="dxa"/>
                  <w:tcBorders>
                    <w:left w:val="single" w:color="auto" w:sz="4" w:space="0"/>
                  </w:tcBorders>
                  <w:vAlign w:val="center"/>
                </w:tcPr>
                <w:p w14:paraId="7FCA634D">
                  <w:pPr>
                    <w:pStyle w:val="51"/>
                    <w:keepNext/>
                    <w:rPr>
                      <w:rFonts w:hint="eastAsia" w:eastAsia="宋体"/>
                      <w:color w:val="auto"/>
                      <w:lang w:eastAsia="zh-CN"/>
                    </w:rPr>
                  </w:pPr>
                  <w:r>
                    <w:rPr>
                      <w:rFonts w:hint="eastAsia"/>
                      <w:color w:val="auto"/>
                      <w:lang w:eastAsia="zh-CN"/>
                    </w:rPr>
                    <w:t>危险废物贮存库</w:t>
                  </w:r>
                </w:p>
              </w:tc>
              <w:tc>
                <w:tcPr>
                  <w:tcW w:w="4678" w:type="dxa"/>
                  <w:gridSpan w:val="2"/>
                  <w:vAlign w:val="center"/>
                </w:tcPr>
                <w:p w14:paraId="1BFD55AA">
                  <w:pPr>
                    <w:pStyle w:val="51"/>
                    <w:keepNext/>
                    <w:jc w:val="both"/>
                    <w:rPr>
                      <w:color w:val="auto"/>
                    </w:rPr>
                  </w:pPr>
                  <w:r>
                    <w:rPr>
                      <w:rFonts w:hint="eastAsia"/>
                      <w:bCs/>
                      <w:color w:val="auto"/>
                      <w:szCs w:val="21"/>
                    </w:rPr>
                    <w:t>设置泄漏液体收集装置、排风装置设施并配备活性炭吸附装置等。</w:t>
                  </w:r>
                </w:p>
              </w:tc>
              <w:tc>
                <w:tcPr>
                  <w:tcW w:w="1101" w:type="dxa"/>
                  <w:vMerge w:val="restart"/>
                  <w:vAlign w:val="center"/>
                </w:tcPr>
                <w:p w14:paraId="6F48DDD8">
                  <w:pPr>
                    <w:pStyle w:val="51"/>
                    <w:keepNext/>
                    <w:rPr>
                      <w:color w:val="auto"/>
                    </w:rPr>
                  </w:pPr>
                  <w:r>
                    <w:rPr>
                      <w:rFonts w:hint="eastAsia"/>
                      <w:color w:val="auto"/>
                      <w:lang w:val="en-US" w:eastAsia="zh-CN"/>
                    </w:rPr>
                    <w:t>1</w:t>
                  </w:r>
                </w:p>
              </w:tc>
            </w:tr>
            <w:tr w14:paraId="2B054EA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461" w:type="dxa"/>
                  <w:vMerge w:val="continue"/>
                  <w:tcBorders>
                    <w:right w:val="single" w:color="auto" w:sz="4" w:space="0"/>
                  </w:tcBorders>
                  <w:vAlign w:val="center"/>
                </w:tcPr>
                <w:p w14:paraId="189CB3C5">
                  <w:pPr>
                    <w:pStyle w:val="51"/>
                    <w:keepNext/>
                    <w:rPr>
                      <w:color w:val="auto"/>
                    </w:rPr>
                  </w:pPr>
                </w:p>
              </w:tc>
              <w:tc>
                <w:tcPr>
                  <w:tcW w:w="1281" w:type="dxa"/>
                  <w:tcBorders>
                    <w:left w:val="single" w:color="auto" w:sz="4" w:space="0"/>
                  </w:tcBorders>
                  <w:vAlign w:val="center"/>
                </w:tcPr>
                <w:p w14:paraId="3743EAF8">
                  <w:pPr>
                    <w:pStyle w:val="51"/>
                    <w:keepNext/>
                    <w:rPr>
                      <w:color w:val="auto"/>
                    </w:rPr>
                  </w:pPr>
                  <w:r>
                    <w:rPr>
                      <w:color w:val="auto"/>
                    </w:rPr>
                    <w:t>防渗</w:t>
                  </w:r>
                </w:p>
              </w:tc>
              <w:tc>
                <w:tcPr>
                  <w:tcW w:w="4678" w:type="dxa"/>
                  <w:gridSpan w:val="2"/>
                  <w:vAlign w:val="center"/>
                </w:tcPr>
                <w:p w14:paraId="28D93FB0">
                  <w:pPr>
                    <w:pStyle w:val="51"/>
                    <w:keepNext/>
                    <w:jc w:val="both"/>
                    <w:rPr>
                      <w:b/>
                      <w:bCs/>
                      <w:color w:val="auto"/>
                    </w:rPr>
                  </w:pPr>
                  <w:r>
                    <w:rPr>
                      <w:rFonts w:hint="eastAsia" w:ascii="宋体" w:hAnsi="宋体" w:cs="宋体"/>
                      <w:color w:val="auto"/>
                    </w:rPr>
                    <w:t>①</w:t>
                  </w:r>
                  <w:r>
                    <w:rPr>
                      <w:color w:val="auto"/>
                    </w:rPr>
                    <w:t>重点防渗区：包括</w:t>
                  </w:r>
                  <w:r>
                    <w:rPr>
                      <w:rFonts w:hint="eastAsia"/>
                      <w:color w:val="auto"/>
                      <w:lang w:eastAsia="zh-CN"/>
                    </w:rPr>
                    <w:t>危险废物贮存库</w:t>
                  </w:r>
                  <w:r>
                    <w:rPr>
                      <w:color w:val="auto"/>
                    </w:rPr>
                    <w:t>。采取抗渗钢纤维混凝土或高密度聚乙烯膜(HDPE)进行防渗，防渗技术要求达到等效黏土防渗层Mb≥6.0m，K≤1×10</w:t>
                  </w:r>
                  <w:r>
                    <w:rPr>
                      <w:color w:val="auto"/>
                      <w:vertAlign w:val="superscript"/>
                    </w:rPr>
                    <w:t>-7</w:t>
                  </w:r>
                  <w:r>
                    <w:rPr>
                      <w:color w:val="auto"/>
                    </w:rPr>
                    <w:t>cm/s的要求；</w:t>
                  </w:r>
                  <w:r>
                    <w:rPr>
                      <w:rFonts w:hint="eastAsia"/>
                      <w:color w:val="auto"/>
                      <w:lang w:eastAsia="zh-CN"/>
                    </w:rPr>
                    <w:t>危险废物贮存库</w:t>
                  </w:r>
                  <w:r>
                    <w:rPr>
                      <w:bCs/>
                      <w:color w:val="auto"/>
                    </w:rPr>
                    <w:t>建设严格按照</w:t>
                  </w:r>
                  <w:r>
                    <w:rPr>
                      <w:rFonts w:hint="eastAsia"/>
                      <w:bCs/>
                      <w:color w:val="auto"/>
                      <w:lang w:eastAsia="zh-CN"/>
                    </w:rPr>
                    <w:t>《危险废物贮存污染控制标准》（GB18597-2023）</w:t>
                  </w:r>
                  <w:r>
                    <w:rPr>
                      <w:bCs/>
                      <w:color w:val="auto"/>
                    </w:rPr>
                    <w:t>中相关规定进行设置，地面防渗、</w:t>
                  </w:r>
                  <w:r>
                    <w:rPr>
                      <w:rFonts w:hint="eastAsia"/>
                      <w:bCs/>
                      <w:color w:val="auto"/>
                      <w:lang w:eastAsia="zh-CN"/>
                    </w:rPr>
                    <w:t>裙脚</w:t>
                  </w:r>
                  <w:r>
                    <w:rPr>
                      <w:bCs/>
                      <w:color w:val="auto"/>
                    </w:rPr>
                    <w:t>防渗，防渗层为至少1米厚粘土层（渗透系数≤10</w:t>
                  </w:r>
                  <w:r>
                    <w:rPr>
                      <w:bCs/>
                      <w:color w:val="auto"/>
                      <w:vertAlign w:val="superscript"/>
                    </w:rPr>
                    <w:t>-7</w:t>
                  </w:r>
                  <w:r>
                    <w:rPr>
                      <w:bCs/>
                      <w:color w:val="auto"/>
                    </w:rPr>
                    <w:t>cm/s），或2mm厚高密度聚乙烯</w:t>
                  </w:r>
                  <w:r>
                    <w:rPr>
                      <w:rFonts w:hint="eastAsia"/>
                      <w:bCs/>
                      <w:color w:val="auto"/>
                    </w:rPr>
                    <w:t>膜等人工防渗材料</w:t>
                  </w:r>
                  <w:r>
                    <w:rPr>
                      <w:rFonts w:hint="eastAsia"/>
                      <w:bCs/>
                      <w:color w:val="auto"/>
                      <w:lang w:eastAsia="zh-CN"/>
                    </w:rPr>
                    <w:t>（</w:t>
                  </w:r>
                  <w:r>
                    <w:rPr>
                      <w:bCs/>
                      <w:color w:val="auto"/>
                    </w:rPr>
                    <w:t>渗透系数≤10</w:t>
                  </w:r>
                  <w:r>
                    <w:rPr>
                      <w:bCs/>
                      <w:color w:val="auto"/>
                      <w:vertAlign w:val="superscript"/>
                    </w:rPr>
                    <w:t>-10</w:t>
                  </w:r>
                  <w:r>
                    <w:rPr>
                      <w:bCs/>
                      <w:color w:val="auto"/>
                    </w:rPr>
                    <w:t>cm/s</w:t>
                  </w:r>
                  <w:r>
                    <w:rPr>
                      <w:rFonts w:hint="eastAsia"/>
                      <w:bCs/>
                      <w:color w:val="auto"/>
                      <w:lang w:eastAsia="zh-CN"/>
                    </w:rPr>
                    <w:t>）</w:t>
                  </w:r>
                  <w:r>
                    <w:rPr>
                      <w:bCs/>
                      <w:color w:val="auto"/>
                    </w:rPr>
                    <w:t>，并设置20cm高围堰。</w:t>
                  </w:r>
                  <w:r>
                    <w:rPr>
                      <w:rFonts w:hint="eastAsia" w:ascii="宋体" w:hAnsi="宋体" w:cs="宋体"/>
                      <w:color w:val="auto"/>
                    </w:rPr>
                    <w:t>②</w:t>
                  </w:r>
                  <w:r>
                    <w:rPr>
                      <w:color w:val="auto"/>
                    </w:rPr>
                    <w:t>一般防渗区：包括拆解车间、待拆车辆贮存场地、</w:t>
                  </w:r>
                  <w:r>
                    <w:rPr>
                      <w:rFonts w:hint="eastAsia"/>
                      <w:color w:val="auto"/>
                    </w:rPr>
                    <w:t>农机拆除成品半成品及零件贮存库</w:t>
                  </w:r>
                  <w:r>
                    <w:rPr>
                      <w:color w:val="auto"/>
                    </w:rPr>
                    <w:t>。采用防渗混凝土或HDPE膜进行防渗，其防渗技术要求可满足等效黏土防渗层Mb≥1.5m，K≤1×10</w:t>
                  </w:r>
                  <w:r>
                    <w:rPr>
                      <w:color w:val="auto"/>
                      <w:vertAlign w:val="superscript"/>
                    </w:rPr>
                    <w:t>-7</w:t>
                  </w:r>
                  <w:r>
                    <w:rPr>
                      <w:color w:val="auto"/>
                    </w:rPr>
                    <w:t>cm/s的要求。</w:t>
                  </w:r>
                  <w:r>
                    <w:rPr>
                      <w:rFonts w:hint="eastAsia" w:ascii="宋体" w:hAnsi="宋体" w:cs="宋体"/>
                      <w:color w:val="auto"/>
                    </w:rPr>
                    <w:t>③</w:t>
                  </w:r>
                  <w:r>
                    <w:rPr>
                      <w:color w:val="auto"/>
                    </w:rPr>
                    <w:t>简单防渗区：包括</w:t>
                  </w:r>
                  <w:r>
                    <w:rPr>
                      <w:rFonts w:hint="eastAsia"/>
                      <w:color w:val="auto"/>
                      <w:lang w:val="en-US" w:eastAsia="zh-CN"/>
                    </w:rPr>
                    <w:t>办公区、</w:t>
                  </w:r>
                  <w:r>
                    <w:rPr>
                      <w:color w:val="auto"/>
                    </w:rPr>
                    <w:t>厂区道路。进行一般地面水泥硬化。</w:t>
                  </w:r>
                </w:p>
              </w:tc>
              <w:tc>
                <w:tcPr>
                  <w:tcW w:w="1101" w:type="dxa"/>
                  <w:vMerge w:val="continue"/>
                  <w:vAlign w:val="center"/>
                </w:tcPr>
                <w:p w14:paraId="35034E0C">
                  <w:pPr>
                    <w:pStyle w:val="51"/>
                    <w:keepNext/>
                    <w:rPr>
                      <w:color w:val="auto"/>
                    </w:rPr>
                  </w:pPr>
                </w:p>
              </w:tc>
            </w:tr>
            <w:tr w14:paraId="7E83434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461" w:type="dxa"/>
                  <w:vMerge w:val="continue"/>
                  <w:tcBorders>
                    <w:right w:val="single" w:color="auto" w:sz="4" w:space="0"/>
                  </w:tcBorders>
                  <w:vAlign w:val="center"/>
                </w:tcPr>
                <w:p w14:paraId="7E5CFEDD">
                  <w:pPr>
                    <w:pStyle w:val="51"/>
                    <w:keepNext/>
                    <w:rPr>
                      <w:color w:val="auto"/>
                    </w:rPr>
                  </w:pPr>
                </w:p>
              </w:tc>
              <w:tc>
                <w:tcPr>
                  <w:tcW w:w="5959" w:type="dxa"/>
                  <w:gridSpan w:val="3"/>
                  <w:tcBorders>
                    <w:left w:val="single" w:color="auto" w:sz="4" w:space="0"/>
                  </w:tcBorders>
                  <w:vAlign w:val="center"/>
                </w:tcPr>
                <w:p w14:paraId="3DCE11D0">
                  <w:pPr>
                    <w:pStyle w:val="51"/>
                    <w:keepNext/>
                    <w:rPr>
                      <w:color w:val="auto"/>
                    </w:rPr>
                  </w:pPr>
                  <w:r>
                    <w:rPr>
                      <w:color w:val="auto"/>
                    </w:rPr>
                    <w:t>运行、管理、维护、</w:t>
                  </w:r>
                  <w:r>
                    <w:rPr>
                      <w:rFonts w:hint="eastAsia"/>
                      <w:color w:val="auto"/>
                      <w:lang w:val="en-US" w:eastAsia="zh-CN"/>
                    </w:rPr>
                    <w:t>环境管理、</w:t>
                  </w:r>
                  <w:r>
                    <w:rPr>
                      <w:color w:val="auto"/>
                    </w:rPr>
                    <w:t>验收、监测费</w:t>
                  </w:r>
                </w:p>
              </w:tc>
              <w:tc>
                <w:tcPr>
                  <w:tcW w:w="1101" w:type="dxa"/>
                  <w:vAlign w:val="center"/>
                </w:tcPr>
                <w:p w14:paraId="26DC30AA">
                  <w:pPr>
                    <w:pStyle w:val="51"/>
                    <w:keepNext/>
                    <w:rPr>
                      <w:color w:val="auto"/>
                    </w:rPr>
                  </w:pPr>
                  <w:r>
                    <w:rPr>
                      <w:rFonts w:hint="eastAsia"/>
                      <w:color w:val="auto"/>
                      <w:lang w:val="en-US" w:eastAsia="zh-CN"/>
                    </w:rPr>
                    <w:t>0</w:t>
                  </w:r>
                  <w:r>
                    <w:rPr>
                      <w:color w:val="auto"/>
                    </w:rPr>
                    <w:t>.5</w:t>
                  </w:r>
                </w:p>
              </w:tc>
            </w:tr>
            <w:tr w14:paraId="7A68976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420" w:type="dxa"/>
                  <w:gridSpan w:val="4"/>
                  <w:vAlign w:val="center"/>
                </w:tcPr>
                <w:p w14:paraId="4E6BE4E8">
                  <w:pPr>
                    <w:pStyle w:val="51"/>
                    <w:keepNext/>
                    <w:rPr>
                      <w:color w:val="auto"/>
                    </w:rPr>
                  </w:pPr>
                  <w:r>
                    <w:rPr>
                      <w:color w:val="auto"/>
                    </w:rPr>
                    <w:t>环保投资合计</w:t>
                  </w:r>
                </w:p>
              </w:tc>
              <w:tc>
                <w:tcPr>
                  <w:tcW w:w="1101" w:type="dxa"/>
                  <w:vAlign w:val="center"/>
                </w:tcPr>
                <w:p w14:paraId="4F67843F">
                  <w:pPr>
                    <w:pStyle w:val="51"/>
                    <w:keepNext/>
                    <w:rPr>
                      <w:rFonts w:hint="default" w:eastAsia="宋体"/>
                      <w:color w:val="auto"/>
                      <w:kern w:val="0"/>
                      <w:lang w:val="en-US" w:eastAsia="zh-CN"/>
                    </w:rPr>
                  </w:pPr>
                  <w:r>
                    <w:rPr>
                      <w:rFonts w:hint="eastAsia"/>
                      <w:color w:val="auto"/>
                      <w:kern w:val="0"/>
                      <w:lang w:val="en-US" w:eastAsia="zh-CN"/>
                    </w:rPr>
                    <w:t>8.8</w:t>
                  </w:r>
                </w:p>
              </w:tc>
            </w:tr>
            <w:tr w14:paraId="1DE321D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420" w:type="dxa"/>
                  <w:gridSpan w:val="4"/>
                  <w:vAlign w:val="center"/>
                </w:tcPr>
                <w:p w14:paraId="1AA80D6D">
                  <w:pPr>
                    <w:pStyle w:val="51"/>
                    <w:keepNext/>
                    <w:rPr>
                      <w:color w:val="auto"/>
                    </w:rPr>
                  </w:pPr>
                  <w:r>
                    <w:rPr>
                      <w:color w:val="auto"/>
                    </w:rPr>
                    <w:t>总投资</w:t>
                  </w:r>
                </w:p>
              </w:tc>
              <w:tc>
                <w:tcPr>
                  <w:tcW w:w="1101" w:type="dxa"/>
                  <w:vAlign w:val="center"/>
                </w:tcPr>
                <w:p w14:paraId="52A4B30C">
                  <w:pPr>
                    <w:pStyle w:val="51"/>
                    <w:keepNext/>
                    <w:rPr>
                      <w:rFonts w:hint="default" w:eastAsia="宋体"/>
                      <w:color w:val="auto"/>
                      <w:lang w:val="en-US" w:eastAsia="zh-CN"/>
                    </w:rPr>
                  </w:pPr>
                  <w:r>
                    <w:rPr>
                      <w:rFonts w:hint="eastAsia"/>
                      <w:color w:val="auto"/>
                      <w:lang w:val="en-US" w:eastAsia="zh-CN"/>
                    </w:rPr>
                    <w:t>80</w:t>
                  </w:r>
                </w:p>
              </w:tc>
            </w:tr>
            <w:tr w14:paraId="53137BC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 w:hRule="atLeast"/>
                <w:jc w:val="center"/>
              </w:trPr>
              <w:tc>
                <w:tcPr>
                  <w:tcW w:w="6420" w:type="dxa"/>
                  <w:gridSpan w:val="4"/>
                  <w:vAlign w:val="center"/>
                </w:tcPr>
                <w:p w14:paraId="3E25E705">
                  <w:pPr>
                    <w:pStyle w:val="51"/>
                    <w:keepNext/>
                    <w:rPr>
                      <w:color w:val="auto"/>
                    </w:rPr>
                  </w:pPr>
                  <w:r>
                    <w:rPr>
                      <w:color w:val="auto"/>
                    </w:rPr>
                    <w:t>环保投资比</w:t>
                  </w:r>
                </w:p>
              </w:tc>
              <w:tc>
                <w:tcPr>
                  <w:tcW w:w="1101" w:type="dxa"/>
                  <w:vAlign w:val="center"/>
                </w:tcPr>
                <w:p w14:paraId="48366F70">
                  <w:pPr>
                    <w:pStyle w:val="51"/>
                    <w:keepNext/>
                    <w:rPr>
                      <w:color w:val="auto"/>
                    </w:rPr>
                  </w:pPr>
                  <w:r>
                    <w:rPr>
                      <w:rFonts w:hint="eastAsia"/>
                      <w:color w:val="auto"/>
                      <w:lang w:val="en-US" w:eastAsia="zh-CN"/>
                    </w:rPr>
                    <w:t>11</w:t>
                  </w:r>
                  <w:r>
                    <w:rPr>
                      <w:color w:val="auto"/>
                    </w:rPr>
                    <w:t>%</w:t>
                  </w:r>
                </w:p>
              </w:tc>
            </w:tr>
          </w:tbl>
          <w:p w14:paraId="5D87046F">
            <w:pPr>
              <w:pStyle w:val="84"/>
              <w:rPr>
                <w:color w:val="auto"/>
              </w:rPr>
            </w:pPr>
            <w:r>
              <w:rPr>
                <w:rFonts w:hint="eastAsia"/>
                <w:color w:val="auto"/>
              </w:rPr>
              <w:t>九、</w:t>
            </w:r>
            <w:r>
              <w:rPr>
                <w:color w:val="auto"/>
              </w:rPr>
              <w:t>环境影响评价与排污许可制度衔接</w:t>
            </w:r>
          </w:p>
          <w:p w14:paraId="01467FBE">
            <w:pPr>
              <w:pStyle w:val="77"/>
              <w:rPr>
                <w:color w:val="auto"/>
              </w:rPr>
            </w:pPr>
            <w:r>
              <w:rPr>
                <w:color w:val="auto"/>
              </w:rPr>
              <w:t>根据《排污许可管理办法》（试行），第三条：环境保护部依法制定并公布固定污染源排污许可分类管理名录，明确纳入排污许可管理的范围和申领时限。纳入固定污染源排污许可分类管理名录的企业事业单位和其他生产经营者（以下简称排污单位）应当按照规定的时限申请并取得排污许可证；未纳入固定污染源排污许可分类管理名录的排污单位，暂不需申请排污许可证。第二十四条：在固定污染源排污许可分类管理名录规定的时限前已经建成并实际排污的排污单位，应当在名录规定时限申请排污许可证；在名录规定的时限后建成的排污单位，应当在启动生产设施或者在实际排污之前申请排污许可证。</w:t>
            </w:r>
          </w:p>
          <w:p w14:paraId="136A6248">
            <w:pPr>
              <w:pStyle w:val="77"/>
              <w:rPr>
                <w:rFonts w:hint="eastAsia"/>
                <w:color w:val="auto"/>
              </w:rPr>
            </w:pPr>
            <w:r>
              <w:rPr>
                <w:color w:val="auto"/>
              </w:rPr>
              <w:t>根据《固定污染源排污许可分类管理名录》（2019年版），本项目属于“</w:t>
            </w:r>
            <w:r>
              <w:rPr>
                <w:rFonts w:hint="eastAsia"/>
                <w:color w:val="auto"/>
              </w:rPr>
              <w:t>废弃资源综合利用业4</w:t>
            </w:r>
            <w:r>
              <w:rPr>
                <w:color w:val="auto"/>
              </w:rPr>
              <w:t>2”中“</w:t>
            </w:r>
            <w:r>
              <w:rPr>
                <w:rFonts w:hint="eastAsia"/>
                <w:color w:val="auto"/>
              </w:rPr>
              <w:t>金属废料和碎屑加工处理4</w:t>
            </w:r>
            <w:r>
              <w:rPr>
                <w:color w:val="auto"/>
              </w:rPr>
              <w:t>21，</w:t>
            </w:r>
            <w:r>
              <w:rPr>
                <w:rFonts w:hint="eastAsia"/>
                <w:color w:val="auto"/>
              </w:rPr>
              <w:t>废弃电器电子产品、废机动车、废电机、废电线电缆、废塑料、废船、含水洗工艺的其他废料和碎屑加工处理</w:t>
            </w:r>
            <w:r>
              <w:rPr>
                <w:color w:val="auto"/>
              </w:rPr>
              <w:t>”，需要进行排污许可证</w:t>
            </w:r>
            <w:r>
              <w:rPr>
                <w:rFonts w:hint="eastAsia"/>
                <w:color w:val="auto"/>
              </w:rPr>
              <w:t>简化</w:t>
            </w:r>
            <w:r>
              <w:rPr>
                <w:color w:val="auto"/>
              </w:rPr>
              <w:t>管理。</w:t>
            </w:r>
          </w:p>
        </w:tc>
      </w:tr>
    </w:tbl>
    <w:p w14:paraId="4421796A">
      <w:pPr>
        <w:pStyle w:val="17"/>
        <w:outlineLvl w:val="0"/>
        <w:rPr>
          <w:rFonts w:ascii="Times New Roman" w:hAnsi="Times New Roman"/>
          <w:b/>
          <w:bCs/>
          <w:snapToGrid w:val="0"/>
          <w:color w:val="auto"/>
          <w:sz w:val="30"/>
          <w:szCs w:val="30"/>
        </w:rPr>
        <w:sectPr>
          <w:pgSz w:w="11906" w:h="16838"/>
          <w:pgMar w:top="1440" w:right="1800" w:bottom="1440" w:left="1800" w:header="851" w:footer="851" w:gutter="0"/>
          <w:pgBorders>
            <w:top w:val="none" w:sz="0" w:space="0"/>
            <w:left w:val="none" w:sz="0" w:space="0"/>
            <w:bottom w:val="none" w:sz="0" w:space="0"/>
            <w:right w:val="none" w:sz="0" w:space="0"/>
          </w:pgBorders>
          <w:cols w:space="720" w:num="1"/>
          <w:docGrid w:linePitch="312" w:charSpace="0"/>
        </w:sectPr>
      </w:pPr>
    </w:p>
    <w:p w14:paraId="4470AE6F">
      <w:pPr>
        <w:pStyle w:val="17"/>
        <w:adjustRightInd w:val="0"/>
        <w:snapToGrid w:val="0"/>
        <w:spacing w:before="0" w:beforeAutospacing="0" w:after="0" w:afterAutospacing="0"/>
        <w:outlineLvl w:val="0"/>
        <w:rPr>
          <w:rFonts w:ascii="Times New Roman" w:hAnsi="Times New Roman"/>
          <w:b/>
          <w:bCs/>
          <w:snapToGrid w:val="0"/>
          <w:color w:val="auto"/>
          <w:sz w:val="30"/>
          <w:szCs w:val="30"/>
        </w:rPr>
      </w:pPr>
      <w:bookmarkStart w:id="13" w:name="_Toc20726"/>
      <w:r>
        <w:rPr>
          <w:rFonts w:ascii="Times New Roman" w:hAnsi="Times New Roman"/>
          <w:b/>
          <w:bCs/>
          <w:snapToGrid w:val="0"/>
          <w:color w:val="auto"/>
          <w:sz w:val="30"/>
          <w:szCs w:val="30"/>
        </w:rPr>
        <w:t>五、</w:t>
      </w:r>
      <w:bookmarkStart w:id="14" w:name="_Hlk54167917"/>
      <w:r>
        <w:rPr>
          <w:rFonts w:ascii="Times New Roman" w:hAnsi="Times New Roman"/>
          <w:b/>
          <w:bCs/>
          <w:snapToGrid w:val="0"/>
          <w:color w:val="auto"/>
          <w:sz w:val="30"/>
          <w:szCs w:val="30"/>
        </w:rPr>
        <w:t>环境保护措施监督检查清单</w:t>
      </w:r>
      <w:bookmarkEnd w:id="13"/>
      <w:bookmarkEnd w:id="14"/>
    </w:p>
    <w:tbl>
      <w:tblPr>
        <w:tblStyle w:val="1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236"/>
        <w:gridCol w:w="1698"/>
        <w:gridCol w:w="1129"/>
        <w:gridCol w:w="2267"/>
        <w:gridCol w:w="2192"/>
      </w:tblGrid>
      <w:tr w14:paraId="0AF1CB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2" w:hRule="atLeast"/>
          <w:jc w:val="center"/>
        </w:trPr>
        <w:tc>
          <w:tcPr>
            <w:tcW w:w="725" w:type="pct"/>
            <w:tcBorders>
              <w:tl2br w:val="single" w:color="auto" w:sz="4" w:space="0"/>
            </w:tcBorders>
            <w:vAlign w:val="center"/>
          </w:tcPr>
          <w:p w14:paraId="5FEB740F">
            <w:pPr>
              <w:pStyle w:val="51"/>
              <w:ind w:firstLine="480"/>
              <w:jc w:val="right"/>
              <w:rPr>
                <w:b/>
                <w:bCs/>
                <w:color w:val="auto"/>
                <w:sz w:val="24"/>
              </w:rPr>
            </w:pPr>
            <w:r>
              <w:rPr>
                <w:b/>
                <w:bCs/>
                <w:color w:val="auto"/>
                <w:sz w:val="24"/>
              </w:rPr>
              <w:t>内容</w:t>
            </w:r>
          </w:p>
          <w:p w14:paraId="127CB7CD">
            <w:pPr>
              <w:pStyle w:val="51"/>
              <w:ind w:firstLine="480"/>
              <w:jc w:val="right"/>
              <w:rPr>
                <w:b/>
                <w:bCs/>
                <w:color w:val="auto"/>
                <w:sz w:val="24"/>
              </w:rPr>
            </w:pPr>
          </w:p>
          <w:p w14:paraId="537B97F0">
            <w:pPr>
              <w:pStyle w:val="51"/>
              <w:jc w:val="both"/>
              <w:rPr>
                <w:b/>
                <w:bCs/>
                <w:color w:val="auto"/>
                <w:sz w:val="24"/>
              </w:rPr>
            </w:pPr>
            <w:r>
              <w:rPr>
                <w:b/>
                <w:bCs/>
                <w:color w:val="auto"/>
                <w:sz w:val="24"/>
              </w:rPr>
              <w:t>要素</w:t>
            </w:r>
          </w:p>
        </w:tc>
        <w:tc>
          <w:tcPr>
            <w:tcW w:w="996" w:type="pct"/>
            <w:vAlign w:val="center"/>
          </w:tcPr>
          <w:p w14:paraId="1519ED14">
            <w:pPr>
              <w:pStyle w:val="51"/>
              <w:rPr>
                <w:b/>
                <w:bCs/>
                <w:color w:val="auto"/>
                <w:sz w:val="24"/>
              </w:rPr>
            </w:pPr>
            <w:r>
              <w:rPr>
                <w:b/>
                <w:bCs/>
                <w:color w:val="auto"/>
                <w:sz w:val="24"/>
              </w:rPr>
              <w:t>排放口</w:t>
            </w:r>
          </w:p>
          <w:p w14:paraId="118E3EA7">
            <w:pPr>
              <w:pStyle w:val="51"/>
              <w:rPr>
                <w:b/>
                <w:bCs/>
                <w:color w:val="auto"/>
                <w:sz w:val="24"/>
              </w:rPr>
            </w:pPr>
            <w:r>
              <w:rPr>
                <w:b/>
                <w:bCs/>
                <w:color w:val="auto"/>
                <w:sz w:val="24"/>
              </w:rPr>
              <w:t>(编号、名称)/污染源</w:t>
            </w:r>
          </w:p>
        </w:tc>
        <w:tc>
          <w:tcPr>
            <w:tcW w:w="662" w:type="pct"/>
            <w:vAlign w:val="center"/>
          </w:tcPr>
          <w:p w14:paraId="3360F1CA">
            <w:pPr>
              <w:pStyle w:val="51"/>
              <w:rPr>
                <w:b/>
                <w:bCs/>
                <w:color w:val="auto"/>
                <w:sz w:val="24"/>
              </w:rPr>
            </w:pPr>
            <w:r>
              <w:rPr>
                <w:b/>
                <w:bCs/>
                <w:color w:val="auto"/>
                <w:sz w:val="24"/>
              </w:rPr>
              <w:t>污染物</w:t>
            </w:r>
          </w:p>
          <w:p w14:paraId="654F5341">
            <w:pPr>
              <w:pStyle w:val="51"/>
              <w:rPr>
                <w:b/>
                <w:bCs/>
                <w:color w:val="auto"/>
                <w:sz w:val="24"/>
              </w:rPr>
            </w:pPr>
            <w:r>
              <w:rPr>
                <w:b/>
                <w:bCs/>
                <w:color w:val="auto"/>
                <w:sz w:val="24"/>
              </w:rPr>
              <w:t>项目</w:t>
            </w:r>
          </w:p>
        </w:tc>
        <w:tc>
          <w:tcPr>
            <w:tcW w:w="1330" w:type="pct"/>
            <w:vAlign w:val="center"/>
          </w:tcPr>
          <w:p w14:paraId="3250543B">
            <w:pPr>
              <w:pStyle w:val="51"/>
              <w:rPr>
                <w:b/>
                <w:bCs/>
                <w:color w:val="auto"/>
                <w:sz w:val="24"/>
              </w:rPr>
            </w:pPr>
            <w:r>
              <w:rPr>
                <w:b/>
                <w:bCs/>
                <w:color w:val="auto"/>
                <w:sz w:val="24"/>
              </w:rPr>
              <w:t>环境保护措施</w:t>
            </w:r>
          </w:p>
        </w:tc>
        <w:tc>
          <w:tcPr>
            <w:tcW w:w="1286" w:type="pct"/>
            <w:vAlign w:val="center"/>
          </w:tcPr>
          <w:p w14:paraId="15CD111C">
            <w:pPr>
              <w:pStyle w:val="51"/>
              <w:rPr>
                <w:b/>
                <w:bCs/>
                <w:color w:val="auto"/>
                <w:sz w:val="24"/>
              </w:rPr>
            </w:pPr>
            <w:r>
              <w:rPr>
                <w:b/>
                <w:bCs/>
                <w:color w:val="auto"/>
                <w:sz w:val="24"/>
              </w:rPr>
              <w:t>执行标准</w:t>
            </w:r>
          </w:p>
        </w:tc>
      </w:tr>
      <w:tr w14:paraId="75D985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34" w:hRule="atLeast"/>
          <w:jc w:val="center"/>
        </w:trPr>
        <w:tc>
          <w:tcPr>
            <w:tcW w:w="725" w:type="pct"/>
            <w:vMerge w:val="restart"/>
            <w:vAlign w:val="center"/>
          </w:tcPr>
          <w:p w14:paraId="2A90136A">
            <w:pPr>
              <w:pStyle w:val="51"/>
              <w:rPr>
                <w:color w:val="auto"/>
                <w:sz w:val="24"/>
              </w:rPr>
            </w:pPr>
            <w:r>
              <w:rPr>
                <w:color w:val="auto"/>
                <w:sz w:val="24"/>
              </w:rPr>
              <w:t>大气环境</w:t>
            </w:r>
          </w:p>
        </w:tc>
        <w:tc>
          <w:tcPr>
            <w:tcW w:w="996" w:type="pct"/>
            <w:vAlign w:val="center"/>
          </w:tcPr>
          <w:p w14:paraId="5D8FE90B">
            <w:pPr>
              <w:pStyle w:val="51"/>
              <w:rPr>
                <w:color w:val="auto"/>
                <w:sz w:val="24"/>
              </w:rPr>
            </w:pPr>
            <w:r>
              <w:rPr>
                <w:color w:val="auto"/>
                <w:sz w:val="24"/>
              </w:rPr>
              <w:t>切割工段</w:t>
            </w:r>
          </w:p>
        </w:tc>
        <w:tc>
          <w:tcPr>
            <w:tcW w:w="662" w:type="pct"/>
            <w:vAlign w:val="center"/>
          </w:tcPr>
          <w:p w14:paraId="679C963B">
            <w:pPr>
              <w:pStyle w:val="51"/>
              <w:rPr>
                <w:color w:val="auto"/>
                <w:sz w:val="24"/>
              </w:rPr>
            </w:pPr>
            <w:r>
              <w:rPr>
                <w:color w:val="auto"/>
                <w:sz w:val="24"/>
              </w:rPr>
              <w:t>颗粒物</w:t>
            </w:r>
          </w:p>
        </w:tc>
        <w:tc>
          <w:tcPr>
            <w:tcW w:w="1330" w:type="pct"/>
            <w:vAlign w:val="center"/>
          </w:tcPr>
          <w:p w14:paraId="13AF7BFA">
            <w:pPr>
              <w:pStyle w:val="51"/>
              <w:jc w:val="both"/>
              <w:rPr>
                <w:color w:val="auto"/>
                <w:sz w:val="24"/>
              </w:rPr>
            </w:pPr>
            <w:r>
              <w:rPr>
                <w:color w:val="auto"/>
                <w:sz w:val="24"/>
              </w:rPr>
              <w:t>本项目在全封闭拆解车间内切割工位设置移动式</w:t>
            </w:r>
            <w:r>
              <w:rPr>
                <w:rFonts w:hint="eastAsia"/>
                <w:color w:val="auto"/>
                <w:sz w:val="24"/>
                <w:lang w:val="en-US" w:eastAsia="zh-CN"/>
              </w:rPr>
              <w:t>布袋除尘</w:t>
            </w:r>
            <w:r>
              <w:rPr>
                <w:color w:val="auto"/>
                <w:sz w:val="24"/>
              </w:rPr>
              <w:t>器，除尘效率按99%计，净化处理后排出的气体经车间侧壁通风设施以无组织形式排放</w:t>
            </w:r>
          </w:p>
        </w:tc>
        <w:tc>
          <w:tcPr>
            <w:tcW w:w="1286" w:type="pct"/>
            <w:vAlign w:val="center"/>
          </w:tcPr>
          <w:p w14:paraId="6417ECC7">
            <w:pPr>
              <w:pStyle w:val="51"/>
              <w:jc w:val="both"/>
              <w:rPr>
                <w:color w:val="auto"/>
                <w:sz w:val="24"/>
              </w:rPr>
            </w:pPr>
            <w:r>
              <w:rPr>
                <w:color w:val="auto"/>
                <w:sz w:val="24"/>
              </w:rPr>
              <w:t>无组织粉尘执行《大气污染物综合排放标准》（GB16297-1996）表2中无组织排放监控浓度限值要求。</w:t>
            </w:r>
          </w:p>
        </w:tc>
      </w:tr>
      <w:tr w14:paraId="79934D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26" w:hRule="atLeast"/>
          <w:jc w:val="center"/>
        </w:trPr>
        <w:tc>
          <w:tcPr>
            <w:tcW w:w="725" w:type="pct"/>
            <w:vMerge w:val="continue"/>
            <w:vAlign w:val="center"/>
          </w:tcPr>
          <w:p w14:paraId="0D2789D7">
            <w:pPr>
              <w:pStyle w:val="51"/>
              <w:rPr>
                <w:color w:val="auto"/>
                <w:sz w:val="24"/>
              </w:rPr>
            </w:pPr>
          </w:p>
        </w:tc>
        <w:tc>
          <w:tcPr>
            <w:tcW w:w="996" w:type="pct"/>
            <w:vAlign w:val="center"/>
          </w:tcPr>
          <w:p w14:paraId="3E0A4C23">
            <w:pPr>
              <w:pStyle w:val="51"/>
              <w:rPr>
                <w:rFonts w:ascii="Times New Roman" w:hAnsi="Times New Roman" w:eastAsia="宋体" w:cs="Times New Roman"/>
                <w:color w:val="auto"/>
                <w:kern w:val="2"/>
                <w:sz w:val="24"/>
                <w:szCs w:val="24"/>
                <w:lang w:val="en-US" w:eastAsia="zh-CN" w:bidi="ar-SA"/>
              </w:rPr>
            </w:pPr>
            <w:r>
              <w:rPr>
                <w:color w:val="auto"/>
                <w:sz w:val="24"/>
              </w:rPr>
              <w:t>排空油箱油品</w:t>
            </w:r>
          </w:p>
        </w:tc>
        <w:tc>
          <w:tcPr>
            <w:tcW w:w="662" w:type="pct"/>
            <w:vAlign w:val="center"/>
          </w:tcPr>
          <w:p w14:paraId="5800C040">
            <w:pPr>
              <w:pStyle w:val="51"/>
              <w:rPr>
                <w:color w:val="auto"/>
                <w:sz w:val="24"/>
              </w:rPr>
            </w:pPr>
            <w:r>
              <w:rPr>
                <w:color w:val="auto"/>
                <w:sz w:val="24"/>
              </w:rPr>
              <w:t>非甲烷</w:t>
            </w:r>
          </w:p>
          <w:p w14:paraId="5710604B">
            <w:pPr>
              <w:pStyle w:val="51"/>
              <w:rPr>
                <w:rFonts w:ascii="Times New Roman" w:hAnsi="Times New Roman" w:eastAsia="宋体" w:cs="Times New Roman"/>
                <w:color w:val="auto"/>
                <w:kern w:val="2"/>
                <w:sz w:val="24"/>
                <w:szCs w:val="24"/>
                <w:lang w:val="en-US" w:eastAsia="zh-CN" w:bidi="ar-SA"/>
              </w:rPr>
            </w:pPr>
            <w:r>
              <w:rPr>
                <w:color w:val="auto"/>
                <w:sz w:val="24"/>
              </w:rPr>
              <w:t>总烃</w:t>
            </w:r>
          </w:p>
        </w:tc>
        <w:tc>
          <w:tcPr>
            <w:tcW w:w="1330" w:type="pct"/>
            <w:vAlign w:val="center"/>
          </w:tcPr>
          <w:p w14:paraId="7AC58618">
            <w:pPr>
              <w:pStyle w:val="51"/>
              <w:jc w:val="both"/>
              <w:rPr>
                <w:rFonts w:ascii="Times New Roman" w:hAnsi="Times New Roman" w:eastAsia="宋体" w:cs="Times New Roman"/>
                <w:color w:val="auto"/>
                <w:kern w:val="2"/>
                <w:sz w:val="24"/>
                <w:szCs w:val="24"/>
                <w:lang w:val="en-US" w:eastAsia="zh-CN" w:bidi="ar-SA"/>
              </w:rPr>
            </w:pPr>
            <w:r>
              <w:rPr>
                <w:color w:val="auto"/>
                <w:sz w:val="24"/>
              </w:rPr>
              <w:t>采用</w:t>
            </w:r>
            <w:r>
              <w:rPr>
                <w:rFonts w:hint="eastAsia"/>
                <w:color w:val="auto"/>
                <w:sz w:val="24"/>
              </w:rPr>
              <w:t>集气罩+活性炭吸附装置（收集率80%，去除效率60%）</w:t>
            </w:r>
            <w:r>
              <w:rPr>
                <w:color w:val="auto"/>
                <w:sz w:val="24"/>
              </w:rPr>
              <w:t>，车间应设置抽排风系统进行车间换气，有机废气通过无组织方式排至室外</w:t>
            </w:r>
          </w:p>
        </w:tc>
        <w:tc>
          <w:tcPr>
            <w:tcW w:w="1286" w:type="pct"/>
            <w:vAlign w:val="center"/>
          </w:tcPr>
          <w:p w14:paraId="2BBB0892">
            <w:pPr>
              <w:pStyle w:val="51"/>
              <w:jc w:val="both"/>
              <w:rPr>
                <w:rFonts w:ascii="Times New Roman" w:hAnsi="Times New Roman" w:eastAsia="宋体" w:cs="Times New Roman"/>
                <w:color w:val="auto"/>
                <w:kern w:val="2"/>
                <w:sz w:val="24"/>
                <w:szCs w:val="24"/>
                <w:lang w:val="en-US" w:eastAsia="zh-CN" w:bidi="ar-SA"/>
              </w:rPr>
            </w:pPr>
            <w:r>
              <w:rPr>
                <w:color w:val="auto"/>
                <w:sz w:val="24"/>
              </w:rPr>
              <w:t>无组织非甲烷总烃排放浓度执行《大气污染物综合排放标准》（GB16297-</w:t>
            </w:r>
            <w:r>
              <w:rPr>
                <w:rFonts w:hint="eastAsia"/>
                <w:color w:val="auto"/>
                <w:sz w:val="24"/>
                <w:lang w:val="en-US" w:eastAsia="zh-CN"/>
              </w:rPr>
              <w:t xml:space="preserve"> </w:t>
            </w:r>
            <w:r>
              <w:rPr>
                <w:color w:val="auto"/>
                <w:sz w:val="24"/>
              </w:rPr>
              <w:t>1996）表2中无组织排放监控浓度限值要求。非甲烷总烃厂房外监控点处1h平均浓度值和厂房外监控点处任意一次浓度值执行《挥发性有机物无组织排放控制标准》（GB37822-</w:t>
            </w:r>
            <w:r>
              <w:rPr>
                <w:rFonts w:hint="eastAsia"/>
                <w:color w:val="auto"/>
                <w:sz w:val="24"/>
                <w:lang w:val="en-US" w:eastAsia="zh-CN"/>
              </w:rPr>
              <w:t xml:space="preserve"> </w:t>
            </w:r>
            <w:r>
              <w:rPr>
                <w:color w:val="auto"/>
                <w:sz w:val="24"/>
              </w:rPr>
              <w:t>2019)表A.1厂区内VOCs无组织排放限值要求</w:t>
            </w:r>
          </w:p>
        </w:tc>
      </w:tr>
      <w:tr w14:paraId="2DF24E2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5" w:hRule="atLeast"/>
          <w:jc w:val="center"/>
        </w:trPr>
        <w:tc>
          <w:tcPr>
            <w:tcW w:w="725" w:type="pct"/>
            <w:vMerge w:val="continue"/>
            <w:vAlign w:val="center"/>
          </w:tcPr>
          <w:p w14:paraId="2C407B8D">
            <w:pPr>
              <w:pStyle w:val="51"/>
              <w:rPr>
                <w:color w:val="auto"/>
                <w:sz w:val="24"/>
              </w:rPr>
            </w:pPr>
          </w:p>
        </w:tc>
        <w:tc>
          <w:tcPr>
            <w:tcW w:w="996" w:type="pct"/>
            <w:vAlign w:val="center"/>
          </w:tcPr>
          <w:p w14:paraId="4F5B5FE4">
            <w:pPr>
              <w:pStyle w:val="51"/>
              <w:rPr>
                <w:rFonts w:hint="eastAsia"/>
                <w:color w:val="auto"/>
                <w:sz w:val="24"/>
              </w:rPr>
            </w:pPr>
            <w:r>
              <w:rPr>
                <w:rFonts w:hint="eastAsia"/>
                <w:color w:val="auto"/>
                <w:sz w:val="24"/>
              </w:rPr>
              <w:t>危废贮存库废</w:t>
            </w:r>
          </w:p>
          <w:p w14:paraId="76C000C0">
            <w:pPr>
              <w:pStyle w:val="51"/>
              <w:rPr>
                <w:color w:val="auto"/>
                <w:sz w:val="24"/>
              </w:rPr>
            </w:pPr>
            <w:r>
              <w:rPr>
                <w:rFonts w:hint="eastAsia"/>
                <w:color w:val="auto"/>
                <w:sz w:val="24"/>
              </w:rPr>
              <w:t>气</w:t>
            </w:r>
          </w:p>
        </w:tc>
        <w:tc>
          <w:tcPr>
            <w:tcW w:w="662" w:type="pct"/>
            <w:vAlign w:val="center"/>
          </w:tcPr>
          <w:p w14:paraId="3284F1DC">
            <w:pPr>
              <w:pStyle w:val="51"/>
              <w:rPr>
                <w:color w:val="auto"/>
                <w:sz w:val="24"/>
              </w:rPr>
            </w:pPr>
            <w:r>
              <w:rPr>
                <w:color w:val="auto"/>
                <w:sz w:val="24"/>
              </w:rPr>
              <w:t>非甲烷</w:t>
            </w:r>
          </w:p>
          <w:p w14:paraId="1CE68602">
            <w:pPr>
              <w:pStyle w:val="51"/>
              <w:rPr>
                <w:rFonts w:ascii="Times New Roman" w:hAnsi="Times New Roman" w:eastAsia="宋体" w:cs="Times New Roman"/>
                <w:color w:val="auto"/>
                <w:kern w:val="2"/>
                <w:sz w:val="24"/>
                <w:szCs w:val="24"/>
                <w:lang w:val="en-US" w:eastAsia="zh-CN" w:bidi="ar-SA"/>
              </w:rPr>
            </w:pPr>
            <w:r>
              <w:rPr>
                <w:color w:val="auto"/>
                <w:sz w:val="24"/>
              </w:rPr>
              <w:t>总烃</w:t>
            </w:r>
          </w:p>
        </w:tc>
        <w:tc>
          <w:tcPr>
            <w:tcW w:w="1330" w:type="pct"/>
            <w:vAlign w:val="center"/>
          </w:tcPr>
          <w:p w14:paraId="0E3732FE">
            <w:pPr>
              <w:pStyle w:val="51"/>
              <w:jc w:val="both"/>
              <w:rPr>
                <w:color w:val="auto"/>
                <w:sz w:val="24"/>
              </w:rPr>
            </w:pPr>
            <w:r>
              <w:rPr>
                <w:rFonts w:hint="eastAsia"/>
                <w:color w:val="auto"/>
                <w:sz w:val="24"/>
              </w:rPr>
              <w:t>危险废物采用密闭容器包装，</w:t>
            </w:r>
            <w:r>
              <w:rPr>
                <w:rFonts w:hint="eastAsia"/>
                <w:color w:val="auto"/>
                <w:sz w:val="24"/>
                <w:lang w:val="en-US" w:eastAsia="zh-CN"/>
              </w:rPr>
              <w:t>经活性炭吸附后由15m高排气筒P1排放</w:t>
            </w:r>
          </w:p>
        </w:tc>
        <w:tc>
          <w:tcPr>
            <w:tcW w:w="1286" w:type="pct"/>
            <w:vAlign w:val="center"/>
          </w:tcPr>
          <w:p w14:paraId="3C01C7DE">
            <w:pPr>
              <w:pStyle w:val="51"/>
              <w:jc w:val="both"/>
              <w:rPr>
                <w:color w:val="auto"/>
                <w:sz w:val="24"/>
              </w:rPr>
            </w:pPr>
            <w:r>
              <w:rPr>
                <w:color w:val="auto"/>
                <w:sz w:val="24"/>
              </w:rPr>
              <w:t>《大气污染物综合排放标准》（GB16297-1996）表2中排放浓度限值要求。</w:t>
            </w:r>
          </w:p>
        </w:tc>
      </w:tr>
      <w:tr w14:paraId="22C791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25" w:type="pct"/>
            <w:vAlign w:val="center"/>
          </w:tcPr>
          <w:p w14:paraId="6204C471">
            <w:pPr>
              <w:pStyle w:val="51"/>
              <w:rPr>
                <w:b/>
                <w:bCs/>
                <w:color w:val="auto"/>
                <w:sz w:val="24"/>
              </w:rPr>
            </w:pPr>
            <w:r>
              <w:rPr>
                <w:b/>
                <w:bCs/>
                <w:color w:val="auto"/>
                <w:sz w:val="24"/>
              </w:rPr>
              <w:t>地表水</w:t>
            </w:r>
          </w:p>
          <w:p w14:paraId="0C0B0FBF">
            <w:pPr>
              <w:pStyle w:val="51"/>
              <w:rPr>
                <w:b/>
                <w:bCs/>
                <w:color w:val="auto"/>
                <w:sz w:val="24"/>
              </w:rPr>
            </w:pPr>
            <w:r>
              <w:rPr>
                <w:b/>
                <w:bCs/>
                <w:color w:val="auto"/>
                <w:sz w:val="24"/>
              </w:rPr>
              <w:t>环境</w:t>
            </w:r>
          </w:p>
        </w:tc>
        <w:tc>
          <w:tcPr>
            <w:tcW w:w="1698" w:type="dxa"/>
            <w:vAlign w:val="center"/>
          </w:tcPr>
          <w:p w14:paraId="0143AEA5">
            <w:pPr>
              <w:pStyle w:val="51"/>
              <w:rPr>
                <w:rFonts w:hint="eastAsia" w:eastAsia="宋体"/>
                <w:color w:val="auto"/>
                <w:sz w:val="24"/>
                <w:lang w:eastAsia="zh-CN"/>
              </w:rPr>
            </w:pPr>
            <w:r>
              <w:rPr>
                <w:color w:val="auto"/>
                <w:sz w:val="24"/>
              </w:rPr>
              <w:t>生活污水</w:t>
            </w:r>
            <w:r>
              <w:rPr>
                <w:rFonts w:hint="eastAsia"/>
                <w:color w:val="auto"/>
                <w:sz w:val="24"/>
                <w:lang w:eastAsia="zh-CN"/>
              </w:rPr>
              <w:t>、</w:t>
            </w:r>
            <w:r>
              <w:rPr>
                <w:rFonts w:hint="eastAsia"/>
                <w:color w:val="auto"/>
                <w:sz w:val="24"/>
                <w:lang w:val="en-US" w:eastAsia="zh-CN"/>
              </w:rPr>
              <w:t>初期雨水</w:t>
            </w:r>
          </w:p>
        </w:tc>
        <w:tc>
          <w:tcPr>
            <w:tcW w:w="1129" w:type="dxa"/>
            <w:vAlign w:val="center"/>
          </w:tcPr>
          <w:p w14:paraId="63C9EEEB">
            <w:pPr>
              <w:pStyle w:val="51"/>
              <w:rPr>
                <w:color w:val="auto"/>
                <w:sz w:val="24"/>
              </w:rPr>
            </w:pPr>
            <w:r>
              <w:rPr>
                <w:color w:val="auto"/>
                <w:sz w:val="24"/>
              </w:rPr>
              <w:t>COD</w:t>
            </w:r>
          </w:p>
          <w:p w14:paraId="6E8C0998">
            <w:pPr>
              <w:pStyle w:val="51"/>
              <w:rPr>
                <w:rFonts w:hint="eastAsia" w:eastAsia="宋体"/>
                <w:color w:val="auto"/>
                <w:sz w:val="24"/>
                <w:lang w:eastAsia="zh-CN"/>
              </w:rPr>
            </w:pPr>
            <w:r>
              <w:rPr>
                <w:color w:val="auto"/>
                <w:sz w:val="24"/>
              </w:rPr>
              <w:t>氨氮</w:t>
            </w:r>
          </w:p>
        </w:tc>
        <w:tc>
          <w:tcPr>
            <w:tcW w:w="2267" w:type="dxa"/>
            <w:vAlign w:val="center"/>
          </w:tcPr>
          <w:p w14:paraId="3A5B9777">
            <w:pPr>
              <w:pStyle w:val="51"/>
              <w:jc w:val="center"/>
              <w:rPr>
                <w:rFonts w:hint="eastAsia" w:eastAsia="宋体"/>
                <w:color w:val="auto"/>
                <w:sz w:val="24"/>
                <w:lang w:eastAsia="zh-CN"/>
              </w:rPr>
            </w:pPr>
            <w:r>
              <w:rPr>
                <w:rFonts w:hint="eastAsia"/>
                <w:color w:val="auto"/>
                <w:sz w:val="24"/>
                <w:lang w:val="en-US" w:eastAsia="zh-CN"/>
              </w:rPr>
              <w:t>生活污水排入防渗旱厕，初期雨水经油水分离器处理</w:t>
            </w:r>
          </w:p>
        </w:tc>
        <w:tc>
          <w:tcPr>
            <w:tcW w:w="2192" w:type="dxa"/>
            <w:vAlign w:val="center"/>
          </w:tcPr>
          <w:p w14:paraId="64818E64">
            <w:pPr>
              <w:pStyle w:val="51"/>
              <w:jc w:val="center"/>
              <w:rPr>
                <w:rFonts w:hint="eastAsia" w:eastAsia="宋体"/>
                <w:color w:val="auto"/>
                <w:sz w:val="24"/>
                <w:lang w:val="en-US" w:eastAsia="zh-CN"/>
              </w:rPr>
            </w:pPr>
            <w:r>
              <w:rPr>
                <w:rFonts w:hint="eastAsia"/>
                <w:color w:val="auto"/>
                <w:sz w:val="24"/>
                <w:lang w:val="en-US" w:eastAsia="zh-CN"/>
              </w:rPr>
              <w:t>不外排</w:t>
            </w:r>
          </w:p>
        </w:tc>
      </w:tr>
      <w:tr w14:paraId="0048CC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25" w:type="pct"/>
            <w:vAlign w:val="center"/>
          </w:tcPr>
          <w:p w14:paraId="03B41EE1">
            <w:pPr>
              <w:pStyle w:val="51"/>
              <w:rPr>
                <w:b/>
                <w:bCs/>
                <w:color w:val="auto"/>
                <w:sz w:val="24"/>
              </w:rPr>
            </w:pPr>
            <w:r>
              <w:rPr>
                <w:b/>
                <w:bCs/>
                <w:color w:val="auto"/>
                <w:sz w:val="24"/>
              </w:rPr>
              <w:t>声环境</w:t>
            </w:r>
          </w:p>
        </w:tc>
        <w:tc>
          <w:tcPr>
            <w:tcW w:w="996" w:type="pct"/>
            <w:vAlign w:val="center"/>
          </w:tcPr>
          <w:p w14:paraId="6BDC0860">
            <w:pPr>
              <w:pStyle w:val="51"/>
              <w:rPr>
                <w:color w:val="auto"/>
                <w:sz w:val="24"/>
              </w:rPr>
            </w:pPr>
            <w:r>
              <w:rPr>
                <w:color w:val="auto"/>
                <w:sz w:val="24"/>
              </w:rPr>
              <w:t>生产设备</w:t>
            </w:r>
          </w:p>
        </w:tc>
        <w:tc>
          <w:tcPr>
            <w:tcW w:w="662" w:type="pct"/>
            <w:vAlign w:val="center"/>
          </w:tcPr>
          <w:p w14:paraId="4A112FC6">
            <w:pPr>
              <w:pStyle w:val="51"/>
              <w:rPr>
                <w:color w:val="auto"/>
                <w:sz w:val="24"/>
              </w:rPr>
            </w:pPr>
            <w:r>
              <w:rPr>
                <w:color w:val="auto"/>
                <w:sz w:val="24"/>
              </w:rPr>
              <w:t>噪声</w:t>
            </w:r>
          </w:p>
        </w:tc>
        <w:tc>
          <w:tcPr>
            <w:tcW w:w="1330" w:type="pct"/>
            <w:vAlign w:val="center"/>
          </w:tcPr>
          <w:p w14:paraId="483BD2EF">
            <w:pPr>
              <w:pStyle w:val="51"/>
              <w:jc w:val="both"/>
              <w:rPr>
                <w:color w:val="auto"/>
                <w:sz w:val="24"/>
              </w:rPr>
            </w:pPr>
            <w:r>
              <w:rPr>
                <w:color w:val="auto"/>
                <w:sz w:val="24"/>
              </w:rPr>
              <w:t>采取选用低噪声设备，通过厂房隔声、基础减振等措施，限制噪声向外传播。</w:t>
            </w:r>
          </w:p>
        </w:tc>
        <w:tc>
          <w:tcPr>
            <w:tcW w:w="1286" w:type="pct"/>
            <w:vAlign w:val="center"/>
          </w:tcPr>
          <w:p w14:paraId="240CDAD6">
            <w:pPr>
              <w:pStyle w:val="51"/>
              <w:jc w:val="both"/>
              <w:rPr>
                <w:color w:val="auto"/>
                <w:sz w:val="24"/>
              </w:rPr>
            </w:pPr>
            <w:r>
              <w:rPr>
                <w:snapToGrid w:val="0"/>
                <w:color w:val="auto"/>
                <w:sz w:val="24"/>
              </w:rPr>
              <w:t>厂界噪声可满足《工业企业厂界环境噪声排放标准》（GB12348-2008）表1中2类标准的要求。</w:t>
            </w:r>
          </w:p>
        </w:tc>
      </w:tr>
      <w:tr w14:paraId="662684A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53" w:hRule="atLeast"/>
          <w:jc w:val="center"/>
        </w:trPr>
        <w:tc>
          <w:tcPr>
            <w:tcW w:w="725" w:type="pct"/>
            <w:vAlign w:val="center"/>
          </w:tcPr>
          <w:p w14:paraId="347BFC7C">
            <w:pPr>
              <w:pStyle w:val="51"/>
              <w:rPr>
                <w:b/>
                <w:bCs/>
                <w:color w:val="auto"/>
                <w:sz w:val="24"/>
              </w:rPr>
            </w:pPr>
            <w:r>
              <w:rPr>
                <w:b/>
                <w:bCs/>
                <w:color w:val="auto"/>
                <w:sz w:val="24"/>
              </w:rPr>
              <w:t>固体废物</w:t>
            </w:r>
          </w:p>
        </w:tc>
        <w:tc>
          <w:tcPr>
            <w:tcW w:w="4274" w:type="pct"/>
            <w:gridSpan w:val="4"/>
            <w:vAlign w:val="center"/>
          </w:tcPr>
          <w:p w14:paraId="597619C8">
            <w:pPr>
              <w:pStyle w:val="51"/>
              <w:jc w:val="both"/>
              <w:rPr>
                <w:color w:val="auto"/>
                <w:sz w:val="24"/>
              </w:rPr>
            </w:pPr>
            <w:r>
              <w:rPr>
                <w:color w:val="auto"/>
                <w:sz w:val="24"/>
              </w:rPr>
              <w:t>（1）生活垃圾：集中收集，由市政部门统一清运；</w:t>
            </w:r>
          </w:p>
          <w:p w14:paraId="27C9E436">
            <w:pPr>
              <w:pStyle w:val="51"/>
              <w:jc w:val="both"/>
              <w:rPr>
                <w:color w:val="auto"/>
                <w:sz w:val="24"/>
              </w:rPr>
            </w:pPr>
            <w:r>
              <w:rPr>
                <w:color w:val="auto"/>
                <w:sz w:val="24"/>
              </w:rPr>
              <w:t>（2）一般固体废物：</w:t>
            </w:r>
          </w:p>
          <w:p w14:paraId="0DCF08C1">
            <w:pPr>
              <w:pStyle w:val="51"/>
              <w:jc w:val="both"/>
              <w:rPr>
                <w:color w:val="auto"/>
                <w:sz w:val="24"/>
              </w:rPr>
            </w:pPr>
            <w:r>
              <w:rPr>
                <w:rFonts w:hint="eastAsia" w:ascii="宋体" w:hAnsi="宋体" w:cs="宋体"/>
                <w:color w:val="auto"/>
                <w:sz w:val="24"/>
              </w:rPr>
              <w:t>①</w:t>
            </w:r>
            <w:r>
              <w:rPr>
                <w:rFonts w:hint="eastAsia"/>
                <w:color w:val="auto"/>
                <w:sz w:val="24"/>
                <w:lang w:eastAsia="zh-CN"/>
              </w:rPr>
              <w:t>移动式布袋除尘器</w:t>
            </w:r>
            <w:r>
              <w:rPr>
                <w:color w:val="auto"/>
                <w:sz w:val="24"/>
              </w:rPr>
              <w:t>收尘：集中收集，外售综合利用；</w:t>
            </w:r>
          </w:p>
          <w:p w14:paraId="7669F4E1">
            <w:pPr>
              <w:pStyle w:val="51"/>
              <w:jc w:val="both"/>
              <w:rPr>
                <w:color w:val="auto"/>
                <w:sz w:val="24"/>
              </w:rPr>
            </w:pPr>
            <w:r>
              <w:rPr>
                <w:rFonts w:hint="eastAsia" w:ascii="宋体" w:hAnsi="宋体" w:cs="宋体"/>
                <w:color w:val="auto"/>
                <w:sz w:val="24"/>
              </w:rPr>
              <w:t>②</w:t>
            </w:r>
            <w:r>
              <w:rPr>
                <w:color w:val="auto"/>
                <w:sz w:val="24"/>
              </w:rPr>
              <w:t>废电子电器部件：集中收集，交由有废弃电子产品处理资格的企业进行处置；</w:t>
            </w:r>
          </w:p>
          <w:p w14:paraId="0436D222">
            <w:pPr>
              <w:pStyle w:val="51"/>
              <w:jc w:val="both"/>
              <w:rPr>
                <w:color w:val="auto"/>
                <w:sz w:val="24"/>
              </w:rPr>
            </w:pPr>
            <w:r>
              <w:rPr>
                <w:rFonts w:hint="eastAsia" w:ascii="宋体" w:hAnsi="宋体" w:cs="宋体"/>
                <w:color w:val="auto"/>
                <w:sz w:val="24"/>
              </w:rPr>
              <w:t>③</w:t>
            </w:r>
            <w:r>
              <w:rPr>
                <w:color w:val="auto"/>
                <w:sz w:val="24"/>
              </w:rPr>
              <w:t>不可利用废物：集中收集，由市政部门统一清运；</w:t>
            </w:r>
          </w:p>
          <w:p w14:paraId="370C70BF">
            <w:pPr>
              <w:pStyle w:val="51"/>
              <w:jc w:val="both"/>
              <w:rPr>
                <w:rFonts w:hint="eastAsia" w:eastAsia="宋体"/>
                <w:color w:val="auto"/>
                <w:sz w:val="24"/>
                <w:lang w:val="en-US" w:eastAsia="zh-CN"/>
              </w:rPr>
            </w:pPr>
            <w:r>
              <w:rPr>
                <w:rFonts w:hint="eastAsia"/>
                <w:color w:val="auto"/>
                <w:sz w:val="24"/>
              </w:rPr>
              <w:t>④</w:t>
            </w:r>
            <w:r>
              <w:rPr>
                <w:rFonts w:hint="eastAsia"/>
                <w:color w:val="auto"/>
                <w:sz w:val="24"/>
                <w:lang w:val="en-US" w:eastAsia="zh-CN"/>
              </w:rPr>
              <w:t>泥土：</w:t>
            </w:r>
            <w:r>
              <w:rPr>
                <w:color w:val="auto"/>
                <w:sz w:val="24"/>
              </w:rPr>
              <w:t>集中收集，由市政部门统一清运</w:t>
            </w:r>
            <w:r>
              <w:rPr>
                <w:rFonts w:hint="eastAsia"/>
                <w:color w:val="auto"/>
                <w:sz w:val="24"/>
                <w:lang w:eastAsia="zh-CN"/>
              </w:rPr>
              <w:t>；</w:t>
            </w:r>
          </w:p>
          <w:p w14:paraId="5F1D9A38">
            <w:pPr>
              <w:pStyle w:val="51"/>
              <w:jc w:val="both"/>
              <w:rPr>
                <w:color w:val="auto"/>
                <w:sz w:val="24"/>
              </w:rPr>
            </w:pPr>
            <w:r>
              <w:rPr>
                <w:color w:val="auto"/>
                <w:sz w:val="24"/>
              </w:rPr>
              <w:t>（3）危险废物：分类暂存于</w:t>
            </w:r>
            <w:r>
              <w:rPr>
                <w:rFonts w:hint="eastAsia"/>
                <w:color w:val="auto"/>
                <w:sz w:val="24"/>
                <w:lang w:eastAsia="zh-CN"/>
              </w:rPr>
              <w:t>危险废物贮存库</w:t>
            </w:r>
            <w:r>
              <w:rPr>
                <w:color w:val="auto"/>
                <w:sz w:val="24"/>
              </w:rPr>
              <w:t>专用容器中，定期交由有资质单位回收处置。</w:t>
            </w:r>
          </w:p>
        </w:tc>
      </w:tr>
      <w:tr w14:paraId="594F3E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725" w:type="pct"/>
            <w:vAlign w:val="center"/>
          </w:tcPr>
          <w:p w14:paraId="10DD5DAD">
            <w:pPr>
              <w:pStyle w:val="51"/>
              <w:rPr>
                <w:b/>
                <w:bCs/>
                <w:color w:val="auto"/>
                <w:sz w:val="24"/>
              </w:rPr>
            </w:pPr>
            <w:r>
              <w:rPr>
                <w:b/>
                <w:bCs/>
                <w:color w:val="auto"/>
                <w:sz w:val="24"/>
              </w:rPr>
              <w:t>土壤及地下水污染防治措施</w:t>
            </w:r>
          </w:p>
        </w:tc>
        <w:tc>
          <w:tcPr>
            <w:tcW w:w="4274" w:type="pct"/>
            <w:gridSpan w:val="4"/>
            <w:vAlign w:val="center"/>
          </w:tcPr>
          <w:p w14:paraId="0000F239">
            <w:pPr>
              <w:pStyle w:val="51"/>
              <w:jc w:val="both"/>
              <w:rPr>
                <w:bCs/>
                <w:color w:val="auto"/>
                <w:sz w:val="24"/>
                <w:szCs w:val="32"/>
              </w:rPr>
            </w:pPr>
            <w:r>
              <w:rPr>
                <w:rFonts w:hint="eastAsia" w:ascii="宋体" w:hAnsi="宋体" w:cs="宋体"/>
                <w:color w:val="auto"/>
                <w:sz w:val="24"/>
                <w:szCs w:val="32"/>
              </w:rPr>
              <w:t>①</w:t>
            </w:r>
            <w:r>
              <w:rPr>
                <w:color w:val="auto"/>
                <w:sz w:val="24"/>
                <w:szCs w:val="32"/>
              </w:rPr>
              <w:t>重点防渗区：包括</w:t>
            </w:r>
            <w:r>
              <w:rPr>
                <w:rFonts w:hint="eastAsia"/>
                <w:color w:val="auto"/>
                <w:sz w:val="24"/>
                <w:szCs w:val="32"/>
                <w:lang w:eastAsia="zh-CN"/>
              </w:rPr>
              <w:t>危险废物贮存库</w:t>
            </w:r>
            <w:r>
              <w:rPr>
                <w:color w:val="auto"/>
                <w:sz w:val="24"/>
                <w:szCs w:val="32"/>
              </w:rPr>
              <w:t>。采取抗渗钢纤维混凝土或高密度聚乙烯膜(HDPE)进行防渗，防渗技术要求达到等效黏土防渗层Mb≥6.0m，K≤1×10</w:t>
            </w:r>
            <w:r>
              <w:rPr>
                <w:color w:val="auto"/>
                <w:sz w:val="24"/>
                <w:szCs w:val="32"/>
                <w:vertAlign w:val="superscript"/>
              </w:rPr>
              <w:t>-7</w:t>
            </w:r>
            <w:r>
              <w:rPr>
                <w:color w:val="auto"/>
                <w:sz w:val="24"/>
                <w:szCs w:val="32"/>
              </w:rPr>
              <w:t>cm/s的要求；</w:t>
            </w:r>
            <w:r>
              <w:rPr>
                <w:rFonts w:hint="eastAsia"/>
                <w:color w:val="auto"/>
                <w:sz w:val="24"/>
                <w:szCs w:val="32"/>
                <w:lang w:eastAsia="zh-CN"/>
              </w:rPr>
              <w:t>危险废物贮存库</w:t>
            </w:r>
            <w:r>
              <w:rPr>
                <w:bCs/>
                <w:color w:val="auto"/>
                <w:sz w:val="24"/>
                <w:szCs w:val="32"/>
              </w:rPr>
              <w:t>建设严格按照</w:t>
            </w:r>
            <w:r>
              <w:rPr>
                <w:rFonts w:hint="eastAsia"/>
                <w:bCs/>
                <w:color w:val="auto"/>
                <w:sz w:val="24"/>
                <w:szCs w:val="32"/>
                <w:lang w:eastAsia="zh-CN"/>
              </w:rPr>
              <w:t>《危险废物贮存污染控制标准》（GB18597-2023）</w:t>
            </w:r>
            <w:r>
              <w:rPr>
                <w:bCs/>
                <w:color w:val="auto"/>
                <w:sz w:val="24"/>
                <w:szCs w:val="32"/>
              </w:rPr>
              <w:t>中相关规定进行设置，地面防渗、</w:t>
            </w:r>
            <w:r>
              <w:rPr>
                <w:rFonts w:hint="eastAsia"/>
                <w:bCs/>
                <w:color w:val="auto"/>
                <w:sz w:val="24"/>
                <w:szCs w:val="32"/>
                <w:lang w:eastAsia="zh-CN"/>
              </w:rPr>
              <w:t>裙脚</w:t>
            </w:r>
            <w:r>
              <w:rPr>
                <w:bCs/>
                <w:color w:val="auto"/>
                <w:sz w:val="24"/>
                <w:szCs w:val="32"/>
              </w:rPr>
              <w:t>防渗，防渗层为至少1米厚粘土层（渗透系数≤10</w:t>
            </w:r>
            <w:r>
              <w:rPr>
                <w:bCs/>
                <w:color w:val="auto"/>
                <w:sz w:val="24"/>
                <w:szCs w:val="32"/>
                <w:vertAlign w:val="superscript"/>
              </w:rPr>
              <w:t>-7</w:t>
            </w:r>
            <w:r>
              <w:rPr>
                <w:bCs/>
                <w:color w:val="auto"/>
                <w:sz w:val="24"/>
                <w:szCs w:val="32"/>
              </w:rPr>
              <w:t>cm/s），或2mm厚高密度聚乙烯</w:t>
            </w:r>
            <w:r>
              <w:rPr>
                <w:rFonts w:hint="eastAsia"/>
                <w:bCs/>
                <w:color w:val="auto"/>
                <w:sz w:val="24"/>
                <w:szCs w:val="32"/>
              </w:rPr>
              <w:t>膜等人工防渗材料</w:t>
            </w:r>
            <w:r>
              <w:rPr>
                <w:rFonts w:hint="eastAsia"/>
                <w:bCs/>
                <w:color w:val="auto"/>
                <w:sz w:val="24"/>
                <w:szCs w:val="32"/>
                <w:lang w:eastAsia="zh-CN"/>
              </w:rPr>
              <w:t>（</w:t>
            </w:r>
            <w:r>
              <w:rPr>
                <w:bCs/>
                <w:color w:val="auto"/>
                <w:sz w:val="24"/>
                <w:szCs w:val="32"/>
              </w:rPr>
              <w:t>渗透系数≤10</w:t>
            </w:r>
            <w:r>
              <w:rPr>
                <w:bCs/>
                <w:color w:val="auto"/>
                <w:sz w:val="24"/>
                <w:szCs w:val="32"/>
                <w:vertAlign w:val="superscript"/>
              </w:rPr>
              <w:t>-10</w:t>
            </w:r>
            <w:r>
              <w:rPr>
                <w:bCs/>
                <w:color w:val="auto"/>
                <w:sz w:val="24"/>
                <w:szCs w:val="32"/>
              </w:rPr>
              <w:t>cm/s</w:t>
            </w:r>
            <w:r>
              <w:rPr>
                <w:rFonts w:hint="eastAsia"/>
                <w:bCs/>
                <w:color w:val="auto"/>
                <w:sz w:val="24"/>
                <w:szCs w:val="32"/>
                <w:lang w:eastAsia="zh-CN"/>
              </w:rPr>
              <w:t>）</w:t>
            </w:r>
            <w:r>
              <w:rPr>
                <w:bCs/>
                <w:color w:val="auto"/>
                <w:sz w:val="24"/>
                <w:szCs w:val="32"/>
              </w:rPr>
              <w:t>。</w:t>
            </w:r>
          </w:p>
          <w:p w14:paraId="11648AC6">
            <w:pPr>
              <w:pStyle w:val="51"/>
              <w:jc w:val="both"/>
              <w:rPr>
                <w:color w:val="auto"/>
                <w:sz w:val="24"/>
                <w:szCs w:val="32"/>
              </w:rPr>
            </w:pPr>
            <w:r>
              <w:rPr>
                <w:rFonts w:hint="eastAsia" w:ascii="宋体" w:hAnsi="宋体" w:cs="宋体"/>
                <w:color w:val="auto"/>
                <w:sz w:val="24"/>
                <w:szCs w:val="32"/>
              </w:rPr>
              <w:t>②</w:t>
            </w:r>
            <w:r>
              <w:rPr>
                <w:color w:val="auto"/>
                <w:sz w:val="24"/>
                <w:szCs w:val="32"/>
              </w:rPr>
              <w:t>一般防渗区：包括拆解车间、待拆车辆贮存场地、</w:t>
            </w:r>
            <w:r>
              <w:rPr>
                <w:rFonts w:hint="eastAsia"/>
                <w:color w:val="auto"/>
                <w:sz w:val="24"/>
                <w:szCs w:val="32"/>
              </w:rPr>
              <w:t>农机拆除成品半成品及零件贮存库</w:t>
            </w:r>
            <w:r>
              <w:rPr>
                <w:color w:val="auto"/>
                <w:sz w:val="24"/>
                <w:szCs w:val="32"/>
              </w:rPr>
              <w:t>。采用防渗混凝土或HDPE膜进行防渗，其防渗技术要求可满足等效黏土防渗层Mb≥1.5m，K≤1×10</w:t>
            </w:r>
            <w:r>
              <w:rPr>
                <w:color w:val="auto"/>
                <w:sz w:val="24"/>
                <w:szCs w:val="32"/>
                <w:vertAlign w:val="superscript"/>
              </w:rPr>
              <w:t>-7</w:t>
            </w:r>
            <w:r>
              <w:rPr>
                <w:color w:val="auto"/>
                <w:sz w:val="24"/>
                <w:szCs w:val="32"/>
              </w:rPr>
              <w:t>cm/s的要求。</w:t>
            </w:r>
          </w:p>
          <w:p w14:paraId="7D94D91B">
            <w:pPr>
              <w:pStyle w:val="51"/>
              <w:jc w:val="both"/>
              <w:rPr>
                <w:color w:val="auto"/>
                <w:sz w:val="24"/>
              </w:rPr>
            </w:pPr>
            <w:r>
              <w:rPr>
                <w:rFonts w:hint="eastAsia" w:ascii="宋体" w:hAnsi="宋体" w:cs="宋体"/>
                <w:color w:val="auto"/>
                <w:sz w:val="24"/>
                <w:szCs w:val="32"/>
              </w:rPr>
              <w:t>③</w:t>
            </w:r>
            <w:r>
              <w:rPr>
                <w:color w:val="auto"/>
                <w:sz w:val="24"/>
                <w:szCs w:val="32"/>
              </w:rPr>
              <w:t>简单防渗区：包括</w:t>
            </w:r>
            <w:r>
              <w:rPr>
                <w:rFonts w:hint="eastAsia"/>
                <w:color w:val="auto"/>
                <w:sz w:val="24"/>
                <w:szCs w:val="32"/>
                <w:lang w:val="en-US" w:eastAsia="zh-CN"/>
              </w:rPr>
              <w:t>办公区、</w:t>
            </w:r>
            <w:r>
              <w:rPr>
                <w:color w:val="auto"/>
                <w:sz w:val="24"/>
                <w:szCs w:val="32"/>
              </w:rPr>
              <w:t>厂区道路。进行一般地面水泥硬化。</w:t>
            </w:r>
          </w:p>
        </w:tc>
      </w:tr>
      <w:tr w14:paraId="5B73036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0" w:hRule="atLeast"/>
          <w:jc w:val="center"/>
        </w:trPr>
        <w:tc>
          <w:tcPr>
            <w:tcW w:w="725" w:type="pct"/>
            <w:vAlign w:val="center"/>
          </w:tcPr>
          <w:p w14:paraId="0BF6E53B">
            <w:pPr>
              <w:pStyle w:val="51"/>
              <w:rPr>
                <w:b/>
                <w:bCs/>
                <w:color w:val="auto"/>
                <w:sz w:val="24"/>
              </w:rPr>
            </w:pPr>
            <w:r>
              <w:rPr>
                <w:b/>
                <w:bCs/>
                <w:color w:val="auto"/>
                <w:sz w:val="24"/>
              </w:rPr>
              <w:t>生态保护措施</w:t>
            </w:r>
          </w:p>
        </w:tc>
        <w:tc>
          <w:tcPr>
            <w:tcW w:w="4274" w:type="pct"/>
            <w:gridSpan w:val="4"/>
            <w:vAlign w:val="center"/>
          </w:tcPr>
          <w:p w14:paraId="4EFE6C94">
            <w:pPr>
              <w:pStyle w:val="51"/>
              <w:rPr>
                <w:color w:val="auto"/>
                <w:sz w:val="24"/>
              </w:rPr>
            </w:pPr>
            <w:r>
              <w:rPr>
                <w:color w:val="auto"/>
                <w:sz w:val="24"/>
              </w:rPr>
              <w:t>/</w:t>
            </w:r>
          </w:p>
        </w:tc>
      </w:tr>
      <w:tr w14:paraId="24D3A5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725" w:type="pct"/>
            <w:vAlign w:val="center"/>
          </w:tcPr>
          <w:p w14:paraId="46D84FA0">
            <w:pPr>
              <w:pStyle w:val="51"/>
              <w:rPr>
                <w:b/>
                <w:bCs/>
                <w:color w:val="auto"/>
                <w:spacing w:val="-8"/>
                <w:sz w:val="24"/>
              </w:rPr>
            </w:pPr>
            <w:r>
              <w:rPr>
                <w:b/>
                <w:bCs/>
                <w:color w:val="auto"/>
                <w:spacing w:val="-8"/>
                <w:sz w:val="24"/>
              </w:rPr>
              <w:t>环境风险</w:t>
            </w:r>
          </w:p>
          <w:p w14:paraId="42EAE27A">
            <w:pPr>
              <w:pStyle w:val="51"/>
              <w:rPr>
                <w:b/>
                <w:bCs/>
                <w:color w:val="auto"/>
                <w:spacing w:val="-8"/>
                <w:sz w:val="24"/>
              </w:rPr>
            </w:pPr>
            <w:r>
              <w:rPr>
                <w:b/>
                <w:bCs/>
                <w:color w:val="auto"/>
                <w:spacing w:val="-8"/>
                <w:sz w:val="24"/>
              </w:rPr>
              <w:t>防范措施</w:t>
            </w:r>
          </w:p>
        </w:tc>
        <w:tc>
          <w:tcPr>
            <w:tcW w:w="4274" w:type="pct"/>
            <w:gridSpan w:val="4"/>
            <w:vAlign w:val="center"/>
          </w:tcPr>
          <w:p w14:paraId="3B3E9DD5">
            <w:pPr>
              <w:pStyle w:val="51"/>
              <w:jc w:val="both"/>
              <w:rPr>
                <w:rFonts w:ascii="Times New Roman" w:hAnsi="Times New Roman" w:eastAsia="宋体" w:cs="Times New Roman"/>
                <w:bCs/>
                <w:color w:val="auto"/>
                <w:sz w:val="24"/>
                <w:szCs w:val="32"/>
              </w:rPr>
            </w:pPr>
            <w:r>
              <w:rPr>
                <w:rFonts w:hint="eastAsia" w:ascii="Times New Roman" w:hAnsi="Times New Roman" w:eastAsia="宋体" w:cs="Times New Roman"/>
                <w:bCs/>
                <w:color w:val="auto"/>
                <w:sz w:val="24"/>
                <w:szCs w:val="32"/>
              </w:rPr>
              <w:t>①拆解车间内严禁明火，严禁在未排空废油液的情况下进行油箱拆解。</w:t>
            </w:r>
          </w:p>
          <w:p w14:paraId="6EBA8A6F">
            <w:pPr>
              <w:pStyle w:val="51"/>
              <w:jc w:val="both"/>
              <w:rPr>
                <w:rFonts w:ascii="Times New Roman" w:hAnsi="Times New Roman" w:eastAsia="宋体" w:cs="Times New Roman"/>
                <w:bCs/>
                <w:color w:val="auto"/>
                <w:sz w:val="24"/>
                <w:szCs w:val="32"/>
              </w:rPr>
            </w:pPr>
            <w:r>
              <w:rPr>
                <w:rFonts w:hint="eastAsia" w:ascii="Times New Roman" w:hAnsi="Times New Roman" w:eastAsia="宋体" w:cs="Times New Roman"/>
                <w:bCs/>
                <w:color w:val="auto"/>
                <w:sz w:val="24"/>
                <w:szCs w:val="32"/>
              </w:rPr>
              <w:t>②每年对灭火器材、设施进行检查，如有损坏或压力不足应及时维修更新。检测内容、</w:t>
            </w:r>
          </w:p>
          <w:p w14:paraId="7C6CA6E1">
            <w:pPr>
              <w:pStyle w:val="51"/>
              <w:jc w:val="both"/>
              <w:rPr>
                <w:rFonts w:ascii="Times New Roman" w:hAnsi="Times New Roman" w:eastAsia="宋体" w:cs="Times New Roman"/>
                <w:bCs/>
                <w:color w:val="auto"/>
                <w:sz w:val="24"/>
                <w:szCs w:val="32"/>
              </w:rPr>
            </w:pPr>
            <w:r>
              <w:rPr>
                <w:rFonts w:hint="eastAsia" w:ascii="Times New Roman" w:hAnsi="Times New Roman" w:eastAsia="宋体" w:cs="Times New Roman"/>
                <w:bCs/>
                <w:color w:val="auto"/>
                <w:sz w:val="24"/>
                <w:szCs w:val="32"/>
              </w:rPr>
              <w:t>时间、人员应有记录保存。安全检测应根据设备的安全性、危险性设定检测频次。在消防器材、设施放置处，安排相应的管理者负责。</w:t>
            </w:r>
          </w:p>
          <w:p w14:paraId="003FEF5B">
            <w:pPr>
              <w:pStyle w:val="51"/>
              <w:jc w:val="both"/>
              <w:rPr>
                <w:rFonts w:ascii="Times New Roman" w:hAnsi="Times New Roman" w:eastAsia="宋体" w:cs="Times New Roman"/>
                <w:bCs/>
                <w:color w:val="auto"/>
                <w:sz w:val="24"/>
                <w:szCs w:val="32"/>
              </w:rPr>
            </w:pPr>
            <w:r>
              <w:rPr>
                <w:rFonts w:hint="eastAsia" w:ascii="Times New Roman" w:hAnsi="Times New Roman" w:eastAsia="宋体" w:cs="Times New Roman"/>
                <w:bCs/>
                <w:color w:val="auto"/>
                <w:sz w:val="24"/>
                <w:szCs w:val="32"/>
              </w:rPr>
              <w:t>③强化安全生产管理，必须制订岗位责任制，将责任落实到部门和个人严格遵守操作规程，严格遵守《化学危险品管理条例》及国家、地方关于易燃、易爆、有毒有害物料的  储运使用安全规定。</w:t>
            </w:r>
          </w:p>
          <w:p w14:paraId="267A752A">
            <w:pPr>
              <w:pStyle w:val="51"/>
              <w:jc w:val="both"/>
              <w:rPr>
                <w:rFonts w:ascii="Times New Roman" w:hAnsi="Times New Roman" w:eastAsia="宋体" w:cs="Times New Roman"/>
                <w:bCs/>
                <w:color w:val="auto"/>
                <w:sz w:val="24"/>
                <w:szCs w:val="32"/>
              </w:rPr>
            </w:pPr>
            <w:r>
              <w:rPr>
                <w:rFonts w:hint="eastAsia" w:ascii="Times New Roman" w:hAnsi="Times New Roman" w:eastAsia="宋体" w:cs="Times New Roman"/>
                <w:bCs/>
                <w:color w:val="auto"/>
                <w:sz w:val="24"/>
                <w:szCs w:val="32"/>
              </w:rPr>
              <w:t>④建立健全环保及安全管理部门，该部门应加强监督检查，按规定监测厂内外空气及水体中的有毒有害物质，及时发现，立即处理，避免污染。</w:t>
            </w:r>
          </w:p>
          <w:p w14:paraId="40B3D21A">
            <w:pPr>
              <w:pStyle w:val="51"/>
              <w:jc w:val="both"/>
              <w:rPr>
                <w:rFonts w:ascii="Times New Roman" w:hAnsi="Times New Roman" w:eastAsia="宋体" w:cs="Times New Roman"/>
                <w:bCs/>
                <w:color w:val="auto"/>
                <w:sz w:val="24"/>
                <w:szCs w:val="32"/>
              </w:rPr>
            </w:pPr>
            <w:r>
              <w:rPr>
                <w:rFonts w:hint="eastAsia" w:ascii="Times New Roman" w:hAnsi="Times New Roman" w:eastAsia="宋体" w:cs="Times New Roman"/>
                <w:bCs/>
                <w:color w:val="auto"/>
                <w:sz w:val="24"/>
                <w:szCs w:val="32"/>
              </w:rPr>
              <w:t>⑤建立事故应急预案，成立事故应急处理小组，由车间安全负责人担任事故应急小组组长，一旦发火灾等事故，应立即启动事故应急预案，并向有关环境管理部门汇报情况，协助环境管理部门进行应急监测等工作；</w:t>
            </w:r>
          </w:p>
          <w:p w14:paraId="45ACF8AE">
            <w:pPr>
              <w:pStyle w:val="51"/>
              <w:jc w:val="both"/>
              <w:rPr>
                <w:color w:val="auto"/>
              </w:rPr>
            </w:pPr>
            <w:r>
              <w:rPr>
                <w:rFonts w:hint="eastAsia" w:ascii="Times New Roman" w:hAnsi="Times New Roman" w:eastAsia="宋体" w:cs="Times New Roman"/>
                <w:bCs/>
                <w:color w:val="auto"/>
                <w:sz w:val="24"/>
                <w:szCs w:val="32"/>
              </w:rPr>
              <w:t>⑥在易燃原料贮存地点与使用易燃原料的设备处设立安全标志或涂刷相应的安全色。地面进行防腐防渗，并加强管理与维护，杜绝出现跑、冒、滴、漏现象。</w:t>
            </w:r>
          </w:p>
        </w:tc>
      </w:tr>
      <w:tr w14:paraId="64EB90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08" w:hRule="atLeast"/>
          <w:jc w:val="center"/>
        </w:trPr>
        <w:tc>
          <w:tcPr>
            <w:tcW w:w="725" w:type="pct"/>
            <w:vAlign w:val="center"/>
          </w:tcPr>
          <w:p w14:paraId="5A9C0D08">
            <w:pPr>
              <w:pStyle w:val="51"/>
              <w:rPr>
                <w:b/>
                <w:bCs/>
                <w:color w:val="auto"/>
                <w:spacing w:val="-8"/>
                <w:sz w:val="24"/>
              </w:rPr>
            </w:pPr>
            <w:r>
              <w:rPr>
                <w:b/>
                <w:bCs/>
                <w:color w:val="auto"/>
                <w:spacing w:val="-8"/>
                <w:sz w:val="24"/>
              </w:rPr>
              <w:t>其他环境</w:t>
            </w:r>
          </w:p>
          <w:p w14:paraId="78A5584E">
            <w:pPr>
              <w:pStyle w:val="51"/>
              <w:rPr>
                <w:b/>
                <w:bCs/>
                <w:color w:val="auto"/>
                <w:spacing w:val="-8"/>
                <w:sz w:val="24"/>
              </w:rPr>
            </w:pPr>
            <w:r>
              <w:rPr>
                <w:b/>
                <w:bCs/>
                <w:color w:val="auto"/>
                <w:spacing w:val="-8"/>
                <w:sz w:val="24"/>
              </w:rPr>
              <w:t>管理要求</w:t>
            </w:r>
          </w:p>
        </w:tc>
        <w:tc>
          <w:tcPr>
            <w:tcW w:w="4274" w:type="pct"/>
            <w:gridSpan w:val="4"/>
            <w:vAlign w:val="center"/>
          </w:tcPr>
          <w:p w14:paraId="6646E145">
            <w:pPr>
              <w:pStyle w:val="51"/>
              <w:jc w:val="both"/>
              <w:rPr>
                <w:color w:val="auto"/>
                <w:sz w:val="24"/>
              </w:rPr>
            </w:pPr>
            <w:r>
              <w:rPr>
                <w:rFonts w:hint="eastAsia" w:ascii="宋体" w:hAnsi="宋体" w:eastAsia="宋体" w:cs="宋体"/>
                <w:color w:val="auto"/>
                <w:sz w:val="24"/>
              </w:rPr>
              <w:t>工作区内需指定专门的人员，在本项目实施时严格执行“三同时”制度，保证项目运营时三废均能得到有效处理后达标排放。在日常生产中，应加强环保管理，大力推行清洁生产，并加强职工对污染要“以防为主，防治结合”的认识。另外，应加强对设备运行状况的检查，特别是环保设施要做到定期检查，制定检查方案与实施计划，严防出故障，对三废处理装置要定期检修，以确保污染物达标排放。</w:t>
            </w:r>
          </w:p>
        </w:tc>
      </w:tr>
    </w:tbl>
    <w:p w14:paraId="76ABAA50">
      <w:pPr>
        <w:pStyle w:val="17"/>
        <w:adjustRightInd w:val="0"/>
        <w:snapToGrid w:val="0"/>
        <w:spacing w:before="0" w:beforeAutospacing="0" w:after="0" w:afterAutospacing="0"/>
        <w:outlineLvl w:val="0"/>
        <w:rPr>
          <w:rFonts w:ascii="Times New Roman" w:hAnsi="Times New Roman"/>
          <w:b/>
          <w:bCs/>
          <w:snapToGrid w:val="0"/>
          <w:color w:val="auto"/>
          <w:sz w:val="30"/>
          <w:szCs w:val="30"/>
        </w:rPr>
      </w:pPr>
      <w:r>
        <w:rPr>
          <w:rFonts w:ascii="Times New Roman" w:hAnsi="Times New Roman"/>
          <w:snapToGrid w:val="0"/>
          <w:color w:val="auto"/>
        </w:rPr>
        <w:br w:type="page"/>
      </w:r>
      <w:bookmarkStart w:id="15" w:name="_Toc28477"/>
      <w:r>
        <w:rPr>
          <w:rFonts w:ascii="Times New Roman" w:hAnsi="Times New Roman"/>
          <w:b/>
          <w:bCs/>
          <w:snapToGrid w:val="0"/>
          <w:color w:val="auto"/>
          <w:sz w:val="30"/>
          <w:szCs w:val="30"/>
        </w:rPr>
        <w:t>六、结论</w:t>
      </w:r>
      <w:bookmarkEnd w:id="15"/>
    </w:p>
    <w:tbl>
      <w:tblPr>
        <w:tblStyle w:val="19"/>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14:paraId="3FE7789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11991" w:hRule="atLeast"/>
          <w:jc w:val="center"/>
        </w:trPr>
        <w:tc>
          <w:tcPr>
            <w:tcW w:w="5000" w:type="pct"/>
          </w:tcPr>
          <w:p w14:paraId="6B6D6E96">
            <w:pPr>
              <w:pStyle w:val="77"/>
              <w:rPr>
                <w:color w:val="auto"/>
              </w:rPr>
            </w:pPr>
            <w:r>
              <w:rPr>
                <w:color w:val="auto"/>
              </w:rPr>
              <w:t>通过本项目所在地环境现状调查、污染源分析、环境影响分析可知，本项目选址合理，项目符合国</w:t>
            </w:r>
            <w:r>
              <w:rPr>
                <w:rFonts w:hint="eastAsia"/>
                <w:color w:val="auto"/>
                <w:lang w:val="en-US" w:eastAsia="zh-CN"/>
              </w:rPr>
              <w:t>家</w:t>
            </w:r>
            <w:r>
              <w:rPr>
                <w:color w:val="auto"/>
              </w:rPr>
              <w:t>产业政策及相关规划要求，符合国家环境保护相关政策法规要求，项目运行期产生的废水、废气、噪声、固废等采取有效措施后，均能满足国家相关排放标准的要求，企业在生产过程中在充分落实本环评提出的各项污染防治对策前提下，认真做好“三同时”及日常环保管理工作，从环保角度出发，本项目建设可行。</w:t>
            </w:r>
          </w:p>
          <w:p w14:paraId="1177A0C7">
            <w:pPr>
              <w:pStyle w:val="29"/>
              <w:rPr>
                <w:rFonts w:ascii="Times New Roman"/>
                <w:color w:val="auto"/>
              </w:rPr>
            </w:pPr>
          </w:p>
          <w:p w14:paraId="3DCA79ED">
            <w:pPr>
              <w:pStyle w:val="29"/>
              <w:rPr>
                <w:rFonts w:ascii="Times New Roman"/>
                <w:color w:val="auto"/>
              </w:rPr>
            </w:pPr>
          </w:p>
          <w:p w14:paraId="2D0DF2CF">
            <w:pPr>
              <w:pStyle w:val="29"/>
              <w:rPr>
                <w:rFonts w:ascii="Times New Roman"/>
                <w:color w:val="auto"/>
              </w:rPr>
            </w:pPr>
          </w:p>
          <w:p w14:paraId="2F634C2E">
            <w:pPr>
              <w:pStyle w:val="29"/>
              <w:rPr>
                <w:rFonts w:ascii="Times New Roman"/>
                <w:color w:val="auto"/>
              </w:rPr>
            </w:pPr>
          </w:p>
          <w:p w14:paraId="78798605">
            <w:pPr>
              <w:pStyle w:val="29"/>
              <w:rPr>
                <w:rFonts w:ascii="Times New Roman"/>
                <w:color w:val="auto"/>
              </w:rPr>
            </w:pPr>
          </w:p>
          <w:p w14:paraId="3CD32A20">
            <w:pPr>
              <w:pStyle w:val="29"/>
              <w:rPr>
                <w:rFonts w:ascii="Times New Roman"/>
                <w:color w:val="auto"/>
              </w:rPr>
            </w:pPr>
          </w:p>
          <w:p w14:paraId="7E0A932F">
            <w:pPr>
              <w:pStyle w:val="29"/>
              <w:rPr>
                <w:rFonts w:ascii="Times New Roman"/>
                <w:color w:val="auto"/>
              </w:rPr>
            </w:pPr>
          </w:p>
          <w:p w14:paraId="24BCBF52">
            <w:pPr>
              <w:pStyle w:val="29"/>
              <w:rPr>
                <w:rFonts w:ascii="Times New Roman"/>
                <w:color w:val="auto"/>
              </w:rPr>
            </w:pPr>
          </w:p>
          <w:p w14:paraId="610AF43B">
            <w:pPr>
              <w:pStyle w:val="29"/>
              <w:rPr>
                <w:rFonts w:ascii="Times New Roman"/>
                <w:color w:val="auto"/>
              </w:rPr>
            </w:pPr>
          </w:p>
          <w:p w14:paraId="6DC5FF27">
            <w:pPr>
              <w:pStyle w:val="29"/>
              <w:rPr>
                <w:rFonts w:ascii="Times New Roman"/>
                <w:color w:val="auto"/>
              </w:rPr>
            </w:pPr>
          </w:p>
          <w:p w14:paraId="71B885BD">
            <w:pPr>
              <w:pStyle w:val="29"/>
              <w:rPr>
                <w:rFonts w:ascii="Times New Roman"/>
                <w:color w:val="auto"/>
              </w:rPr>
            </w:pPr>
          </w:p>
          <w:p w14:paraId="7176A443">
            <w:pPr>
              <w:pStyle w:val="29"/>
              <w:rPr>
                <w:rFonts w:ascii="Times New Roman"/>
                <w:color w:val="auto"/>
              </w:rPr>
            </w:pPr>
          </w:p>
          <w:p w14:paraId="1505F167">
            <w:pPr>
              <w:pStyle w:val="29"/>
              <w:rPr>
                <w:rFonts w:ascii="Times New Roman"/>
                <w:color w:val="auto"/>
              </w:rPr>
            </w:pPr>
          </w:p>
          <w:p w14:paraId="3B9D2BA1">
            <w:pPr>
              <w:pStyle w:val="29"/>
              <w:rPr>
                <w:rFonts w:ascii="Times New Roman"/>
                <w:color w:val="auto"/>
              </w:rPr>
            </w:pPr>
          </w:p>
          <w:p w14:paraId="2ED62DE1">
            <w:pPr>
              <w:pStyle w:val="29"/>
              <w:rPr>
                <w:rFonts w:ascii="Times New Roman"/>
                <w:color w:val="auto"/>
              </w:rPr>
            </w:pPr>
          </w:p>
          <w:p w14:paraId="171BB118">
            <w:pPr>
              <w:pStyle w:val="29"/>
              <w:rPr>
                <w:rFonts w:ascii="Times New Roman"/>
                <w:color w:val="auto"/>
              </w:rPr>
            </w:pPr>
          </w:p>
          <w:p w14:paraId="5D771841">
            <w:pPr>
              <w:pStyle w:val="29"/>
              <w:rPr>
                <w:rFonts w:ascii="Times New Roman"/>
                <w:color w:val="auto"/>
              </w:rPr>
            </w:pPr>
          </w:p>
          <w:p w14:paraId="55E4697F">
            <w:pPr>
              <w:pStyle w:val="29"/>
              <w:rPr>
                <w:rFonts w:ascii="Times New Roman"/>
                <w:color w:val="auto"/>
              </w:rPr>
            </w:pPr>
          </w:p>
          <w:p w14:paraId="3DFF2F0D">
            <w:pPr>
              <w:pStyle w:val="29"/>
              <w:rPr>
                <w:rFonts w:ascii="Times New Roman"/>
                <w:color w:val="auto"/>
              </w:rPr>
            </w:pPr>
          </w:p>
          <w:p w14:paraId="24737D91">
            <w:pPr>
              <w:pStyle w:val="29"/>
              <w:rPr>
                <w:rFonts w:ascii="Times New Roman"/>
                <w:color w:val="auto"/>
              </w:rPr>
            </w:pPr>
          </w:p>
          <w:p w14:paraId="5C1592D5">
            <w:pPr>
              <w:pStyle w:val="29"/>
              <w:rPr>
                <w:rFonts w:ascii="Times New Roman"/>
                <w:color w:val="auto"/>
              </w:rPr>
            </w:pPr>
          </w:p>
          <w:p w14:paraId="24000F26">
            <w:pPr>
              <w:pStyle w:val="29"/>
              <w:rPr>
                <w:rFonts w:ascii="Times New Roman"/>
                <w:color w:val="auto"/>
              </w:rPr>
            </w:pPr>
          </w:p>
          <w:p w14:paraId="004C733B">
            <w:pPr>
              <w:pStyle w:val="29"/>
              <w:rPr>
                <w:rFonts w:ascii="Times New Roman"/>
                <w:color w:val="auto"/>
              </w:rPr>
            </w:pPr>
          </w:p>
          <w:p w14:paraId="1276FB65">
            <w:pPr>
              <w:pStyle w:val="29"/>
              <w:rPr>
                <w:rFonts w:ascii="Times New Roman"/>
                <w:color w:val="auto"/>
              </w:rPr>
            </w:pPr>
          </w:p>
          <w:p w14:paraId="2E9A053A">
            <w:pPr>
              <w:pStyle w:val="29"/>
              <w:rPr>
                <w:rFonts w:ascii="Times New Roman"/>
                <w:color w:val="auto"/>
              </w:rPr>
            </w:pPr>
          </w:p>
          <w:p w14:paraId="77A6805B">
            <w:pPr>
              <w:pStyle w:val="29"/>
              <w:rPr>
                <w:rFonts w:ascii="Times New Roman"/>
                <w:color w:val="auto"/>
              </w:rPr>
            </w:pPr>
          </w:p>
          <w:p w14:paraId="760BD0B3">
            <w:pPr>
              <w:pStyle w:val="29"/>
              <w:jc w:val="both"/>
              <w:rPr>
                <w:rFonts w:ascii="Times New Roman"/>
                <w:color w:val="auto"/>
              </w:rPr>
            </w:pPr>
          </w:p>
        </w:tc>
      </w:tr>
    </w:tbl>
    <w:p w14:paraId="455F1ABF">
      <w:pPr>
        <w:rPr>
          <w:color w:val="auto"/>
        </w:rPr>
        <w:sectPr>
          <w:pgSz w:w="11906" w:h="16838"/>
          <w:pgMar w:top="1440" w:right="1800" w:bottom="1440" w:left="1800" w:header="851" w:footer="851" w:gutter="0"/>
          <w:pgBorders>
            <w:top w:val="none" w:sz="0" w:space="0"/>
            <w:left w:val="none" w:sz="0" w:space="0"/>
            <w:bottom w:val="none" w:sz="0" w:space="0"/>
            <w:right w:val="none" w:sz="0" w:space="0"/>
          </w:pgBorders>
          <w:cols w:space="720" w:num="1"/>
          <w:docGrid w:linePitch="312" w:charSpace="0"/>
        </w:sectPr>
      </w:pPr>
    </w:p>
    <w:p w14:paraId="5701011F">
      <w:pPr>
        <w:pStyle w:val="17"/>
        <w:adjustRightInd w:val="0"/>
        <w:snapToGrid w:val="0"/>
        <w:spacing w:before="0" w:beforeAutospacing="0" w:after="0" w:afterAutospacing="0"/>
        <w:jc w:val="center"/>
        <w:outlineLvl w:val="0"/>
        <w:rPr>
          <w:rFonts w:ascii="Times New Roman" w:hAnsi="Times New Roman"/>
          <w:snapToGrid w:val="0"/>
          <w:color w:val="auto"/>
          <w:sz w:val="38"/>
          <w:szCs w:val="38"/>
        </w:rPr>
      </w:pPr>
      <w:bookmarkStart w:id="16" w:name="_Toc20217"/>
      <w:r>
        <w:rPr>
          <w:rFonts w:ascii="Times New Roman" w:hAnsi="Times New Roman"/>
          <w:snapToGrid w:val="0"/>
          <w:color w:val="auto"/>
          <w:sz w:val="38"/>
          <w:szCs w:val="38"/>
        </w:rPr>
        <w:t>建设项目污染物排放量汇总表</w:t>
      </w:r>
      <w:bookmarkEnd w:id="16"/>
    </w:p>
    <w:tbl>
      <w:tblPr>
        <w:tblStyle w:val="19"/>
        <w:tblW w:w="1378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83"/>
        <w:gridCol w:w="2022"/>
        <w:gridCol w:w="1701"/>
        <w:gridCol w:w="1276"/>
        <w:gridCol w:w="1701"/>
        <w:gridCol w:w="1559"/>
        <w:gridCol w:w="1521"/>
        <w:gridCol w:w="1701"/>
        <w:gridCol w:w="1324"/>
      </w:tblGrid>
      <w:tr w14:paraId="0CE077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983" w:type="dxa"/>
            <w:tcBorders>
              <w:tl2br w:val="single" w:color="auto" w:sz="4" w:space="0"/>
            </w:tcBorders>
            <w:tcMar>
              <w:left w:w="28" w:type="dxa"/>
              <w:right w:w="28" w:type="dxa"/>
            </w:tcMar>
            <w:vAlign w:val="center"/>
          </w:tcPr>
          <w:p w14:paraId="4AA9DA94">
            <w:pPr>
              <w:pStyle w:val="51"/>
              <w:keepNext w:val="0"/>
              <w:keepLines w:val="0"/>
              <w:pageBreakBefore w:val="0"/>
              <w:widowControl w:val="0"/>
              <w:kinsoku/>
              <w:wordWrap/>
              <w:overflowPunct/>
              <w:topLinePunct w:val="0"/>
              <w:autoSpaceDE/>
              <w:autoSpaceDN/>
              <w:bidi w:val="0"/>
              <w:adjustRightInd/>
              <w:snapToGrid/>
              <w:spacing w:line="240" w:lineRule="auto"/>
              <w:jc w:val="right"/>
              <w:textAlignment w:val="auto"/>
              <w:rPr>
                <w:snapToGrid w:val="0"/>
                <w:color w:val="auto"/>
                <w:sz w:val="21"/>
                <w:szCs w:val="21"/>
              </w:rPr>
            </w:pPr>
            <w:r>
              <w:rPr>
                <w:snapToGrid w:val="0"/>
                <w:color w:val="auto"/>
                <w:sz w:val="21"/>
                <w:szCs w:val="21"/>
              </w:rPr>
              <w:t>项目</w:t>
            </w:r>
          </w:p>
          <w:p w14:paraId="44144987">
            <w:pPr>
              <w:pStyle w:val="51"/>
              <w:keepNext w:val="0"/>
              <w:keepLines w:val="0"/>
              <w:pageBreakBefore w:val="0"/>
              <w:widowControl w:val="0"/>
              <w:kinsoku/>
              <w:wordWrap/>
              <w:overflowPunct/>
              <w:topLinePunct w:val="0"/>
              <w:autoSpaceDE/>
              <w:autoSpaceDN/>
              <w:bidi w:val="0"/>
              <w:adjustRightInd/>
              <w:snapToGrid/>
              <w:spacing w:line="240" w:lineRule="auto"/>
              <w:jc w:val="left"/>
              <w:textAlignment w:val="auto"/>
              <w:rPr>
                <w:snapToGrid w:val="0"/>
                <w:color w:val="auto"/>
                <w:sz w:val="21"/>
                <w:szCs w:val="21"/>
              </w:rPr>
            </w:pPr>
            <w:r>
              <w:rPr>
                <w:snapToGrid w:val="0"/>
                <w:color w:val="auto"/>
                <w:sz w:val="21"/>
                <w:szCs w:val="21"/>
              </w:rPr>
              <w:t>分类</w:t>
            </w:r>
          </w:p>
        </w:tc>
        <w:tc>
          <w:tcPr>
            <w:tcW w:w="2022" w:type="dxa"/>
            <w:tcMar>
              <w:left w:w="28" w:type="dxa"/>
              <w:right w:w="28" w:type="dxa"/>
            </w:tcMar>
            <w:vAlign w:val="center"/>
          </w:tcPr>
          <w:p w14:paraId="030C6642">
            <w:pPr>
              <w:pStyle w:val="51"/>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z w:val="21"/>
                <w:szCs w:val="21"/>
              </w:rPr>
            </w:pPr>
            <w:r>
              <w:rPr>
                <w:snapToGrid w:val="0"/>
                <w:color w:val="auto"/>
                <w:sz w:val="21"/>
                <w:szCs w:val="21"/>
              </w:rPr>
              <w:t>污染物名称</w:t>
            </w:r>
          </w:p>
        </w:tc>
        <w:tc>
          <w:tcPr>
            <w:tcW w:w="1701" w:type="dxa"/>
            <w:tcMar>
              <w:left w:w="28" w:type="dxa"/>
              <w:right w:w="28" w:type="dxa"/>
            </w:tcMar>
            <w:vAlign w:val="center"/>
          </w:tcPr>
          <w:p w14:paraId="17D39F90">
            <w:pPr>
              <w:pStyle w:val="51"/>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z w:val="21"/>
                <w:szCs w:val="21"/>
              </w:rPr>
            </w:pPr>
            <w:r>
              <w:rPr>
                <w:snapToGrid w:val="0"/>
                <w:color w:val="auto"/>
                <w:sz w:val="21"/>
                <w:szCs w:val="21"/>
              </w:rPr>
              <w:t>现有工程</w:t>
            </w:r>
          </w:p>
          <w:p w14:paraId="12AF69F2">
            <w:pPr>
              <w:pStyle w:val="51"/>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z w:val="21"/>
                <w:szCs w:val="21"/>
              </w:rPr>
            </w:pPr>
            <w:r>
              <w:rPr>
                <w:snapToGrid w:val="0"/>
                <w:color w:val="auto"/>
                <w:sz w:val="21"/>
                <w:szCs w:val="21"/>
              </w:rPr>
              <w:t>排放量（固体废物产生量）</w:t>
            </w:r>
            <w:r>
              <w:rPr>
                <w:snapToGrid w:val="0"/>
                <w:color w:val="auto"/>
                <w:sz w:val="21"/>
                <w:szCs w:val="21"/>
              </w:rPr>
              <w:fldChar w:fldCharType="begin"/>
            </w:r>
            <w:r>
              <w:rPr>
                <w:snapToGrid w:val="0"/>
                <w:color w:val="auto"/>
                <w:sz w:val="21"/>
                <w:szCs w:val="21"/>
              </w:rPr>
              <w:instrText xml:space="preserve"> = 1 \* GB3 \* MERGEFORMAT </w:instrText>
            </w:r>
            <w:r>
              <w:rPr>
                <w:snapToGrid w:val="0"/>
                <w:color w:val="auto"/>
                <w:sz w:val="21"/>
                <w:szCs w:val="21"/>
              </w:rPr>
              <w:fldChar w:fldCharType="separate"/>
            </w:r>
            <w:r>
              <w:rPr>
                <w:rFonts w:hint="eastAsia" w:ascii="宋体" w:hAnsi="宋体" w:cs="宋体"/>
                <w:color w:val="auto"/>
                <w:sz w:val="21"/>
                <w:szCs w:val="21"/>
              </w:rPr>
              <w:t>①</w:t>
            </w:r>
            <w:r>
              <w:rPr>
                <w:snapToGrid w:val="0"/>
                <w:color w:val="auto"/>
                <w:sz w:val="21"/>
                <w:szCs w:val="21"/>
              </w:rPr>
              <w:fldChar w:fldCharType="end"/>
            </w:r>
          </w:p>
        </w:tc>
        <w:tc>
          <w:tcPr>
            <w:tcW w:w="1276" w:type="dxa"/>
            <w:tcMar>
              <w:left w:w="28" w:type="dxa"/>
              <w:right w:w="28" w:type="dxa"/>
            </w:tcMar>
            <w:vAlign w:val="center"/>
          </w:tcPr>
          <w:p w14:paraId="029B5106">
            <w:pPr>
              <w:pStyle w:val="51"/>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z w:val="21"/>
                <w:szCs w:val="21"/>
              </w:rPr>
            </w:pPr>
            <w:r>
              <w:rPr>
                <w:snapToGrid w:val="0"/>
                <w:color w:val="auto"/>
                <w:sz w:val="21"/>
                <w:szCs w:val="21"/>
              </w:rPr>
              <w:t>现有工程</w:t>
            </w:r>
          </w:p>
          <w:p w14:paraId="4E4F98A1">
            <w:pPr>
              <w:pStyle w:val="51"/>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z w:val="21"/>
                <w:szCs w:val="21"/>
              </w:rPr>
            </w:pPr>
            <w:r>
              <w:rPr>
                <w:snapToGrid w:val="0"/>
                <w:color w:val="auto"/>
                <w:sz w:val="21"/>
                <w:szCs w:val="21"/>
              </w:rPr>
              <w:t>许可排放量</w:t>
            </w:r>
          </w:p>
          <w:p w14:paraId="09C3E186">
            <w:pPr>
              <w:pStyle w:val="51"/>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z w:val="21"/>
                <w:szCs w:val="21"/>
              </w:rPr>
            </w:pPr>
            <w:r>
              <w:rPr>
                <w:snapToGrid w:val="0"/>
                <w:color w:val="auto"/>
                <w:sz w:val="21"/>
                <w:szCs w:val="21"/>
              </w:rPr>
              <w:fldChar w:fldCharType="begin"/>
            </w:r>
            <w:r>
              <w:rPr>
                <w:snapToGrid w:val="0"/>
                <w:color w:val="auto"/>
                <w:sz w:val="21"/>
                <w:szCs w:val="21"/>
              </w:rPr>
              <w:instrText xml:space="preserve"> = 2 \* GB3 \* MERGEFORMAT </w:instrText>
            </w:r>
            <w:r>
              <w:rPr>
                <w:snapToGrid w:val="0"/>
                <w:color w:val="auto"/>
                <w:sz w:val="21"/>
                <w:szCs w:val="21"/>
              </w:rPr>
              <w:fldChar w:fldCharType="separate"/>
            </w:r>
            <w:r>
              <w:rPr>
                <w:rFonts w:hint="eastAsia" w:ascii="宋体" w:hAnsi="宋体" w:cs="宋体"/>
                <w:snapToGrid w:val="0"/>
                <w:color w:val="auto"/>
                <w:sz w:val="21"/>
                <w:szCs w:val="21"/>
              </w:rPr>
              <w:t>②</w:t>
            </w:r>
            <w:r>
              <w:rPr>
                <w:snapToGrid w:val="0"/>
                <w:color w:val="auto"/>
                <w:sz w:val="21"/>
                <w:szCs w:val="21"/>
              </w:rPr>
              <w:fldChar w:fldCharType="end"/>
            </w:r>
          </w:p>
        </w:tc>
        <w:tc>
          <w:tcPr>
            <w:tcW w:w="1701" w:type="dxa"/>
            <w:tcMar>
              <w:left w:w="28" w:type="dxa"/>
              <w:right w:w="28" w:type="dxa"/>
            </w:tcMar>
            <w:vAlign w:val="center"/>
          </w:tcPr>
          <w:p w14:paraId="1C32E54C">
            <w:pPr>
              <w:pStyle w:val="51"/>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z w:val="21"/>
                <w:szCs w:val="21"/>
              </w:rPr>
            </w:pPr>
            <w:r>
              <w:rPr>
                <w:snapToGrid w:val="0"/>
                <w:color w:val="auto"/>
                <w:sz w:val="21"/>
                <w:szCs w:val="21"/>
              </w:rPr>
              <w:t>在建工程</w:t>
            </w:r>
          </w:p>
          <w:p w14:paraId="16530ECA">
            <w:pPr>
              <w:pStyle w:val="51"/>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z w:val="21"/>
                <w:szCs w:val="21"/>
              </w:rPr>
            </w:pPr>
            <w:r>
              <w:rPr>
                <w:snapToGrid w:val="0"/>
                <w:color w:val="auto"/>
                <w:sz w:val="21"/>
                <w:szCs w:val="21"/>
              </w:rPr>
              <w:t>排放量（固体废物产生量）</w:t>
            </w:r>
            <w:r>
              <w:rPr>
                <w:snapToGrid w:val="0"/>
                <w:color w:val="auto"/>
                <w:sz w:val="21"/>
                <w:szCs w:val="21"/>
              </w:rPr>
              <w:fldChar w:fldCharType="begin"/>
            </w:r>
            <w:r>
              <w:rPr>
                <w:snapToGrid w:val="0"/>
                <w:color w:val="auto"/>
                <w:sz w:val="21"/>
                <w:szCs w:val="21"/>
              </w:rPr>
              <w:instrText xml:space="preserve"> = 3 \* GB3 \* MERGEFORMAT </w:instrText>
            </w:r>
            <w:r>
              <w:rPr>
                <w:snapToGrid w:val="0"/>
                <w:color w:val="auto"/>
                <w:sz w:val="21"/>
                <w:szCs w:val="21"/>
              </w:rPr>
              <w:fldChar w:fldCharType="separate"/>
            </w:r>
            <w:r>
              <w:rPr>
                <w:rFonts w:hint="eastAsia" w:ascii="宋体" w:hAnsi="宋体" w:cs="宋体"/>
                <w:color w:val="auto"/>
                <w:sz w:val="21"/>
                <w:szCs w:val="21"/>
              </w:rPr>
              <w:t>③</w:t>
            </w:r>
            <w:r>
              <w:rPr>
                <w:snapToGrid w:val="0"/>
                <w:color w:val="auto"/>
                <w:sz w:val="21"/>
                <w:szCs w:val="21"/>
              </w:rPr>
              <w:fldChar w:fldCharType="end"/>
            </w:r>
          </w:p>
        </w:tc>
        <w:tc>
          <w:tcPr>
            <w:tcW w:w="1559" w:type="dxa"/>
            <w:tcMar>
              <w:left w:w="28" w:type="dxa"/>
              <w:right w:w="28" w:type="dxa"/>
            </w:tcMar>
            <w:vAlign w:val="center"/>
          </w:tcPr>
          <w:p w14:paraId="1AAFC72A">
            <w:pPr>
              <w:pStyle w:val="51"/>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z w:val="21"/>
                <w:szCs w:val="21"/>
              </w:rPr>
            </w:pPr>
            <w:r>
              <w:rPr>
                <w:snapToGrid w:val="0"/>
                <w:color w:val="auto"/>
                <w:sz w:val="21"/>
                <w:szCs w:val="21"/>
              </w:rPr>
              <w:t>本项目</w:t>
            </w:r>
          </w:p>
          <w:p w14:paraId="6A84B30B">
            <w:pPr>
              <w:pStyle w:val="51"/>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z w:val="21"/>
                <w:szCs w:val="21"/>
              </w:rPr>
            </w:pPr>
            <w:r>
              <w:rPr>
                <w:snapToGrid w:val="0"/>
                <w:color w:val="auto"/>
                <w:sz w:val="21"/>
                <w:szCs w:val="21"/>
              </w:rPr>
              <w:t>排放量（固体废物产生量）</w:t>
            </w:r>
            <w:r>
              <w:rPr>
                <w:snapToGrid w:val="0"/>
                <w:color w:val="auto"/>
                <w:sz w:val="21"/>
                <w:szCs w:val="21"/>
              </w:rPr>
              <w:fldChar w:fldCharType="begin"/>
            </w:r>
            <w:r>
              <w:rPr>
                <w:snapToGrid w:val="0"/>
                <w:color w:val="auto"/>
                <w:sz w:val="21"/>
                <w:szCs w:val="21"/>
              </w:rPr>
              <w:instrText xml:space="preserve"> = 4 \* GB3 \* MERGEFORMAT </w:instrText>
            </w:r>
            <w:r>
              <w:rPr>
                <w:snapToGrid w:val="0"/>
                <w:color w:val="auto"/>
                <w:sz w:val="21"/>
                <w:szCs w:val="21"/>
              </w:rPr>
              <w:fldChar w:fldCharType="separate"/>
            </w:r>
            <w:r>
              <w:rPr>
                <w:rFonts w:hint="eastAsia" w:ascii="宋体" w:hAnsi="宋体" w:cs="宋体"/>
                <w:color w:val="auto"/>
                <w:sz w:val="21"/>
                <w:szCs w:val="21"/>
              </w:rPr>
              <w:t>④</w:t>
            </w:r>
            <w:r>
              <w:rPr>
                <w:snapToGrid w:val="0"/>
                <w:color w:val="auto"/>
                <w:sz w:val="21"/>
                <w:szCs w:val="21"/>
              </w:rPr>
              <w:fldChar w:fldCharType="end"/>
            </w:r>
          </w:p>
        </w:tc>
        <w:tc>
          <w:tcPr>
            <w:tcW w:w="1521" w:type="dxa"/>
            <w:tcMar>
              <w:left w:w="28" w:type="dxa"/>
              <w:right w:w="28" w:type="dxa"/>
            </w:tcMar>
            <w:vAlign w:val="center"/>
          </w:tcPr>
          <w:p w14:paraId="3378248F">
            <w:pPr>
              <w:pStyle w:val="51"/>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pacing w:val="-16"/>
                <w:sz w:val="21"/>
                <w:szCs w:val="21"/>
              </w:rPr>
            </w:pPr>
            <w:r>
              <w:rPr>
                <w:snapToGrid w:val="0"/>
                <w:color w:val="auto"/>
                <w:spacing w:val="-16"/>
                <w:sz w:val="21"/>
                <w:szCs w:val="21"/>
              </w:rPr>
              <w:t>以新带老削减量</w:t>
            </w:r>
          </w:p>
          <w:p w14:paraId="2306F942">
            <w:pPr>
              <w:pStyle w:val="51"/>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pacing w:val="-16"/>
                <w:sz w:val="21"/>
                <w:szCs w:val="21"/>
              </w:rPr>
            </w:pPr>
            <w:r>
              <w:rPr>
                <w:snapToGrid w:val="0"/>
                <w:color w:val="auto"/>
                <w:spacing w:val="-16"/>
                <w:sz w:val="21"/>
                <w:szCs w:val="21"/>
              </w:rPr>
              <w:t>（新建项目不填）</w:t>
            </w:r>
            <w:r>
              <w:rPr>
                <w:snapToGrid w:val="0"/>
                <w:color w:val="auto"/>
                <w:spacing w:val="-16"/>
                <w:sz w:val="21"/>
                <w:szCs w:val="21"/>
              </w:rPr>
              <w:fldChar w:fldCharType="begin"/>
            </w:r>
            <w:r>
              <w:rPr>
                <w:snapToGrid w:val="0"/>
                <w:color w:val="auto"/>
                <w:spacing w:val="-16"/>
                <w:sz w:val="21"/>
                <w:szCs w:val="21"/>
              </w:rPr>
              <w:instrText xml:space="preserve"> = 5 \* GB3 \* MERGEFORMAT </w:instrText>
            </w:r>
            <w:r>
              <w:rPr>
                <w:snapToGrid w:val="0"/>
                <w:color w:val="auto"/>
                <w:spacing w:val="-16"/>
                <w:sz w:val="21"/>
                <w:szCs w:val="21"/>
              </w:rPr>
              <w:fldChar w:fldCharType="separate"/>
            </w:r>
            <w:r>
              <w:rPr>
                <w:rFonts w:hint="eastAsia" w:ascii="宋体" w:hAnsi="宋体" w:cs="宋体"/>
                <w:color w:val="auto"/>
                <w:sz w:val="21"/>
                <w:szCs w:val="21"/>
              </w:rPr>
              <w:t>⑤</w:t>
            </w:r>
            <w:r>
              <w:rPr>
                <w:snapToGrid w:val="0"/>
                <w:color w:val="auto"/>
                <w:spacing w:val="-16"/>
                <w:sz w:val="21"/>
                <w:szCs w:val="21"/>
              </w:rPr>
              <w:fldChar w:fldCharType="end"/>
            </w:r>
          </w:p>
        </w:tc>
        <w:tc>
          <w:tcPr>
            <w:tcW w:w="1701" w:type="dxa"/>
            <w:tcMar>
              <w:left w:w="28" w:type="dxa"/>
              <w:right w:w="28" w:type="dxa"/>
            </w:tcMar>
            <w:vAlign w:val="center"/>
          </w:tcPr>
          <w:p w14:paraId="2C352646">
            <w:pPr>
              <w:pStyle w:val="51"/>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pacing w:val="-16"/>
                <w:sz w:val="21"/>
                <w:szCs w:val="21"/>
              </w:rPr>
            </w:pPr>
            <w:r>
              <w:rPr>
                <w:snapToGrid w:val="0"/>
                <w:color w:val="auto"/>
                <w:spacing w:val="-16"/>
                <w:sz w:val="21"/>
                <w:szCs w:val="21"/>
              </w:rPr>
              <w:t>本项目建成后</w:t>
            </w:r>
          </w:p>
          <w:p w14:paraId="033A55B4">
            <w:pPr>
              <w:pStyle w:val="51"/>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pacing w:val="-16"/>
                <w:sz w:val="21"/>
                <w:szCs w:val="21"/>
              </w:rPr>
            </w:pPr>
            <w:r>
              <w:rPr>
                <w:snapToGrid w:val="0"/>
                <w:color w:val="auto"/>
                <w:spacing w:val="-16"/>
                <w:sz w:val="21"/>
                <w:szCs w:val="21"/>
              </w:rPr>
              <w:t>全厂排放量（固体废物产生量）</w:t>
            </w:r>
            <w:r>
              <w:rPr>
                <w:snapToGrid w:val="0"/>
                <w:color w:val="auto"/>
                <w:spacing w:val="-16"/>
                <w:sz w:val="21"/>
                <w:szCs w:val="21"/>
              </w:rPr>
              <w:fldChar w:fldCharType="begin"/>
            </w:r>
            <w:r>
              <w:rPr>
                <w:snapToGrid w:val="0"/>
                <w:color w:val="auto"/>
                <w:spacing w:val="-16"/>
                <w:sz w:val="21"/>
                <w:szCs w:val="21"/>
              </w:rPr>
              <w:instrText xml:space="preserve"> = 6 \* GB3 \* MERGEFORMAT </w:instrText>
            </w:r>
            <w:r>
              <w:rPr>
                <w:snapToGrid w:val="0"/>
                <w:color w:val="auto"/>
                <w:spacing w:val="-16"/>
                <w:sz w:val="21"/>
                <w:szCs w:val="21"/>
              </w:rPr>
              <w:fldChar w:fldCharType="separate"/>
            </w:r>
            <w:r>
              <w:rPr>
                <w:rFonts w:hint="eastAsia" w:ascii="宋体" w:hAnsi="宋体" w:cs="宋体"/>
                <w:color w:val="auto"/>
                <w:sz w:val="21"/>
                <w:szCs w:val="21"/>
              </w:rPr>
              <w:t>⑥</w:t>
            </w:r>
            <w:r>
              <w:rPr>
                <w:snapToGrid w:val="0"/>
                <w:color w:val="auto"/>
                <w:spacing w:val="-16"/>
                <w:sz w:val="21"/>
                <w:szCs w:val="21"/>
              </w:rPr>
              <w:fldChar w:fldCharType="end"/>
            </w:r>
          </w:p>
        </w:tc>
        <w:tc>
          <w:tcPr>
            <w:tcW w:w="1324" w:type="dxa"/>
            <w:tcMar>
              <w:left w:w="28" w:type="dxa"/>
              <w:right w:w="28" w:type="dxa"/>
            </w:tcMar>
            <w:vAlign w:val="center"/>
          </w:tcPr>
          <w:p w14:paraId="15E405B1">
            <w:pPr>
              <w:pStyle w:val="51"/>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z w:val="21"/>
                <w:szCs w:val="21"/>
              </w:rPr>
            </w:pPr>
            <w:r>
              <w:rPr>
                <w:snapToGrid w:val="0"/>
                <w:color w:val="auto"/>
                <w:sz w:val="21"/>
                <w:szCs w:val="21"/>
              </w:rPr>
              <w:t>变化量</w:t>
            </w:r>
          </w:p>
          <w:p w14:paraId="476D9C4C">
            <w:pPr>
              <w:pStyle w:val="51"/>
              <w:keepNext w:val="0"/>
              <w:keepLines w:val="0"/>
              <w:pageBreakBefore w:val="0"/>
              <w:widowControl w:val="0"/>
              <w:kinsoku/>
              <w:wordWrap/>
              <w:overflowPunct/>
              <w:topLinePunct w:val="0"/>
              <w:autoSpaceDE/>
              <w:autoSpaceDN/>
              <w:bidi w:val="0"/>
              <w:adjustRightInd/>
              <w:snapToGrid/>
              <w:spacing w:line="240" w:lineRule="auto"/>
              <w:textAlignment w:val="auto"/>
              <w:rPr>
                <w:snapToGrid w:val="0"/>
                <w:color w:val="auto"/>
                <w:sz w:val="21"/>
                <w:szCs w:val="21"/>
              </w:rPr>
            </w:pPr>
            <w:r>
              <w:rPr>
                <w:snapToGrid w:val="0"/>
                <w:color w:val="auto"/>
                <w:sz w:val="21"/>
                <w:szCs w:val="21"/>
              </w:rPr>
              <w:fldChar w:fldCharType="begin"/>
            </w:r>
            <w:r>
              <w:rPr>
                <w:snapToGrid w:val="0"/>
                <w:color w:val="auto"/>
                <w:sz w:val="21"/>
                <w:szCs w:val="21"/>
              </w:rPr>
              <w:instrText xml:space="preserve"> = 7 \* GB3 \* MERGEFORMAT </w:instrText>
            </w:r>
            <w:r>
              <w:rPr>
                <w:snapToGrid w:val="0"/>
                <w:color w:val="auto"/>
                <w:sz w:val="21"/>
                <w:szCs w:val="21"/>
              </w:rPr>
              <w:fldChar w:fldCharType="separate"/>
            </w:r>
            <w:r>
              <w:rPr>
                <w:rFonts w:hint="eastAsia" w:ascii="宋体" w:hAnsi="宋体" w:cs="宋体"/>
                <w:color w:val="auto"/>
                <w:sz w:val="21"/>
                <w:szCs w:val="21"/>
              </w:rPr>
              <w:t>⑦</w:t>
            </w:r>
            <w:r>
              <w:rPr>
                <w:snapToGrid w:val="0"/>
                <w:color w:val="auto"/>
                <w:sz w:val="21"/>
                <w:szCs w:val="21"/>
              </w:rPr>
              <w:fldChar w:fldCharType="end"/>
            </w:r>
          </w:p>
        </w:tc>
      </w:tr>
      <w:tr w14:paraId="4888FC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restart"/>
            <w:vAlign w:val="center"/>
          </w:tcPr>
          <w:p w14:paraId="2D367635">
            <w:pPr>
              <w:pStyle w:val="51"/>
              <w:rPr>
                <w:snapToGrid w:val="0"/>
                <w:color w:val="auto"/>
                <w:sz w:val="24"/>
              </w:rPr>
            </w:pPr>
            <w:r>
              <w:rPr>
                <w:snapToGrid w:val="0"/>
                <w:color w:val="auto"/>
                <w:sz w:val="24"/>
              </w:rPr>
              <w:t>废气</w:t>
            </w:r>
          </w:p>
        </w:tc>
        <w:tc>
          <w:tcPr>
            <w:tcW w:w="2022" w:type="dxa"/>
            <w:vAlign w:val="center"/>
          </w:tcPr>
          <w:p w14:paraId="7A8C7435">
            <w:pPr>
              <w:pStyle w:val="51"/>
              <w:rPr>
                <w:snapToGrid w:val="0"/>
                <w:color w:val="auto"/>
                <w:sz w:val="24"/>
              </w:rPr>
            </w:pPr>
            <w:r>
              <w:rPr>
                <w:snapToGrid w:val="0"/>
                <w:color w:val="auto"/>
                <w:sz w:val="24"/>
              </w:rPr>
              <w:t>颗粒物</w:t>
            </w:r>
          </w:p>
        </w:tc>
        <w:tc>
          <w:tcPr>
            <w:tcW w:w="1701" w:type="dxa"/>
            <w:vAlign w:val="center"/>
          </w:tcPr>
          <w:p w14:paraId="5C8D3D74">
            <w:pPr>
              <w:pStyle w:val="51"/>
              <w:rPr>
                <w:snapToGrid w:val="0"/>
                <w:color w:val="auto"/>
                <w:sz w:val="24"/>
              </w:rPr>
            </w:pPr>
            <w:r>
              <w:rPr>
                <w:snapToGrid w:val="0"/>
                <w:color w:val="auto"/>
                <w:sz w:val="24"/>
              </w:rPr>
              <w:t>/</w:t>
            </w:r>
          </w:p>
        </w:tc>
        <w:tc>
          <w:tcPr>
            <w:tcW w:w="1276" w:type="dxa"/>
            <w:vAlign w:val="center"/>
          </w:tcPr>
          <w:p w14:paraId="44E63F7A">
            <w:pPr>
              <w:pStyle w:val="51"/>
              <w:rPr>
                <w:snapToGrid w:val="0"/>
                <w:color w:val="auto"/>
                <w:sz w:val="24"/>
              </w:rPr>
            </w:pPr>
            <w:r>
              <w:rPr>
                <w:snapToGrid w:val="0"/>
                <w:color w:val="auto"/>
                <w:sz w:val="24"/>
              </w:rPr>
              <w:t>/</w:t>
            </w:r>
          </w:p>
        </w:tc>
        <w:tc>
          <w:tcPr>
            <w:tcW w:w="1701" w:type="dxa"/>
            <w:vAlign w:val="center"/>
          </w:tcPr>
          <w:p w14:paraId="1717E792">
            <w:pPr>
              <w:pStyle w:val="51"/>
              <w:rPr>
                <w:snapToGrid w:val="0"/>
                <w:color w:val="auto"/>
                <w:sz w:val="24"/>
              </w:rPr>
            </w:pPr>
            <w:r>
              <w:rPr>
                <w:snapToGrid w:val="0"/>
                <w:color w:val="auto"/>
                <w:sz w:val="24"/>
              </w:rPr>
              <w:t>/</w:t>
            </w:r>
          </w:p>
        </w:tc>
        <w:tc>
          <w:tcPr>
            <w:tcW w:w="1559" w:type="dxa"/>
            <w:vAlign w:val="center"/>
          </w:tcPr>
          <w:p w14:paraId="2E6C196E">
            <w:pPr>
              <w:jc w:val="center"/>
              <w:rPr>
                <w:color w:val="auto"/>
                <w:kern w:val="0"/>
                <w:sz w:val="24"/>
              </w:rPr>
            </w:pPr>
            <w:r>
              <w:rPr>
                <w:color w:val="auto"/>
                <w:kern w:val="0"/>
                <w:sz w:val="24"/>
              </w:rPr>
              <w:t>0.00</w:t>
            </w:r>
            <w:r>
              <w:rPr>
                <w:rFonts w:hint="eastAsia"/>
                <w:color w:val="auto"/>
                <w:kern w:val="0"/>
                <w:sz w:val="24"/>
                <w:lang w:val="en-US" w:eastAsia="zh-CN"/>
              </w:rPr>
              <w:t>1</w:t>
            </w:r>
            <w:r>
              <w:rPr>
                <w:color w:val="auto"/>
                <w:kern w:val="0"/>
                <w:sz w:val="24"/>
              </w:rPr>
              <w:t>t/a</w:t>
            </w:r>
          </w:p>
        </w:tc>
        <w:tc>
          <w:tcPr>
            <w:tcW w:w="1521" w:type="dxa"/>
            <w:vAlign w:val="center"/>
          </w:tcPr>
          <w:p w14:paraId="4AEB75F5">
            <w:pPr>
              <w:pStyle w:val="51"/>
              <w:rPr>
                <w:snapToGrid w:val="0"/>
                <w:color w:val="auto"/>
                <w:sz w:val="24"/>
              </w:rPr>
            </w:pPr>
            <w:r>
              <w:rPr>
                <w:snapToGrid w:val="0"/>
                <w:color w:val="auto"/>
                <w:sz w:val="24"/>
              </w:rPr>
              <w:t>/</w:t>
            </w:r>
          </w:p>
        </w:tc>
        <w:tc>
          <w:tcPr>
            <w:tcW w:w="1701" w:type="dxa"/>
            <w:vAlign w:val="center"/>
          </w:tcPr>
          <w:p w14:paraId="5ADC598F">
            <w:pPr>
              <w:jc w:val="center"/>
              <w:rPr>
                <w:rFonts w:ascii="Times New Roman" w:hAnsi="Times New Roman" w:eastAsia="宋体" w:cs="Times New Roman"/>
                <w:color w:val="auto"/>
                <w:kern w:val="0"/>
                <w:sz w:val="24"/>
                <w:szCs w:val="24"/>
                <w:lang w:val="en-US" w:eastAsia="zh-CN" w:bidi="ar-SA"/>
              </w:rPr>
            </w:pPr>
            <w:r>
              <w:rPr>
                <w:color w:val="auto"/>
                <w:kern w:val="0"/>
                <w:sz w:val="24"/>
              </w:rPr>
              <w:t>0.00</w:t>
            </w:r>
            <w:r>
              <w:rPr>
                <w:rFonts w:hint="eastAsia"/>
                <w:color w:val="auto"/>
                <w:kern w:val="0"/>
                <w:sz w:val="24"/>
                <w:lang w:val="en-US" w:eastAsia="zh-CN"/>
              </w:rPr>
              <w:t>1</w:t>
            </w:r>
            <w:r>
              <w:rPr>
                <w:color w:val="auto"/>
                <w:kern w:val="0"/>
                <w:sz w:val="24"/>
              </w:rPr>
              <w:t>t/a</w:t>
            </w:r>
          </w:p>
        </w:tc>
        <w:tc>
          <w:tcPr>
            <w:tcW w:w="1324" w:type="dxa"/>
            <w:vAlign w:val="center"/>
          </w:tcPr>
          <w:p w14:paraId="32E10B03">
            <w:pPr>
              <w:jc w:val="center"/>
              <w:rPr>
                <w:rFonts w:ascii="Times New Roman" w:hAnsi="Times New Roman" w:eastAsia="宋体" w:cs="Times New Roman"/>
                <w:color w:val="auto"/>
                <w:kern w:val="0"/>
                <w:sz w:val="24"/>
                <w:szCs w:val="24"/>
                <w:lang w:val="en-US" w:eastAsia="zh-CN" w:bidi="ar-SA"/>
              </w:rPr>
            </w:pPr>
            <w:r>
              <w:rPr>
                <w:color w:val="auto"/>
                <w:kern w:val="0"/>
                <w:sz w:val="24"/>
              </w:rPr>
              <w:t>0.00</w:t>
            </w:r>
            <w:r>
              <w:rPr>
                <w:rFonts w:hint="eastAsia"/>
                <w:color w:val="auto"/>
                <w:kern w:val="0"/>
                <w:sz w:val="24"/>
                <w:lang w:val="en-US" w:eastAsia="zh-CN"/>
              </w:rPr>
              <w:t>1</w:t>
            </w:r>
            <w:r>
              <w:rPr>
                <w:color w:val="auto"/>
                <w:kern w:val="0"/>
                <w:sz w:val="24"/>
              </w:rPr>
              <w:t>t/a</w:t>
            </w:r>
          </w:p>
        </w:tc>
      </w:tr>
      <w:tr w14:paraId="22E5FA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continue"/>
            <w:vAlign w:val="center"/>
          </w:tcPr>
          <w:p w14:paraId="56B3FFB6">
            <w:pPr>
              <w:pStyle w:val="51"/>
              <w:rPr>
                <w:snapToGrid w:val="0"/>
                <w:color w:val="auto"/>
                <w:sz w:val="24"/>
              </w:rPr>
            </w:pPr>
          </w:p>
        </w:tc>
        <w:tc>
          <w:tcPr>
            <w:tcW w:w="2022" w:type="dxa"/>
            <w:vAlign w:val="center"/>
          </w:tcPr>
          <w:p w14:paraId="490DD34C">
            <w:pPr>
              <w:pStyle w:val="51"/>
              <w:rPr>
                <w:snapToGrid w:val="0"/>
                <w:color w:val="auto"/>
                <w:sz w:val="24"/>
              </w:rPr>
            </w:pPr>
            <w:r>
              <w:rPr>
                <w:snapToGrid w:val="0"/>
                <w:color w:val="auto"/>
                <w:sz w:val="24"/>
              </w:rPr>
              <w:t>非甲烷总烃</w:t>
            </w:r>
          </w:p>
        </w:tc>
        <w:tc>
          <w:tcPr>
            <w:tcW w:w="1701" w:type="dxa"/>
            <w:vAlign w:val="center"/>
          </w:tcPr>
          <w:p w14:paraId="7EAE31C3">
            <w:pPr>
              <w:pStyle w:val="51"/>
              <w:keepNext w:val="0"/>
              <w:keepLines w:val="0"/>
              <w:pageBreakBefore w:val="0"/>
              <w:widowControl w:val="0"/>
              <w:kinsoku/>
              <w:wordWrap/>
              <w:overflowPunct/>
              <w:topLinePunct w:val="0"/>
              <w:autoSpaceDE/>
              <w:autoSpaceDN/>
              <w:bidi w:val="0"/>
              <w:adjustRightInd/>
              <w:snapToGrid/>
              <w:spacing w:line="216" w:lineRule="auto"/>
              <w:textAlignment w:val="auto"/>
              <w:rPr>
                <w:snapToGrid w:val="0"/>
                <w:color w:val="auto"/>
                <w:sz w:val="24"/>
              </w:rPr>
            </w:pPr>
            <w:r>
              <w:rPr>
                <w:snapToGrid w:val="0"/>
                <w:color w:val="auto"/>
                <w:sz w:val="24"/>
              </w:rPr>
              <w:t>/</w:t>
            </w:r>
          </w:p>
        </w:tc>
        <w:tc>
          <w:tcPr>
            <w:tcW w:w="1276" w:type="dxa"/>
            <w:vAlign w:val="center"/>
          </w:tcPr>
          <w:p w14:paraId="3B46CEB9">
            <w:pPr>
              <w:pStyle w:val="51"/>
              <w:rPr>
                <w:snapToGrid w:val="0"/>
                <w:color w:val="auto"/>
                <w:sz w:val="24"/>
              </w:rPr>
            </w:pPr>
            <w:r>
              <w:rPr>
                <w:snapToGrid w:val="0"/>
                <w:color w:val="auto"/>
                <w:sz w:val="24"/>
              </w:rPr>
              <w:t>/</w:t>
            </w:r>
          </w:p>
        </w:tc>
        <w:tc>
          <w:tcPr>
            <w:tcW w:w="1701" w:type="dxa"/>
            <w:vAlign w:val="center"/>
          </w:tcPr>
          <w:p w14:paraId="1CCD7CA3">
            <w:pPr>
              <w:pStyle w:val="51"/>
              <w:rPr>
                <w:snapToGrid w:val="0"/>
                <w:color w:val="auto"/>
                <w:sz w:val="24"/>
              </w:rPr>
            </w:pPr>
            <w:r>
              <w:rPr>
                <w:snapToGrid w:val="0"/>
                <w:color w:val="auto"/>
                <w:sz w:val="24"/>
              </w:rPr>
              <w:t>/</w:t>
            </w:r>
          </w:p>
        </w:tc>
        <w:tc>
          <w:tcPr>
            <w:tcW w:w="1559" w:type="dxa"/>
            <w:vAlign w:val="center"/>
          </w:tcPr>
          <w:p w14:paraId="2172D8F6">
            <w:pPr>
              <w:jc w:val="center"/>
              <w:rPr>
                <w:color w:val="auto"/>
                <w:kern w:val="0"/>
                <w:sz w:val="24"/>
              </w:rPr>
            </w:pPr>
            <w:r>
              <w:rPr>
                <w:color w:val="auto"/>
                <w:kern w:val="0"/>
                <w:sz w:val="24"/>
              </w:rPr>
              <w:t>0.</w:t>
            </w:r>
            <w:r>
              <w:rPr>
                <w:rFonts w:hint="eastAsia"/>
                <w:color w:val="auto"/>
                <w:kern w:val="0"/>
                <w:sz w:val="24"/>
                <w:lang w:val="en-US" w:eastAsia="zh-CN"/>
              </w:rPr>
              <w:t>1</w:t>
            </w:r>
            <w:r>
              <w:rPr>
                <w:color w:val="auto"/>
                <w:kern w:val="0"/>
                <w:sz w:val="24"/>
              </w:rPr>
              <w:t>t/a</w:t>
            </w:r>
          </w:p>
        </w:tc>
        <w:tc>
          <w:tcPr>
            <w:tcW w:w="1521" w:type="dxa"/>
            <w:vAlign w:val="center"/>
          </w:tcPr>
          <w:p w14:paraId="29D50BA6">
            <w:pPr>
              <w:pStyle w:val="51"/>
              <w:rPr>
                <w:snapToGrid w:val="0"/>
                <w:color w:val="auto"/>
                <w:sz w:val="24"/>
              </w:rPr>
            </w:pPr>
            <w:r>
              <w:rPr>
                <w:snapToGrid w:val="0"/>
                <w:color w:val="auto"/>
                <w:sz w:val="24"/>
              </w:rPr>
              <w:t>/</w:t>
            </w:r>
          </w:p>
        </w:tc>
        <w:tc>
          <w:tcPr>
            <w:tcW w:w="1701" w:type="dxa"/>
            <w:vAlign w:val="center"/>
          </w:tcPr>
          <w:p w14:paraId="79E8F6F0">
            <w:pPr>
              <w:jc w:val="center"/>
              <w:rPr>
                <w:rFonts w:ascii="Times New Roman" w:hAnsi="Times New Roman" w:eastAsia="宋体" w:cs="Times New Roman"/>
                <w:color w:val="auto"/>
                <w:kern w:val="0"/>
                <w:sz w:val="24"/>
                <w:szCs w:val="24"/>
                <w:lang w:val="en-US" w:eastAsia="zh-CN" w:bidi="ar-SA"/>
              </w:rPr>
            </w:pPr>
            <w:r>
              <w:rPr>
                <w:color w:val="auto"/>
                <w:kern w:val="0"/>
                <w:sz w:val="24"/>
              </w:rPr>
              <w:t>0.</w:t>
            </w:r>
            <w:r>
              <w:rPr>
                <w:rFonts w:hint="eastAsia"/>
                <w:color w:val="auto"/>
                <w:kern w:val="0"/>
                <w:sz w:val="24"/>
                <w:lang w:val="en-US" w:eastAsia="zh-CN"/>
              </w:rPr>
              <w:t>1</w:t>
            </w:r>
            <w:r>
              <w:rPr>
                <w:color w:val="auto"/>
                <w:kern w:val="0"/>
                <w:sz w:val="24"/>
              </w:rPr>
              <w:t>t/a</w:t>
            </w:r>
          </w:p>
        </w:tc>
        <w:tc>
          <w:tcPr>
            <w:tcW w:w="1324" w:type="dxa"/>
            <w:vAlign w:val="center"/>
          </w:tcPr>
          <w:p w14:paraId="39704326">
            <w:pPr>
              <w:jc w:val="center"/>
              <w:rPr>
                <w:rFonts w:ascii="Times New Roman" w:hAnsi="Times New Roman" w:eastAsia="宋体" w:cs="Times New Roman"/>
                <w:color w:val="auto"/>
                <w:kern w:val="0"/>
                <w:sz w:val="24"/>
                <w:szCs w:val="24"/>
                <w:lang w:val="en-US" w:eastAsia="zh-CN" w:bidi="ar-SA"/>
              </w:rPr>
            </w:pPr>
            <w:r>
              <w:rPr>
                <w:color w:val="auto"/>
                <w:kern w:val="0"/>
                <w:sz w:val="24"/>
              </w:rPr>
              <w:t>0.</w:t>
            </w:r>
            <w:r>
              <w:rPr>
                <w:rFonts w:hint="eastAsia"/>
                <w:color w:val="auto"/>
                <w:kern w:val="0"/>
                <w:sz w:val="24"/>
                <w:lang w:val="en-US" w:eastAsia="zh-CN"/>
              </w:rPr>
              <w:t>1</w:t>
            </w:r>
            <w:r>
              <w:rPr>
                <w:color w:val="auto"/>
                <w:kern w:val="0"/>
                <w:sz w:val="24"/>
              </w:rPr>
              <w:t>t/a</w:t>
            </w:r>
          </w:p>
        </w:tc>
      </w:tr>
      <w:tr w14:paraId="6A1576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983" w:type="dxa"/>
            <w:vMerge w:val="restart"/>
            <w:vAlign w:val="center"/>
          </w:tcPr>
          <w:p w14:paraId="676A6EB2">
            <w:pPr>
              <w:pStyle w:val="51"/>
              <w:rPr>
                <w:snapToGrid w:val="0"/>
                <w:color w:val="auto"/>
                <w:sz w:val="24"/>
              </w:rPr>
            </w:pPr>
            <w:r>
              <w:rPr>
                <w:snapToGrid w:val="0"/>
                <w:color w:val="auto"/>
                <w:sz w:val="24"/>
              </w:rPr>
              <w:t>废水</w:t>
            </w:r>
          </w:p>
        </w:tc>
        <w:tc>
          <w:tcPr>
            <w:tcW w:w="2022" w:type="dxa"/>
            <w:vAlign w:val="center"/>
          </w:tcPr>
          <w:p w14:paraId="402FF429">
            <w:pPr>
              <w:pStyle w:val="51"/>
              <w:rPr>
                <w:snapToGrid w:val="0"/>
                <w:color w:val="auto"/>
                <w:sz w:val="24"/>
              </w:rPr>
            </w:pPr>
            <w:r>
              <w:rPr>
                <w:snapToGrid w:val="0"/>
                <w:color w:val="auto"/>
                <w:sz w:val="24"/>
              </w:rPr>
              <w:t>COD</w:t>
            </w:r>
          </w:p>
        </w:tc>
        <w:tc>
          <w:tcPr>
            <w:tcW w:w="1701" w:type="dxa"/>
            <w:vAlign w:val="center"/>
          </w:tcPr>
          <w:p w14:paraId="3D87FD60">
            <w:pPr>
              <w:pStyle w:val="51"/>
              <w:rPr>
                <w:snapToGrid w:val="0"/>
                <w:color w:val="auto"/>
                <w:sz w:val="24"/>
              </w:rPr>
            </w:pPr>
            <w:r>
              <w:rPr>
                <w:snapToGrid w:val="0"/>
                <w:color w:val="auto"/>
                <w:sz w:val="24"/>
              </w:rPr>
              <w:t>/</w:t>
            </w:r>
          </w:p>
        </w:tc>
        <w:tc>
          <w:tcPr>
            <w:tcW w:w="1276" w:type="dxa"/>
            <w:vAlign w:val="center"/>
          </w:tcPr>
          <w:p w14:paraId="32403F8E">
            <w:pPr>
              <w:pStyle w:val="51"/>
              <w:rPr>
                <w:snapToGrid w:val="0"/>
                <w:color w:val="auto"/>
                <w:sz w:val="24"/>
              </w:rPr>
            </w:pPr>
            <w:r>
              <w:rPr>
                <w:snapToGrid w:val="0"/>
                <w:color w:val="auto"/>
                <w:sz w:val="24"/>
              </w:rPr>
              <w:t>/</w:t>
            </w:r>
          </w:p>
        </w:tc>
        <w:tc>
          <w:tcPr>
            <w:tcW w:w="1701" w:type="dxa"/>
            <w:vAlign w:val="center"/>
          </w:tcPr>
          <w:p w14:paraId="4C670E03">
            <w:pPr>
              <w:pStyle w:val="51"/>
              <w:rPr>
                <w:snapToGrid w:val="0"/>
                <w:color w:val="auto"/>
                <w:sz w:val="24"/>
              </w:rPr>
            </w:pPr>
            <w:r>
              <w:rPr>
                <w:snapToGrid w:val="0"/>
                <w:color w:val="auto"/>
                <w:sz w:val="24"/>
              </w:rPr>
              <w:t>/</w:t>
            </w:r>
          </w:p>
        </w:tc>
        <w:tc>
          <w:tcPr>
            <w:tcW w:w="1559" w:type="dxa"/>
            <w:vAlign w:val="center"/>
          </w:tcPr>
          <w:p w14:paraId="62FFF632">
            <w:pPr>
              <w:widowControl/>
              <w:jc w:val="center"/>
              <w:rPr>
                <w:color w:val="auto"/>
                <w:kern w:val="0"/>
                <w:sz w:val="24"/>
              </w:rPr>
            </w:pPr>
            <w:r>
              <w:rPr>
                <w:rFonts w:hint="eastAsia"/>
                <w:color w:val="auto"/>
                <w:kern w:val="0"/>
                <w:sz w:val="24"/>
                <w:lang w:val="en-US" w:eastAsia="zh-CN"/>
              </w:rPr>
              <w:t>0.03</w:t>
            </w:r>
            <w:r>
              <w:rPr>
                <w:color w:val="auto"/>
                <w:kern w:val="0"/>
                <w:sz w:val="24"/>
              </w:rPr>
              <w:t>t/a</w:t>
            </w:r>
          </w:p>
        </w:tc>
        <w:tc>
          <w:tcPr>
            <w:tcW w:w="1521" w:type="dxa"/>
            <w:vAlign w:val="center"/>
          </w:tcPr>
          <w:p w14:paraId="78CB9B34">
            <w:pPr>
              <w:pStyle w:val="51"/>
              <w:rPr>
                <w:snapToGrid w:val="0"/>
                <w:color w:val="auto"/>
                <w:sz w:val="24"/>
              </w:rPr>
            </w:pPr>
            <w:r>
              <w:rPr>
                <w:snapToGrid w:val="0"/>
                <w:color w:val="auto"/>
                <w:sz w:val="24"/>
              </w:rPr>
              <w:t>/</w:t>
            </w:r>
          </w:p>
        </w:tc>
        <w:tc>
          <w:tcPr>
            <w:tcW w:w="1701" w:type="dxa"/>
            <w:vAlign w:val="center"/>
          </w:tcPr>
          <w:p w14:paraId="24107D24">
            <w:pPr>
              <w:widowControl/>
              <w:jc w:val="center"/>
              <w:rPr>
                <w:rFonts w:ascii="Times New Roman" w:hAnsi="Times New Roman" w:eastAsia="宋体" w:cs="Times New Roman"/>
                <w:color w:val="auto"/>
                <w:kern w:val="0"/>
                <w:sz w:val="24"/>
                <w:szCs w:val="24"/>
                <w:lang w:val="en-US" w:eastAsia="zh-CN" w:bidi="ar-SA"/>
              </w:rPr>
            </w:pPr>
            <w:r>
              <w:rPr>
                <w:rFonts w:hint="eastAsia"/>
                <w:color w:val="auto"/>
                <w:kern w:val="0"/>
                <w:sz w:val="24"/>
                <w:lang w:val="en-US" w:eastAsia="zh-CN"/>
              </w:rPr>
              <w:t>0.03</w:t>
            </w:r>
            <w:r>
              <w:rPr>
                <w:color w:val="auto"/>
                <w:kern w:val="0"/>
                <w:sz w:val="24"/>
              </w:rPr>
              <w:t>t/a</w:t>
            </w:r>
          </w:p>
        </w:tc>
        <w:tc>
          <w:tcPr>
            <w:tcW w:w="1324" w:type="dxa"/>
            <w:vAlign w:val="center"/>
          </w:tcPr>
          <w:p w14:paraId="61B7AF9D">
            <w:pPr>
              <w:widowControl/>
              <w:jc w:val="center"/>
              <w:rPr>
                <w:rFonts w:ascii="Times New Roman" w:hAnsi="Times New Roman" w:eastAsia="宋体" w:cs="Times New Roman"/>
                <w:color w:val="auto"/>
                <w:kern w:val="0"/>
                <w:sz w:val="24"/>
                <w:szCs w:val="24"/>
                <w:lang w:val="en-US" w:eastAsia="zh-CN" w:bidi="ar-SA"/>
              </w:rPr>
            </w:pPr>
            <w:r>
              <w:rPr>
                <w:rFonts w:hint="eastAsia"/>
                <w:color w:val="auto"/>
                <w:kern w:val="0"/>
                <w:sz w:val="24"/>
                <w:lang w:val="en-US" w:eastAsia="zh-CN"/>
              </w:rPr>
              <w:t>0.03</w:t>
            </w:r>
            <w:r>
              <w:rPr>
                <w:color w:val="auto"/>
                <w:kern w:val="0"/>
                <w:sz w:val="24"/>
              </w:rPr>
              <w:t>t/a</w:t>
            </w:r>
          </w:p>
        </w:tc>
      </w:tr>
      <w:tr w14:paraId="396ADE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7" w:hRule="atLeast"/>
          <w:jc w:val="center"/>
        </w:trPr>
        <w:tc>
          <w:tcPr>
            <w:tcW w:w="983" w:type="dxa"/>
            <w:vMerge w:val="continue"/>
            <w:vAlign w:val="center"/>
          </w:tcPr>
          <w:p w14:paraId="0E48F7CC">
            <w:pPr>
              <w:pStyle w:val="51"/>
              <w:rPr>
                <w:snapToGrid w:val="0"/>
                <w:color w:val="auto"/>
                <w:sz w:val="24"/>
              </w:rPr>
            </w:pPr>
          </w:p>
        </w:tc>
        <w:tc>
          <w:tcPr>
            <w:tcW w:w="2022" w:type="dxa"/>
            <w:vAlign w:val="center"/>
          </w:tcPr>
          <w:p w14:paraId="002F10E2">
            <w:pPr>
              <w:pStyle w:val="51"/>
              <w:rPr>
                <w:rFonts w:hint="eastAsia" w:eastAsia="宋体"/>
                <w:snapToGrid w:val="0"/>
                <w:color w:val="auto"/>
                <w:sz w:val="24"/>
                <w:lang w:val="en-US" w:eastAsia="zh-CN"/>
              </w:rPr>
            </w:pPr>
            <w:r>
              <w:rPr>
                <w:rFonts w:hint="eastAsia"/>
                <w:snapToGrid w:val="0"/>
                <w:color w:val="auto"/>
                <w:sz w:val="24"/>
                <w:lang w:val="en-US" w:eastAsia="zh-CN"/>
              </w:rPr>
              <w:t>氨氮</w:t>
            </w:r>
          </w:p>
        </w:tc>
        <w:tc>
          <w:tcPr>
            <w:tcW w:w="1701" w:type="dxa"/>
            <w:vAlign w:val="center"/>
          </w:tcPr>
          <w:p w14:paraId="79057A21">
            <w:pPr>
              <w:pStyle w:val="51"/>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276" w:type="dxa"/>
            <w:vAlign w:val="center"/>
          </w:tcPr>
          <w:p w14:paraId="640D9B55">
            <w:pPr>
              <w:pStyle w:val="51"/>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701" w:type="dxa"/>
            <w:vAlign w:val="center"/>
          </w:tcPr>
          <w:p w14:paraId="2B19538E">
            <w:pPr>
              <w:pStyle w:val="51"/>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559" w:type="dxa"/>
            <w:vAlign w:val="center"/>
          </w:tcPr>
          <w:p w14:paraId="0DB68165">
            <w:pPr>
              <w:widowControl/>
              <w:jc w:val="center"/>
              <w:rPr>
                <w:rFonts w:hint="default" w:eastAsia="宋体"/>
                <w:color w:val="auto"/>
                <w:sz w:val="24"/>
                <w:lang w:val="en-US" w:eastAsia="zh-CN"/>
              </w:rPr>
            </w:pPr>
            <w:r>
              <w:rPr>
                <w:rFonts w:hint="eastAsia"/>
                <w:color w:val="auto"/>
                <w:sz w:val="24"/>
                <w:lang w:val="en-US" w:eastAsia="zh-CN"/>
              </w:rPr>
              <w:t>0.003t/a</w:t>
            </w:r>
          </w:p>
        </w:tc>
        <w:tc>
          <w:tcPr>
            <w:tcW w:w="1521" w:type="dxa"/>
            <w:vAlign w:val="center"/>
          </w:tcPr>
          <w:p w14:paraId="49C8AB9B">
            <w:pPr>
              <w:pStyle w:val="51"/>
              <w:rPr>
                <w:snapToGrid w:val="0"/>
                <w:color w:val="auto"/>
                <w:sz w:val="24"/>
              </w:rPr>
            </w:pPr>
          </w:p>
        </w:tc>
        <w:tc>
          <w:tcPr>
            <w:tcW w:w="1701" w:type="dxa"/>
            <w:vAlign w:val="center"/>
          </w:tcPr>
          <w:p w14:paraId="59E998C5">
            <w:pPr>
              <w:widowControl/>
              <w:jc w:val="center"/>
              <w:rPr>
                <w:rFonts w:hint="default" w:ascii="Times New Roman" w:hAnsi="Times New Roman" w:eastAsia="宋体" w:cs="Times New Roman"/>
                <w:color w:val="auto"/>
                <w:kern w:val="2"/>
                <w:sz w:val="24"/>
                <w:szCs w:val="24"/>
                <w:lang w:val="en-US" w:eastAsia="zh-CN" w:bidi="ar-SA"/>
              </w:rPr>
            </w:pPr>
            <w:r>
              <w:rPr>
                <w:rFonts w:hint="eastAsia"/>
                <w:color w:val="auto"/>
                <w:sz w:val="24"/>
                <w:lang w:val="en-US" w:eastAsia="zh-CN"/>
              </w:rPr>
              <w:t>0.003t/a</w:t>
            </w:r>
          </w:p>
        </w:tc>
        <w:tc>
          <w:tcPr>
            <w:tcW w:w="1324" w:type="dxa"/>
            <w:vAlign w:val="center"/>
          </w:tcPr>
          <w:p w14:paraId="5D4FB7A2">
            <w:pPr>
              <w:widowControl/>
              <w:jc w:val="center"/>
              <w:rPr>
                <w:rFonts w:hint="default" w:ascii="Times New Roman" w:hAnsi="Times New Roman" w:eastAsia="宋体" w:cs="Times New Roman"/>
                <w:color w:val="auto"/>
                <w:kern w:val="2"/>
                <w:sz w:val="24"/>
                <w:szCs w:val="24"/>
                <w:lang w:val="en-US" w:eastAsia="zh-CN" w:bidi="ar-SA"/>
              </w:rPr>
            </w:pPr>
            <w:r>
              <w:rPr>
                <w:rFonts w:hint="eastAsia"/>
                <w:color w:val="auto"/>
                <w:sz w:val="24"/>
                <w:lang w:val="en-US" w:eastAsia="zh-CN"/>
              </w:rPr>
              <w:t>0.003t/a</w:t>
            </w:r>
          </w:p>
        </w:tc>
      </w:tr>
      <w:tr w14:paraId="4642D7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45" w:hRule="atLeast"/>
          <w:jc w:val="center"/>
        </w:trPr>
        <w:tc>
          <w:tcPr>
            <w:tcW w:w="983" w:type="dxa"/>
            <w:vMerge w:val="restart"/>
            <w:vAlign w:val="center"/>
          </w:tcPr>
          <w:p w14:paraId="0DCE8EA5">
            <w:pPr>
              <w:pStyle w:val="51"/>
              <w:rPr>
                <w:snapToGrid w:val="0"/>
                <w:color w:val="auto"/>
                <w:sz w:val="24"/>
              </w:rPr>
            </w:pPr>
            <w:r>
              <w:rPr>
                <w:snapToGrid w:val="0"/>
                <w:color w:val="auto"/>
                <w:sz w:val="24"/>
              </w:rPr>
              <w:t>一般工业固体废物</w:t>
            </w:r>
          </w:p>
        </w:tc>
        <w:tc>
          <w:tcPr>
            <w:tcW w:w="2022" w:type="dxa"/>
            <w:vAlign w:val="center"/>
          </w:tcPr>
          <w:p w14:paraId="4BB473DC">
            <w:pPr>
              <w:pStyle w:val="51"/>
              <w:jc w:val="center"/>
              <w:rPr>
                <w:color w:val="auto"/>
                <w:sz w:val="24"/>
              </w:rPr>
            </w:pPr>
            <w:r>
              <w:rPr>
                <w:rFonts w:hint="eastAsia"/>
                <w:color w:val="auto"/>
                <w:sz w:val="24"/>
                <w:lang w:eastAsia="zh-CN"/>
              </w:rPr>
              <w:t>移动式布袋除尘器</w:t>
            </w:r>
            <w:r>
              <w:rPr>
                <w:color w:val="auto"/>
                <w:sz w:val="24"/>
              </w:rPr>
              <w:t>收尘</w:t>
            </w:r>
          </w:p>
        </w:tc>
        <w:tc>
          <w:tcPr>
            <w:tcW w:w="1701" w:type="dxa"/>
            <w:vAlign w:val="center"/>
          </w:tcPr>
          <w:p w14:paraId="3183094E">
            <w:pPr>
              <w:pStyle w:val="51"/>
              <w:rPr>
                <w:snapToGrid w:val="0"/>
                <w:color w:val="auto"/>
                <w:sz w:val="24"/>
              </w:rPr>
            </w:pPr>
            <w:r>
              <w:rPr>
                <w:snapToGrid w:val="0"/>
                <w:color w:val="auto"/>
                <w:sz w:val="24"/>
              </w:rPr>
              <w:t>/</w:t>
            </w:r>
          </w:p>
        </w:tc>
        <w:tc>
          <w:tcPr>
            <w:tcW w:w="1276" w:type="dxa"/>
            <w:vAlign w:val="center"/>
          </w:tcPr>
          <w:p w14:paraId="0A12321A">
            <w:pPr>
              <w:pStyle w:val="51"/>
              <w:rPr>
                <w:snapToGrid w:val="0"/>
                <w:color w:val="auto"/>
                <w:sz w:val="24"/>
              </w:rPr>
            </w:pPr>
            <w:r>
              <w:rPr>
                <w:snapToGrid w:val="0"/>
                <w:color w:val="auto"/>
                <w:sz w:val="24"/>
              </w:rPr>
              <w:t>/</w:t>
            </w:r>
          </w:p>
        </w:tc>
        <w:tc>
          <w:tcPr>
            <w:tcW w:w="1701" w:type="dxa"/>
            <w:vAlign w:val="center"/>
          </w:tcPr>
          <w:p w14:paraId="5ED5FF6E">
            <w:pPr>
              <w:pStyle w:val="51"/>
              <w:rPr>
                <w:snapToGrid w:val="0"/>
                <w:color w:val="auto"/>
                <w:sz w:val="24"/>
              </w:rPr>
            </w:pPr>
            <w:r>
              <w:rPr>
                <w:snapToGrid w:val="0"/>
                <w:color w:val="auto"/>
                <w:sz w:val="24"/>
              </w:rPr>
              <w:t>/</w:t>
            </w:r>
          </w:p>
        </w:tc>
        <w:tc>
          <w:tcPr>
            <w:tcW w:w="1559" w:type="dxa"/>
            <w:vAlign w:val="center"/>
          </w:tcPr>
          <w:p w14:paraId="38548CB1">
            <w:pPr>
              <w:pStyle w:val="51"/>
              <w:rPr>
                <w:snapToGrid w:val="0"/>
                <w:color w:val="auto"/>
                <w:sz w:val="24"/>
                <w:highlight w:val="green"/>
              </w:rPr>
            </w:pPr>
            <w:r>
              <w:rPr>
                <w:color w:val="auto"/>
                <w:sz w:val="24"/>
              </w:rPr>
              <w:t>0.0</w:t>
            </w:r>
            <w:r>
              <w:rPr>
                <w:rFonts w:hint="eastAsia"/>
                <w:color w:val="auto"/>
                <w:sz w:val="24"/>
                <w:lang w:val="en-US" w:eastAsia="zh-CN"/>
              </w:rPr>
              <w:t>099</w:t>
            </w:r>
            <w:r>
              <w:rPr>
                <w:color w:val="auto"/>
                <w:sz w:val="24"/>
              </w:rPr>
              <w:t>t/a</w:t>
            </w:r>
          </w:p>
        </w:tc>
        <w:tc>
          <w:tcPr>
            <w:tcW w:w="1521" w:type="dxa"/>
            <w:vAlign w:val="center"/>
          </w:tcPr>
          <w:p w14:paraId="4BBF5EA6">
            <w:pPr>
              <w:pStyle w:val="51"/>
              <w:rPr>
                <w:snapToGrid w:val="0"/>
                <w:color w:val="auto"/>
                <w:sz w:val="24"/>
                <w:highlight w:val="green"/>
              </w:rPr>
            </w:pPr>
            <w:r>
              <w:rPr>
                <w:snapToGrid w:val="0"/>
                <w:color w:val="auto"/>
                <w:sz w:val="24"/>
              </w:rPr>
              <w:t>/</w:t>
            </w:r>
          </w:p>
        </w:tc>
        <w:tc>
          <w:tcPr>
            <w:tcW w:w="1701" w:type="dxa"/>
            <w:vAlign w:val="center"/>
          </w:tcPr>
          <w:p w14:paraId="702F8D37">
            <w:pPr>
              <w:pStyle w:val="51"/>
              <w:rPr>
                <w:rFonts w:ascii="Times New Roman" w:hAnsi="Times New Roman" w:eastAsia="宋体" w:cs="Times New Roman"/>
                <w:snapToGrid w:val="0"/>
                <w:color w:val="auto"/>
                <w:kern w:val="2"/>
                <w:sz w:val="24"/>
                <w:szCs w:val="24"/>
                <w:highlight w:val="green"/>
                <w:lang w:val="en-US" w:eastAsia="zh-CN" w:bidi="ar-SA"/>
              </w:rPr>
            </w:pPr>
            <w:r>
              <w:rPr>
                <w:color w:val="auto"/>
                <w:sz w:val="24"/>
              </w:rPr>
              <w:t>0.0</w:t>
            </w:r>
            <w:r>
              <w:rPr>
                <w:rFonts w:hint="eastAsia"/>
                <w:color w:val="auto"/>
                <w:sz w:val="24"/>
                <w:lang w:val="en-US" w:eastAsia="zh-CN"/>
              </w:rPr>
              <w:t>099</w:t>
            </w:r>
            <w:r>
              <w:rPr>
                <w:color w:val="auto"/>
                <w:sz w:val="24"/>
              </w:rPr>
              <w:t>t/a</w:t>
            </w:r>
          </w:p>
        </w:tc>
        <w:tc>
          <w:tcPr>
            <w:tcW w:w="1324" w:type="dxa"/>
            <w:vAlign w:val="center"/>
          </w:tcPr>
          <w:p w14:paraId="01878099">
            <w:pPr>
              <w:pStyle w:val="51"/>
              <w:rPr>
                <w:rFonts w:ascii="Times New Roman" w:hAnsi="Times New Roman" w:eastAsia="宋体" w:cs="Times New Roman"/>
                <w:snapToGrid w:val="0"/>
                <w:color w:val="auto"/>
                <w:kern w:val="2"/>
                <w:sz w:val="24"/>
                <w:szCs w:val="24"/>
                <w:highlight w:val="green"/>
                <w:lang w:val="en-US" w:eastAsia="zh-CN" w:bidi="ar-SA"/>
              </w:rPr>
            </w:pPr>
            <w:r>
              <w:rPr>
                <w:color w:val="auto"/>
                <w:sz w:val="24"/>
              </w:rPr>
              <w:t>0.0</w:t>
            </w:r>
            <w:r>
              <w:rPr>
                <w:rFonts w:hint="eastAsia"/>
                <w:color w:val="auto"/>
                <w:sz w:val="24"/>
                <w:lang w:val="en-US" w:eastAsia="zh-CN"/>
              </w:rPr>
              <w:t>099</w:t>
            </w:r>
            <w:r>
              <w:rPr>
                <w:color w:val="auto"/>
                <w:sz w:val="24"/>
              </w:rPr>
              <w:t>t/a</w:t>
            </w:r>
          </w:p>
        </w:tc>
      </w:tr>
      <w:tr w14:paraId="364B98A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continue"/>
            <w:vAlign w:val="center"/>
          </w:tcPr>
          <w:p w14:paraId="315EAE2A">
            <w:pPr>
              <w:pStyle w:val="51"/>
              <w:rPr>
                <w:snapToGrid w:val="0"/>
                <w:color w:val="auto"/>
                <w:sz w:val="24"/>
              </w:rPr>
            </w:pPr>
          </w:p>
        </w:tc>
        <w:tc>
          <w:tcPr>
            <w:tcW w:w="2022" w:type="dxa"/>
            <w:vAlign w:val="center"/>
          </w:tcPr>
          <w:p w14:paraId="2A62399A">
            <w:pPr>
              <w:pStyle w:val="51"/>
              <w:jc w:val="center"/>
              <w:rPr>
                <w:color w:val="auto"/>
                <w:sz w:val="24"/>
              </w:rPr>
            </w:pPr>
            <w:r>
              <w:rPr>
                <w:color w:val="auto"/>
                <w:sz w:val="24"/>
              </w:rPr>
              <w:t>废电子电器部件</w:t>
            </w:r>
          </w:p>
        </w:tc>
        <w:tc>
          <w:tcPr>
            <w:tcW w:w="1701" w:type="dxa"/>
            <w:vAlign w:val="center"/>
          </w:tcPr>
          <w:p w14:paraId="1D85B83D">
            <w:pPr>
              <w:pStyle w:val="51"/>
              <w:rPr>
                <w:snapToGrid w:val="0"/>
                <w:color w:val="auto"/>
                <w:sz w:val="24"/>
              </w:rPr>
            </w:pPr>
            <w:r>
              <w:rPr>
                <w:snapToGrid w:val="0"/>
                <w:color w:val="auto"/>
                <w:sz w:val="24"/>
              </w:rPr>
              <w:t>/</w:t>
            </w:r>
          </w:p>
        </w:tc>
        <w:tc>
          <w:tcPr>
            <w:tcW w:w="1276" w:type="dxa"/>
            <w:vAlign w:val="center"/>
          </w:tcPr>
          <w:p w14:paraId="0588CF19">
            <w:pPr>
              <w:pStyle w:val="51"/>
              <w:rPr>
                <w:snapToGrid w:val="0"/>
                <w:color w:val="auto"/>
                <w:sz w:val="24"/>
              </w:rPr>
            </w:pPr>
            <w:r>
              <w:rPr>
                <w:snapToGrid w:val="0"/>
                <w:color w:val="auto"/>
                <w:sz w:val="24"/>
              </w:rPr>
              <w:t>/</w:t>
            </w:r>
          </w:p>
        </w:tc>
        <w:tc>
          <w:tcPr>
            <w:tcW w:w="1701" w:type="dxa"/>
            <w:vAlign w:val="center"/>
          </w:tcPr>
          <w:p w14:paraId="08239711">
            <w:pPr>
              <w:pStyle w:val="51"/>
              <w:rPr>
                <w:snapToGrid w:val="0"/>
                <w:color w:val="auto"/>
                <w:sz w:val="24"/>
              </w:rPr>
            </w:pPr>
            <w:r>
              <w:rPr>
                <w:snapToGrid w:val="0"/>
                <w:color w:val="auto"/>
                <w:sz w:val="24"/>
              </w:rPr>
              <w:t>/</w:t>
            </w:r>
          </w:p>
        </w:tc>
        <w:tc>
          <w:tcPr>
            <w:tcW w:w="1559" w:type="dxa"/>
            <w:vAlign w:val="center"/>
          </w:tcPr>
          <w:p w14:paraId="7E3DBE37">
            <w:pPr>
              <w:pStyle w:val="51"/>
              <w:rPr>
                <w:snapToGrid w:val="0"/>
                <w:color w:val="auto"/>
                <w:sz w:val="24"/>
              </w:rPr>
            </w:pPr>
            <w:r>
              <w:rPr>
                <w:rFonts w:hint="eastAsia"/>
                <w:snapToGrid w:val="0"/>
                <w:color w:val="auto"/>
                <w:sz w:val="24"/>
                <w:lang w:val="en-US" w:eastAsia="zh-CN"/>
              </w:rPr>
              <w:t>150</w:t>
            </w:r>
            <w:r>
              <w:rPr>
                <w:snapToGrid w:val="0"/>
                <w:color w:val="auto"/>
                <w:sz w:val="24"/>
              </w:rPr>
              <w:t>t/a</w:t>
            </w:r>
          </w:p>
        </w:tc>
        <w:tc>
          <w:tcPr>
            <w:tcW w:w="1521" w:type="dxa"/>
            <w:vAlign w:val="center"/>
          </w:tcPr>
          <w:p w14:paraId="3B658432">
            <w:pPr>
              <w:pStyle w:val="51"/>
              <w:rPr>
                <w:snapToGrid w:val="0"/>
                <w:color w:val="auto"/>
                <w:sz w:val="24"/>
              </w:rPr>
            </w:pPr>
            <w:r>
              <w:rPr>
                <w:snapToGrid w:val="0"/>
                <w:color w:val="auto"/>
                <w:sz w:val="24"/>
              </w:rPr>
              <w:t>/</w:t>
            </w:r>
          </w:p>
        </w:tc>
        <w:tc>
          <w:tcPr>
            <w:tcW w:w="1701" w:type="dxa"/>
            <w:vAlign w:val="center"/>
          </w:tcPr>
          <w:p w14:paraId="5E9AC759">
            <w:pPr>
              <w:pStyle w:val="51"/>
              <w:rPr>
                <w:rFonts w:ascii="Times New Roman" w:hAnsi="Times New Roman" w:eastAsia="宋体" w:cs="Times New Roman"/>
                <w:snapToGrid w:val="0"/>
                <w:color w:val="auto"/>
                <w:kern w:val="2"/>
                <w:sz w:val="24"/>
                <w:szCs w:val="24"/>
                <w:lang w:val="en-US" w:eastAsia="zh-CN" w:bidi="ar-SA"/>
              </w:rPr>
            </w:pPr>
            <w:r>
              <w:rPr>
                <w:rFonts w:hint="eastAsia"/>
                <w:snapToGrid w:val="0"/>
                <w:color w:val="auto"/>
                <w:sz w:val="24"/>
                <w:lang w:val="en-US" w:eastAsia="zh-CN"/>
              </w:rPr>
              <w:t>150</w:t>
            </w:r>
            <w:r>
              <w:rPr>
                <w:snapToGrid w:val="0"/>
                <w:color w:val="auto"/>
                <w:sz w:val="24"/>
              </w:rPr>
              <w:t>t/a</w:t>
            </w:r>
          </w:p>
        </w:tc>
        <w:tc>
          <w:tcPr>
            <w:tcW w:w="1324" w:type="dxa"/>
            <w:vAlign w:val="center"/>
          </w:tcPr>
          <w:p w14:paraId="64B81C5A">
            <w:pPr>
              <w:pStyle w:val="51"/>
              <w:rPr>
                <w:rFonts w:ascii="Times New Roman" w:hAnsi="Times New Roman" w:eastAsia="宋体" w:cs="Times New Roman"/>
                <w:snapToGrid w:val="0"/>
                <w:color w:val="auto"/>
                <w:kern w:val="2"/>
                <w:sz w:val="24"/>
                <w:szCs w:val="24"/>
                <w:lang w:val="en-US" w:eastAsia="zh-CN" w:bidi="ar-SA"/>
              </w:rPr>
            </w:pPr>
            <w:r>
              <w:rPr>
                <w:rFonts w:hint="eastAsia"/>
                <w:snapToGrid w:val="0"/>
                <w:color w:val="auto"/>
                <w:sz w:val="24"/>
                <w:lang w:val="en-US" w:eastAsia="zh-CN"/>
              </w:rPr>
              <w:t>150</w:t>
            </w:r>
            <w:r>
              <w:rPr>
                <w:snapToGrid w:val="0"/>
                <w:color w:val="auto"/>
                <w:sz w:val="24"/>
              </w:rPr>
              <w:t>t/a</w:t>
            </w:r>
          </w:p>
        </w:tc>
      </w:tr>
      <w:tr w14:paraId="46D9CC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continue"/>
            <w:vAlign w:val="center"/>
          </w:tcPr>
          <w:p w14:paraId="0A882F0C">
            <w:pPr>
              <w:pStyle w:val="51"/>
              <w:rPr>
                <w:snapToGrid w:val="0"/>
                <w:color w:val="auto"/>
                <w:sz w:val="24"/>
              </w:rPr>
            </w:pPr>
          </w:p>
        </w:tc>
        <w:tc>
          <w:tcPr>
            <w:tcW w:w="2022" w:type="dxa"/>
            <w:vAlign w:val="center"/>
          </w:tcPr>
          <w:p w14:paraId="00EB8E09">
            <w:pPr>
              <w:pStyle w:val="51"/>
              <w:jc w:val="center"/>
              <w:rPr>
                <w:rFonts w:hint="eastAsia" w:eastAsia="宋体"/>
                <w:color w:val="auto"/>
                <w:sz w:val="24"/>
                <w:lang w:val="en-US" w:eastAsia="zh-CN"/>
              </w:rPr>
            </w:pPr>
            <w:r>
              <w:rPr>
                <w:rFonts w:hint="eastAsia"/>
                <w:color w:val="auto"/>
                <w:sz w:val="24"/>
                <w:lang w:val="en-US" w:eastAsia="zh-CN"/>
              </w:rPr>
              <w:t>泥土</w:t>
            </w:r>
          </w:p>
        </w:tc>
        <w:tc>
          <w:tcPr>
            <w:tcW w:w="1701" w:type="dxa"/>
            <w:vAlign w:val="center"/>
          </w:tcPr>
          <w:p w14:paraId="4D6DC8F0">
            <w:pPr>
              <w:pStyle w:val="51"/>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276" w:type="dxa"/>
            <w:vAlign w:val="center"/>
          </w:tcPr>
          <w:p w14:paraId="66055439">
            <w:pPr>
              <w:pStyle w:val="51"/>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701" w:type="dxa"/>
            <w:vAlign w:val="center"/>
          </w:tcPr>
          <w:p w14:paraId="2114BD5C">
            <w:pPr>
              <w:pStyle w:val="51"/>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559" w:type="dxa"/>
            <w:vAlign w:val="center"/>
          </w:tcPr>
          <w:p w14:paraId="0790C5C5">
            <w:pPr>
              <w:pStyle w:val="51"/>
              <w:rPr>
                <w:rFonts w:hint="default"/>
                <w:snapToGrid w:val="0"/>
                <w:color w:val="auto"/>
                <w:sz w:val="24"/>
                <w:lang w:val="en-US" w:eastAsia="zh-CN"/>
              </w:rPr>
            </w:pPr>
            <w:r>
              <w:rPr>
                <w:rFonts w:hint="eastAsia"/>
                <w:snapToGrid w:val="0"/>
                <w:color w:val="auto"/>
                <w:sz w:val="24"/>
                <w:lang w:val="en-US" w:eastAsia="zh-CN"/>
              </w:rPr>
              <w:t>1t/a</w:t>
            </w:r>
          </w:p>
        </w:tc>
        <w:tc>
          <w:tcPr>
            <w:tcW w:w="1521" w:type="dxa"/>
            <w:vAlign w:val="center"/>
          </w:tcPr>
          <w:p w14:paraId="46354B88">
            <w:pPr>
              <w:pStyle w:val="51"/>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701" w:type="dxa"/>
            <w:vAlign w:val="center"/>
          </w:tcPr>
          <w:p w14:paraId="22D8938D">
            <w:pPr>
              <w:pStyle w:val="51"/>
              <w:rPr>
                <w:rFonts w:hint="eastAsia" w:ascii="Times New Roman" w:hAnsi="Times New Roman" w:eastAsia="宋体" w:cs="Times New Roman"/>
                <w:snapToGrid w:val="0"/>
                <w:color w:val="auto"/>
                <w:kern w:val="2"/>
                <w:sz w:val="24"/>
                <w:szCs w:val="24"/>
                <w:lang w:val="en-US" w:eastAsia="zh-CN" w:bidi="ar-SA"/>
              </w:rPr>
            </w:pPr>
            <w:r>
              <w:rPr>
                <w:rFonts w:hint="eastAsia"/>
                <w:snapToGrid w:val="0"/>
                <w:color w:val="auto"/>
                <w:sz w:val="24"/>
                <w:lang w:val="en-US" w:eastAsia="zh-CN"/>
              </w:rPr>
              <w:t>1t/a</w:t>
            </w:r>
          </w:p>
        </w:tc>
        <w:tc>
          <w:tcPr>
            <w:tcW w:w="1324" w:type="dxa"/>
            <w:vAlign w:val="center"/>
          </w:tcPr>
          <w:p w14:paraId="52A089EC">
            <w:pPr>
              <w:pStyle w:val="51"/>
              <w:rPr>
                <w:rFonts w:hint="eastAsia" w:ascii="Times New Roman" w:hAnsi="Times New Roman" w:eastAsia="宋体" w:cs="Times New Roman"/>
                <w:snapToGrid w:val="0"/>
                <w:color w:val="auto"/>
                <w:kern w:val="2"/>
                <w:sz w:val="24"/>
                <w:szCs w:val="24"/>
                <w:lang w:val="en-US" w:eastAsia="zh-CN" w:bidi="ar-SA"/>
              </w:rPr>
            </w:pPr>
            <w:r>
              <w:rPr>
                <w:rFonts w:hint="eastAsia"/>
                <w:snapToGrid w:val="0"/>
                <w:color w:val="auto"/>
                <w:sz w:val="24"/>
                <w:lang w:val="en-US" w:eastAsia="zh-CN"/>
              </w:rPr>
              <w:t>1t/a</w:t>
            </w:r>
          </w:p>
        </w:tc>
      </w:tr>
      <w:tr w14:paraId="7CA307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continue"/>
            <w:vAlign w:val="center"/>
          </w:tcPr>
          <w:p w14:paraId="5390E64E">
            <w:pPr>
              <w:pStyle w:val="51"/>
              <w:rPr>
                <w:snapToGrid w:val="0"/>
                <w:color w:val="auto"/>
                <w:sz w:val="24"/>
              </w:rPr>
            </w:pPr>
          </w:p>
        </w:tc>
        <w:tc>
          <w:tcPr>
            <w:tcW w:w="2022" w:type="dxa"/>
            <w:vAlign w:val="center"/>
          </w:tcPr>
          <w:p w14:paraId="21CEFC4A">
            <w:pPr>
              <w:pStyle w:val="51"/>
              <w:jc w:val="center"/>
              <w:rPr>
                <w:color w:val="auto"/>
                <w:sz w:val="24"/>
              </w:rPr>
            </w:pPr>
            <w:r>
              <w:rPr>
                <w:color w:val="auto"/>
                <w:sz w:val="24"/>
              </w:rPr>
              <w:t>不可利用废物</w:t>
            </w:r>
          </w:p>
        </w:tc>
        <w:tc>
          <w:tcPr>
            <w:tcW w:w="1701" w:type="dxa"/>
            <w:vAlign w:val="center"/>
          </w:tcPr>
          <w:p w14:paraId="5DA7E721">
            <w:pPr>
              <w:pStyle w:val="51"/>
              <w:rPr>
                <w:snapToGrid w:val="0"/>
                <w:color w:val="auto"/>
                <w:sz w:val="24"/>
              </w:rPr>
            </w:pPr>
            <w:r>
              <w:rPr>
                <w:snapToGrid w:val="0"/>
                <w:color w:val="auto"/>
                <w:sz w:val="24"/>
              </w:rPr>
              <w:t>/</w:t>
            </w:r>
          </w:p>
        </w:tc>
        <w:tc>
          <w:tcPr>
            <w:tcW w:w="1276" w:type="dxa"/>
            <w:vAlign w:val="center"/>
          </w:tcPr>
          <w:p w14:paraId="4EBB9D94">
            <w:pPr>
              <w:pStyle w:val="51"/>
              <w:rPr>
                <w:snapToGrid w:val="0"/>
                <w:color w:val="auto"/>
                <w:sz w:val="24"/>
              </w:rPr>
            </w:pPr>
            <w:r>
              <w:rPr>
                <w:snapToGrid w:val="0"/>
                <w:color w:val="auto"/>
                <w:sz w:val="24"/>
              </w:rPr>
              <w:t>/</w:t>
            </w:r>
          </w:p>
        </w:tc>
        <w:tc>
          <w:tcPr>
            <w:tcW w:w="1701" w:type="dxa"/>
            <w:vAlign w:val="center"/>
          </w:tcPr>
          <w:p w14:paraId="7EED7A10">
            <w:pPr>
              <w:pStyle w:val="51"/>
              <w:rPr>
                <w:snapToGrid w:val="0"/>
                <w:color w:val="auto"/>
                <w:sz w:val="24"/>
              </w:rPr>
            </w:pPr>
            <w:r>
              <w:rPr>
                <w:snapToGrid w:val="0"/>
                <w:color w:val="auto"/>
                <w:sz w:val="24"/>
              </w:rPr>
              <w:t>/</w:t>
            </w:r>
          </w:p>
        </w:tc>
        <w:tc>
          <w:tcPr>
            <w:tcW w:w="1559" w:type="dxa"/>
            <w:vAlign w:val="center"/>
          </w:tcPr>
          <w:p w14:paraId="24257274">
            <w:pPr>
              <w:pStyle w:val="51"/>
              <w:rPr>
                <w:snapToGrid w:val="0"/>
                <w:color w:val="auto"/>
                <w:sz w:val="24"/>
              </w:rPr>
            </w:pPr>
            <w:r>
              <w:rPr>
                <w:rFonts w:hint="eastAsia"/>
                <w:snapToGrid w:val="0"/>
                <w:color w:val="auto"/>
                <w:sz w:val="24"/>
                <w:lang w:val="en-US" w:eastAsia="zh-CN"/>
              </w:rPr>
              <w:t>960</w:t>
            </w:r>
            <w:r>
              <w:rPr>
                <w:snapToGrid w:val="0"/>
                <w:color w:val="auto"/>
                <w:sz w:val="24"/>
              </w:rPr>
              <w:t>t/a</w:t>
            </w:r>
          </w:p>
        </w:tc>
        <w:tc>
          <w:tcPr>
            <w:tcW w:w="1521" w:type="dxa"/>
            <w:vAlign w:val="center"/>
          </w:tcPr>
          <w:p w14:paraId="12FC1389">
            <w:pPr>
              <w:pStyle w:val="51"/>
              <w:rPr>
                <w:snapToGrid w:val="0"/>
                <w:color w:val="auto"/>
                <w:sz w:val="24"/>
              </w:rPr>
            </w:pPr>
            <w:r>
              <w:rPr>
                <w:snapToGrid w:val="0"/>
                <w:color w:val="auto"/>
                <w:sz w:val="24"/>
              </w:rPr>
              <w:t>/</w:t>
            </w:r>
          </w:p>
        </w:tc>
        <w:tc>
          <w:tcPr>
            <w:tcW w:w="1701" w:type="dxa"/>
            <w:vAlign w:val="center"/>
          </w:tcPr>
          <w:p w14:paraId="597A9485">
            <w:pPr>
              <w:pStyle w:val="51"/>
              <w:rPr>
                <w:rFonts w:ascii="Times New Roman" w:hAnsi="Times New Roman" w:eastAsia="宋体" w:cs="Times New Roman"/>
                <w:snapToGrid w:val="0"/>
                <w:color w:val="auto"/>
                <w:kern w:val="2"/>
                <w:sz w:val="24"/>
                <w:szCs w:val="24"/>
                <w:lang w:val="en-US" w:eastAsia="zh-CN" w:bidi="ar-SA"/>
              </w:rPr>
            </w:pPr>
            <w:r>
              <w:rPr>
                <w:rFonts w:hint="eastAsia"/>
                <w:snapToGrid w:val="0"/>
                <w:color w:val="auto"/>
                <w:sz w:val="24"/>
                <w:lang w:val="en-US" w:eastAsia="zh-CN"/>
              </w:rPr>
              <w:t>960</w:t>
            </w:r>
            <w:r>
              <w:rPr>
                <w:snapToGrid w:val="0"/>
                <w:color w:val="auto"/>
                <w:sz w:val="24"/>
              </w:rPr>
              <w:t>t/a</w:t>
            </w:r>
          </w:p>
        </w:tc>
        <w:tc>
          <w:tcPr>
            <w:tcW w:w="1324" w:type="dxa"/>
            <w:vAlign w:val="center"/>
          </w:tcPr>
          <w:p w14:paraId="736298AF">
            <w:pPr>
              <w:pStyle w:val="51"/>
              <w:rPr>
                <w:rFonts w:ascii="Times New Roman" w:hAnsi="Times New Roman" w:eastAsia="宋体" w:cs="Times New Roman"/>
                <w:snapToGrid w:val="0"/>
                <w:color w:val="auto"/>
                <w:kern w:val="2"/>
                <w:sz w:val="24"/>
                <w:szCs w:val="24"/>
                <w:lang w:val="en-US" w:eastAsia="zh-CN" w:bidi="ar-SA"/>
              </w:rPr>
            </w:pPr>
            <w:r>
              <w:rPr>
                <w:rFonts w:hint="eastAsia"/>
                <w:snapToGrid w:val="0"/>
                <w:color w:val="auto"/>
                <w:sz w:val="24"/>
                <w:lang w:val="en-US" w:eastAsia="zh-CN"/>
              </w:rPr>
              <w:t>960</w:t>
            </w:r>
            <w:r>
              <w:rPr>
                <w:snapToGrid w:val="0"/>
                <w:color w:val="auto"/>
                <w:sz w:val="24"/>
              </w:rPr>
              <w:t>t/a</w:t>
            </w:r>
          </w:p>
        </w:tc>
      </w:tr>
      <w:tr w14:paraId="540037A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restart"/>
            <w:vAlign w:val="center"/>
          </w:tcPr>
          <w:p w14:paraId="1C84601E">
            <w:pPr>
              <w:pStyle w:val="51"/>
              <w:rPr>
                <w:snapToGrid w:val="0"/>
                <w:color w:val="auto"/>
                <w:sz w:val="24"/>
              </w:rPr>
            </w:pPr>
            <w:r>
              <w:rPr>
                <w:snapToGrid w:val="0"/>
                <w:color w:val="auto"/>
                <w:sz w:val="24"/>
              </w:rPr>
              <w:t>危险</w:t>
            </w:r>
          </w:p>
          <w:p w14:paraId="304A9094">
            <w:pPr>
              <w:pStyle w:val="51"/>
              <w:rPr>
                <w:snapToGrid w:val="0"/>
                <w:color w:val="auto"/>
                <w:sz w:val="24"/>
              </w:rPr>
            </w:pPr>
            <w:r>
              <w:rPr>
                <w:snapToGrid w:val="0"/>
                <w:color w:val="auto"/>
                <w:sz w:val="24"/>
              </w:rPr>
              <w:t>废物</w:t>
            </w:r>
          </w:p>
        </w:tc>
        <w:tc>
          <w:tcPr>
            <w:tcW w:w="2022" w:type="dxa"/>
            <w:vAlign w:val="center"/>
          </w:tcPr>
          <w:p w14:paraId="4C395281">
            <w:pPr>
              <w:spacing w:line="260" w:lineRule="exact"/>
              <w:jc w:val="center"/>
              <w:rPr>
                <w:bCs/>
                <w:color w:val="auto"/>
                <w:sz w:val="24"/>
              </w:rPr>
            </w:pPr>
            <w:r>
              <w:rPr>
                <w:bCs/>
                <w:color w:val="auto"/>
                <w:kern w:val="0"/>
                <w:sz w:val="24"/>
              </w:rPr>
              <w:t>废蓄电池</w:t>
            </w:r>
          </w:p>
        </w:tc>
        <w:tc>
          <w:tcPr>
            <w:tcW w:w="1701" w:type="dxa"/>
            <w:vAlign w:val="center"/>
          </w:tcPr>
          <w:p w14:paraId="312F9E29">
            <w:pPr>
              <w:pStyle w:val="51"/>
              <w:rPr>
                <w:snapToGrid w:val="0"/>
                <w:color w:val="auto"/>
                <w:sz w:val="24"/>
              </w:rPr>
            </w:pPr>
            <w:r>
              <w:rPr>
                <w:snapToGrid w:val="0"/>
                <w:color w:val="auto"/>
                <w:sz w:val="24"/>
              </w:rPr>
              <w:t>/</w:t>
            </w:r>
          </w:p>
        </w:tc>
        <w:tc>
          <w:tcPr>
            <w:tcW w:w="1276" w:type="dxa"/>
            <w:vAlign w:val="center"/>
          </w:tcPr>
          <w:p w14:paraId="2EEC3499">
            <w:pPr>
              <w:pStyle w:val="51"/>
              <w:rPr>
                <w:snapToGrid w:val="0"/>
                <w:color w:val="auto"/>
                <w:sz w:val="24"/>
              </w:rPr>
            </w:pPr>
            <w:r>
              <w:rPr>
                <w:snapToGrid w:val="0"/>
                <w:color w:val="auto"/>
                <w:sz w:val="24"/>
              </w:rPr>
              <w:t>/</w:t>
            </w:r>
          </w:p>
        </w:tc>
        <w:tc>
          <w:tcPr>
            <w:tcW w:w="1701" w:type="dxa"/>
            <w:vAlign w:val="center"/>
          </w:tcPr>
          <w:p w14:paraId="44F04F7A">
            <w:pPr>
              <w:pStyle w:val="51"/>
              <w:rPr>
                <w:snapToGrid w:val="0"/>
                <w:color w:val="auto"/>
                <w:sz w:val="24"/>
              </w:rPr>
            </w:pPr>
            <w:r>
              <w:rPr>
                <w:snapToGrid w:val="0"/>
                <w:color w:val="auto"/>
                <w:sz w:val="24"/>
              </w:rPr>
              <w:t>/</w:t>
            </w:r>
          </w:p>
        </w:tc>
        <w:tc>
          <w:tcPr>
            <w:tcW w:w="1559" w:type="dxa"/>
            <w:vAlign w:val="center"/>
          </w:tcPr>
          <w:p w14:paraId="69DF3631">
            <w:pPr>
              <w:spacing w:line="260" w:lineRule="exact"/>
              <w:jc w:val="center"/>
              <w:rPr>
                <w:color w:val="auto"/>
                <w:sz w:val="24"/>
              </w:rPr>
            </w:pPr>
            <w:r>
              <w:rPr>
                <w:rFonts w:hint="eastAsia"/>
                <w:color w:val="auto"/>
                <w:sz w:val="24"/>
                <w:lang w:val="en-US" w:eastAsia="zh-CN"/>
              </w:rPr>
              <w:t>225</w:t>
            </w:r>
            <w:r>
              <w:rPr>
                <w:color w:val="auto"/>
                <w:sz w:val="24"/>
              </w:rPr>
              <w:t>t/a</w:t>
            </w:r>
          </w:p>
        </w:tc>
        <w:tc>
          <w:tcPr>
            <w:tcW w:w="1521" w:type="dxa"/>
            <w:vAlign w:val="center"/>
          </w:tcPr>
          <w:p w14:paraId="5A890A5A">
            <w:pPr>
              <w:pStyle w:val="51"/>
              <w:rPr>
                <w:snapToGrid w:val="0"/>
                <w:color w:val="auto"/>
                <w:sz w:val="24"/>
              </w:rPr>
            </w:pPr>
            <w:r>
              <w:rPr>
                <w:snapToGrid w:val="0"/>
                <w:color w:val="auto"/>
                <w:sz w:val="24"/>
              </w:rPr>
              <w:t>/</w:t>
            </w:r>
          </w:p>
        </w:tc>
        <w:tc>
          <w:tcPr>
            <w:tcW w:w="1701" w:type="dxa"/>
            <w:vAlign w:val="center"/>
          </w:tcPr>
          <w:p w14:paraId="7F1A6133">
            <w:pPr>
              <w:spacing w:line="260" w:lineRule="exact"/>
              <w:jc w:val="center"/>
              <w:rPr>
                <w:rFonts w:ascii="Times New Roman" w:hAnsi="Times New Roman" w:eastAsia="宋体" w:cs="Times New Roman"/>
                <w:color w:val="auto"/>
                <w:kern w:val="2"/>
                <w:sz w:val="24"/>
                <w:szCs w:val="24"/>
                <w:lang w:val="en-US" w:eastAsia="zh-CN" w:bidi="ar-SA"/>
              </w:rPr>
            </w:pPr>
            <w:r>
              <w:rPr>
                <w:rFonts w:hint="eastAsia"/>
                <w:color w:val="auto"/>
                <w:sz w:val="24"/>
                <w:lang w:val="en-US" w:eastAsia="zh-CN"/>
              </w:rPr>
              <w:t>225</w:t>
            </w:r>
            <w:r>
              <w:rPr>
                <w:color w:val="auto"/>
                <w:sz w:val="24"/>
              </w:rPr>
              <w:t>t/a</w:t>
            </w:r>
          </w:p>
        </w:tc>
        <w:tc>
          <w:tcPr>
            <w:tcW w:w="1324" w:type="dxa"/>
            <w:vAlign w:val="center"/>
          </w:tcPr>
          <w:p w14:paraId="4E14EC93">
            <w:pPr>
              <w:spacing w:line="260" w:lineRule="exact"/>
              <w:jc w:val="center"/>
              <w:rPr>
                <w:rFonts w:ascii="Times New Roman" w:hAnsi="Times New Roman" w:eastAsia="宋体" w:cs="Times New Roman"/>
                <w:color w:val="auto"/>
                <w:kern w:val="2"/>
                <w:sz w:val="24"/>
                <w:szCs w:val="24"/>
                <w:lang w:val="en-US" w:eastAsia="zh-CN" w:bidi="ar-SA"/>
              </w:rPr>
            </w:pPr>
            <w:r>
              <w:rPr>
                <w:rFonts w:hint="eastAsia"/>
                <w:color w:val="auto"/>
                <w:sz w:val="24"/>
                <w:lang w:val="en-US" w:eastAsia="zh-CN"/>
              </w:rPr>
              <w:t>225</w:t>
            </w:r>
            <w:r>
              <w:rPr>
                <w:color w:val="auto"/>
                <w:sz w:val="24"/>
              </w:rPr>
              <w:t>t/a</w:t>
            </w:r>
          </w:p>
        </w:tc>
      </w:tr>
      <w:tr w14:paraId="152488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983" w:type="dxa"/>
            <w:vMerge w:val="continue"/>
            <w:vAlign w:val="center"/>
          </w:tcPr>
          <w:p w14:paraId="71267E83">
            <w:pPr>
              <w:pStyle w:val="51"/>
              <w:rPr>
                <w:snapToGrid w:val="0"/>
                <w:color w:val="auto"/>
                <w:sz w:val="24"/>
              </w:rPr>
            </w:pPr>
          </w:p>
        </w:tc>
        <w:tc>
          <w:tcPr>
            <w:tcW w:w="2022" w:type="dxa"/>
            <w:vAlign w:val="center"/>
          </w:tcPr>
          <w:p w14:paraId="4D041303">
            <w:pPr>
              <w:widowControl/>
              <w:jc w:val="center"/>
              <w:rPr>
                <w:bCs/>
                <w:color w:val="auto"/>
                <w:kern w:val="0"/>
                <w:sz w:val="24"/>
              </w:rPr>
            </w:pPr>
            <w:r>
              <w:rPr>
                <w:bCs/>
                <w:color w:val="auto"/>
                <w:kern w:val="0"/>
                <w:sz w:val="24"/>
              </w:rPr>
              <w:t>废油液（柴油、机油及油水分离装置浮油和油泥）</w:t>
            </w:r>
          </w:p>
        </w:tc>
        <w:tc>
          <w:tcPr>
            <w:tcW w:w="1701" w:type="dxa"/>
            <w:vAlign w:val="center"/>
          </w:tcPr>
          <w:p w14:paraId="664CAD3C">
            <w:pPr>
              <w:pStyle w:val="51"/>
              <w:rPr>
                <w:snapToGrid w:val="0"/>
                <w:color w:val="auto"/>
                <w:sz w:val="24"/>
              </w:rPr>
            </w:pPr>
            <w:r>
              <w:rPr>
                <w:snapToGrid w:val="0"/>
                <w:color w:val="auto"/>
                <w:sz w:val="24"/>
              </w:rPr>
              <w:t>/</w:t>
            </w:r>
          </w:p>
        </w:tc>
        <w:tc>
          <w:tcPr>
            <w:tcW w:w="1276" w:type="dxa"/>
            <w:vAlign w:val="center"/>
          </w:tcPr>
          <w:p w14:paraId="25B602DE">
            <w:pPr>
              <w:pStyle w:val="51"/>
              <w:rPr>
                <w:snapToGrid w:val="0"/>
                <w:color w:val="auto"/>
                <w:sz w:val="24"/>
              </w:rPr>
            </w:pPr>
            <w:r>
              <w:rPr>
                <w:snapToGrid w:val="0"/>
                <w:color w:val="auto"/>
                <w:sz w:val="24"/>
              </w:rPr>
              <w:t>/</w:t>
            </w:r>
          </w:p>
        </w:tc>
        <w:tc>
          <w:tcPr>
            <w:tcW w:w="1701" w:type="dxa"/>
            <w:vAlign w:val="center"/>
          </w:tcPr>
          <w:p w14:paraId="42C506C1">
            <w:pPr>
              <w:pStyle w:val="51"/>
              <w:rPr>
                <w:snapToGrid w:val="0"/>
                <w:color w:val="auto"/>
                <w:sz w:val="24"/>
              </w:rPr>
            </w:pPr>
            <w:r>
              <w:rPr>
                <w:snapToGrid w:val="0"/>
                <w:color w:val="auto"/>
                <w:sz w:val="24"/>
              </w:rPr>
              <w:t>/</w:t>
            </w:r>
          </w:p>
        </w:tc>
        <w:tc>
          <w:tcPr>
            <w:tcW w:w="1559" w:type="dxa"/>
            <w:vAlign w:val="center"/>
          </w:tcPr>
          <w:p w14:paraId="48AD8B8E">
            <w:pPr>
              <w:widowControl/>
              <w:jc w:val="center"/>
              <w:textAlignment w:val="center"/>
              <w:rPr>
                <w:color w:val="auto"/>
                <w:sz w:val="24"/>
              </w:rPr>
            </w:pPr>
            <w:r>
              <w:rPr>
                <w:rFonts w:hint="eastAsia"/>
                <w:color w:val="auto"/>
                <w:sz w:val="24"/>
                <w:lang w:val="en-US" w:eastAsia="zh-CN"/>
              </w:rPr>
              <w:t>330</w:t>
            </w:r>
            <w:r>
              <w:rPr>
                <w:color w:val="auto"/>
                <w:sz w:val="24"/>
              </w:rPr>
              <w:t>t/a</w:t>
            </w:r>
          </w:p>
        </w:tc>
        <w:tc>
          <w:tcPr>
            <w:tcW w:w="1521" w:type="dxa"/>
            <w:vAlign w:val="center"/>
          </w:tcPr>
          <w:p w14:paraId="4F5F233B">
            <w:pPr>
              <w:pStyle w:val="51"/>
              <w:rPr>
                <w:snapToGrid w:val="0"/>
                <w:color w:val="auto"/>
                <w:sz w:val="24"/>
              </w:rPr>
            </w:pPr>
            <w:r>
              <w:rPr>
                <w:snapToGrid w:val="0"/>
                <w:color w:val="auto"/>
                <w:sz w:val="24"/>
              </w:rPr>
              <w:t>/</w:t>
            </w:r>
          </w:p>
        </w:tc>
        <w:tc>
          <w:tcPr>
            <w:tcW w:w="1701" w:type="dxa"/>
            <w:vAlign w:val="center"/>
          </w:tcPr>
          <w:p w14:paraId="4CD1D6EB">
            <w:pPr>
              <w:widowControl/>
              <w:jc w:val="center"/>
              <w:textAlignment w:val="center"/>
              <w:rPr>
                <w:rFonts w:ascii="Times New Roman" w:hAnsi="Times New Roman" w:eastAsia="宋体" w:cs="Times New Roman"/>
                <w:color w:val="auto"/>
                <w:kern w:val="2"/>
                <w:sz w:val="24"/>
                <w:szCs w:val="24"/>
                <w:lang w:val="en-US" w:eastAsia="zh-CN" w:bidi="ar-SA"/>
              </w:rPr>
            </w:pPr>
            <w:r>
              <w:rPr>
                <w:rFonts w:hint="eastAsia"/>
                <w:color w:val="auto"/>
                <w:sz w:val="24"/>
                <w:lang w:val="en-US" w:eastAsia="zh-CN"/>
              </w:rPr>
              <w:t>330</w:t>
            </w:r>
            <w:r>
              <w:rPr>
                <w:color w:val="auto"/>
                <w:sz w:val="24"/>
              </w:rPr>
              <w:t>t/a</w:t>
            </w:r>
          </w:p>
        </w:tc>
        <w:tc>
          <w:tcPr>
            <w:tcW w:w="1324" w:type="dxa"/>
            <w:vAlign w:val="center"/>
          </w:tcPr>
          <w:p w14:paraId="39D34A77">
            <w:pPr>
              <w:widowControl/>
              <w:jc w:val="center"/>
              <w:textAlignment w:val="center"/>
              <w:rPr>
                <w:rFonts w:ascii="Times New Roman" w:hAnsi="Times New Roman" w:eastAsia="宋体" w:cs="Times New Roman"/>
                <w:color w:val="auto"/>
                <w:kern w:val="2"/>
                <w:sz w:val="24"/>
                <w:szCs w:val="24"/>
                <w:lang w:val="en-US" w:eastAsia="zh-CN" w:bidi="ar-SA"/>
              </w:rPr>
            </w:pPr>
            <w:r>
              <w:rPr>
                <w:rFonts w:hint="eastAsia"/>
                <w:color w:val="auto"/>
                <w:sz w:val="24"/>
                <w:lang w:val="en-US" w:eastAsia="zh-CN"/>
              </w:rPr>
              <w:t>330</w:t>
            </w:r>
            <w:r>
              <w:rPr>
                <w:color w:val="auto"/>
                <w:sz w:val="24"/>
              </w:rPr>
              <w:t>t/a</w:t>
            </w:r>
          </w:p>
        </w:tc>
      </w:tr>
      <w:tr w14:paraId="328A38F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continue"/>
            <w:vAlign w:val="center"/>
          </w:tcPr>
          <w:p w14:paraId="50F0EF00">
            <w:pPr>
              <w:pStyle w:val="51"/>
              <w:rPr>
                <w:snapToGrid w:val="0"/>
                <w:color w:val="auto"/>
                <w:sz w:val="24"/>
              </w:rPr>
            </w:pPr>
          </w:p>
        </w:tc>
        <w:tc>
          <w:tcPr>
            <w:tcW w:w="2022" w:type="dxa"/>
            <w:vAlign w:val="center"/>
          </w:tcPr>
          <w:p w14:paraId="61462E2D">
            <w:pPr>
              <w:widowControl/>
              <w:jc w:val="center"/>
              <w:rPr>
                <w:bCs/>
                <w:color w:val="auto"/>
                <w:kern w:val="0"/>
                <w:sz w:val="24"/>
              </w:rPr>
            </w:pPr>
            <w:r>
              <w:rPr>
                <w:bCs/>
                <w:color w:val="auto"/>
                <w:kern w:val="0"/>
                <w:sz w:val="24"/>
              </w:rPr>
              <w:t>废电容器</w:t>
            </w:r>
          </w:p>
        </w:tc>
        <w:tc>
          <w:tcPr>
            <w:tcW w:w="1701" w:type="dxa"/>
            <w:vAlign w:val="center"/>
          </w:tcPr>
          <w:p w14:paraId="179486F1">
            <w:pPr>
              <w:pStyle w:val="51"/>
              <w:rPr>
                <w:snapToGrid w:val="0"/>
                <w:color w:val="auto"/>
                <w:sz w:val="24"/>
              </w:rPr>
            </w:pPr>
            <w:r>
              <w:rPr>
                <w:snapToGrid w:val="0"/>
                <w:color w:val="auto"/>
                <w:sz w:val="24"/>
              </w:rPr>
              <w:t>/</w:t>
            </w:r>
          </w:p>
        </w:tc>
        <w:tc>
          <w:tcPr>
            <w:tcW w:w="1276" w:type="dxa"/>
            <w:vAlign w:val="center"/>
          </w:tcPr>
          <w:p w14:paraId="1568706D">
            <w:pPr>
              <w:pStyle w:val="51"/>
              <w:rPr>
                <w:snapToGrid w:val="0"/>
                <w:color w:val="auto"/>
                <w:sz w:val="24"/>
              </w:rPr>
            </w:pPr>
            <w:r>
              <w:rPr>
                <w:snapToGrid w:val="0"/>
                <w:color w:val="auto"/>
                <w:sz w:val="24"/>
              </w:rPr>
              <w:t>/</w:t>
            </w:r>
          </w:p>
        </w:tc>
        <w:tc>
          <w:tcPr>
            <w:tcW w:w="1701" w:type="dxa"/>
            <w:vAlign w:val="center"/>
          </w:tcPr>
          <w:p w14:paraId="13A1845D">
            <w:pPr>
              <w:pStyle w:val="51"/>
              <w:rPr>
                <w:snapToGrid w:val="0"/>
                <w:color w:val="auto"/>
                <w:sz w:val="24"/>
              </w:rPr>
            </w:pPr>
            <w:r>
              <w:rPr>
                <w:snapToGrid w:val="0"/>
                <w:color w:val="auto"/>
                <w:sz w:val="24"/>
              </w:rPr>
              <w:t>/</w:t>
            </w:r>
          </w:p>
        </w:tc>
        <w:tc>
          <w:tcPr>
            <w:tcW w:w="1559" w:type="dxa"/>
            <w:vAlign w:val="center"/>
          </w:tcPr>
          <w:p w14:paraId="5C792DE4">
            <w:pPr>
              <w:widowControl/>
              <w:jc w:val="center"/>
              <w:textAlignment w:val="center"/>
              <w:rPr>
                <w:color w:val="auto"/>
                <w:sz w:val="24"/>
              </w:rPr>
            </w:pPr>
            <w:r>
              <w:rPr>
                <w:rFonts w:hint="eastAsia"/>
                <w:color w:val="auto"/>
                <w:sz w:val="24"/>
                <w:lang w:val="en-US" w:eastAsia="zh-CN"/>
              </w:rPr>
              <w:t>6</w:t>
            </w:r>
            <w:r>
              <w:rPr>
                <w:color w:val="auto"/>
                <w:sz w:val="24"/>
              </w:rPr>
              <w:t>t/a</w:t>
            </w:r>
          </w:p>
        </w:tc>
        <w:tc>
          <w:tcPr>
            <w:tcW w:w="1521" w:type="dxa"/>
            <w:vAlign w:val="center"/>
          </w:tcPr>
          <w:p w14:paraId="30D6331A">
            <w:pPr>
              <w:pStyle w:val="51"/>
              <w:rPr>
                <w:snapToGrid w:val="0"/>
                <w:color w:val="auto"/>
                <w:sz w:val="24"/>
              </w:rPr>
            </w:pPr>
            <w:r>
              <w:rPr>
                <w:snapToGrid w:val="0"/>
                <w:color w:val="auto"/>
                <w:sz w:val="24"/>
              </w:rPr>
              <w:t>/</w:t>
            </w:r>
          </w:p>
        </w:tc>
        <w:tc>
          <w:tcPr>
            <w:tcW w:w="1701" w:type="dxa"/>
            <w:vAlign w:val="center"/>
          </w:tcPr>
          <w:p w14:paraId="58AC493F">
            <w:pPr>
              <w:widowControl/>
              <w:jc w:val="center"/>
              <w:textAlignment w:val="center"/>
              <w:rPr>
                <w:rFonts w:ascii="Times New Roman" w:hAnsi="Times New Roman" w:eastAsia="宋体" w:cs="Times New Roman"/>
                <w:color w:val="auto"/>
                <w:kern w:val="2"/>
                <w:sz w:val="24"/>
                <w:szCs w:val="24"/>
                <w:lang w:val="en-US" w:eastAsia="zh-CN" w:bidi="ar-SA"/>
              </w:rPr>
            </w:pPr>
            <w:r>
              <w:rPr>
                <w:rFonts w:hint="eastAsia"/>
                <w:color w:val="auto"/>
                <w:sz w:val="24"/>
                <w:lang w:val="en-US" w:eastAsia="zh-CN"/>
              </w:rPr>
              <w:t>6</w:t>
            </w:r>
            <w:r>
              <w:rPr>
                <w:color w:val="auto"/>
                <w:sz w:val="24"/>
              </w:rPr>
              <w:t>t/a</w:t>
            </w:r>
          </w:p>
        </w:tc>
        <w:tc>
          <w:tcPr>
            <w:tcW w:w="1324" w:type="dxa"/>
            <w:vAlign w:val="center"/>
          </w:tcPr>
          <w:p w14:paraId="605F4578">
            <w:pPr>
              <w:widowControl/>
              <w:jc w:val="center"/>
              <w:textAlignment w:val="center"/>
              <w:rPr>
                <w:rFonts w:ascii="Times New Roman" w:hAnsi="Times New Roman" w:eastAsia="宋体" w:cs="Times New Roman"/>
                <w:color w:val="auto"/>
                <w:kern w:val="2"/>
                <w:sz w:val="24"/>
                <w:szCs w:val="24"/>
                <w:lang w:val="en-US" w:eastAsia="zh-CN" w:bidi="ar-SA"/>
              </w:rPr>
            </w:pPr>
            <w:r>
              <w:rPr>
                <w:rFonts w:hint="eastAsia"/>
                <w:color w:val="auto"/>
                <w:sz w:val="24"/>
                <w:lang w:val="en-US" w:eastAsia="zh-CN"/>
              </w:rPr>
              <w:t>6</w:t>
            </w:r>
            <w:r>
              <w:rPr>
                <w:color w:val="auto"/>
                <w:sz w:val="24"/>
              </w:rPr>
              <w:t>t/a</w:t>
            </w:r>
          </w:p>
        </w:tc>
      </w:tr>
      <w:tr w14:paraId="4EFB86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continue"/>
            <w:vAlign w:val="center"/>
          </w:tcPr>
          <w:p w14:paraId="1781FEED">
            <w:pPr>
              <w:pStyle w:val="51"/>
              <w:rPr>
                <w:snapToGrid w:val="0"/>
                <w:color w:val="auto"/>
                <w:sz w:val="24"/>
              </w:rPr>
            </w:pPr>
          </w:p>
        </w:tc>
        <w:tc>
          <w:tcPr>
            <w:tcW w:w="2022" w:type="dxa"/>
            <w:vAlign w:val="center"/>
          </w:tcPr>
          <w:p w14:paraId="18B82D3C">
            <w:pPr>
              <w:widowControl/>
              <w:jc w:val="center"/>
              <w:rPr>
                <w:bCs/>
                <w:color w:val="auto"/>
                <w:kern w:val="0"/>
                <w:sz w:val="24"/>
              </w:rPr>
            </w:pPr>
            <w:r>
              <w:rPr>
                <w:bCs/>
                <w:color w:val="auto"/>
                <w:kern w:val="0"/>
                <w:sz w:val="24"/>
              </w:rPr>
              <w:t>废防冻液</w:t>
            </w:r>
          </w:p>
        </w:tc>
        <w:tc>
          <w:tcPr>
            <w:tcW w:w="1701" w:type="dxa"/>
            <w:vAlign w:val="center"/>
          </w:tcPr>
          <w:p w14:paraId="17E82197">
            <w:pPr>
              <w:pStyle w:val="51"/>
              <w:rPr>
                <w:snapToGrid w:val="0"/>
                <w:color w:val="auto"/>
                <w:sz w:val="24"/>
              </w:rPr>
            </w:pPr>
            <w:r>
              <w:rPr>
                <w:snapToGrid w:val="0"/>
                <w:color w:val="auto"/>
                <w:sz w:val="24"/>
              </w:rPr>
              <w:t>/</w:t>
            </w:r>
          </w:p>
        </w:tc>
        <w:tc>
          <w:tcPr>
            <w:tcW w:w="1276" w:type="dxa"/>
            <w:vAlign w:val="center"/>
          </w:tcPr>
          <w:p w14:paraId="2B319AA4">
            <w:pPr>
              <w:pStyle w:val="51"/>
              <w:rPr>
                <w:snapToGrid w:val="0"/>
                <w:color w:val="auto"/>
                <w:sz w:val="24"/>
              </w:rPr>
            </w:pPr>
            <w:r>
              <w:rPr>
                <w:snapToGrid w:val="0"/>
                <w:color w:val="auto"/>
                <w:sz w:val="24"/>
              </w:rPr>
              <w:t>/</w:t>
            </w:r>
          </w:p>
        </w:tc>
        <w:tc>
          <w:tcPr>
            <w:tcW w:w="1701" w:type="dxa"/>
            <w:vAlign w:val="center"/>
          </w:tcPr>
          <w:p w14:paraId="40C38AF9">
            <w:pPr>
              <w:pStyle w:val="51"/>
              <w:rPr>
                <w:snapToGrid w:val="0"/>
                <w:color w:val="auto"/>
                <w:sz w:val="24"/>
              </w:rPr>
            </w:pPr>
            <w:r>
              <w:rPr>
                <w:snapToGrid w:val="0"/>
                <w:color w:val="auto"/>
                <w:sz w:val="24"/>
              </w:rPr>
              <w:t>/</w:t>
            </w:r>
          </w:p>
        </w:tc>
        <w:tc>
          <w:tcPr>
            <w:tcW w:w="1559" w:type="dxa"/>
            <w:vAlign w:val="center"/>
          </w:tcPr>
          <w:p w14:paraId="5F4B5A56">
            <w:pPr>
              <w:spacing w:line="260" w:lineRule="exact"/>
              <w:jc w:val="center"/>
              <w:rPr>
                <w:color w:val="auto"/>
                <w:sz w:val="24"/>
              </w:rPr>
            </w:pPr>
            <w:r>
              <w:rPr>
                <w:rFonts w:hint="eastAsia"/>
                <w:color w:val="auto"/>
                <w:sz w:val="24"/>
                <w:lang w:val="en-US" w:eastAsia="zh-CN"/>
              </w:rPr>
              <w:t>15</w:t>
            </w:r>
            <w:r>
              <w:rPr>
                <w:color w:val="auto"/>
                <w:sz w:val="24"/>
              </w:rPr>
              <w:t>t/a</w:t>
            </w:r>
          </w:p>
        </w:tc>
        <w:tc>
          <w:tcPr>
            <w:tcW w:w="1521" w:type="dxa"/>
            <w:vAlign w:val="center"/>
          </w:tcPr>
          <w:p w14:paraId="309B12AA">
            <w:pPr>
              <w:pStyle w:val="51"/>
              <w:rPr>
                <w:snapToGrid w:val="0"/>
                <w:color w:val="auto"/>
                <w:sz w:val="24"/>
              </w:rPr>
            </w:pPr>
            <w:r>
              <w:rPr>
                <w:snapToGrid w:val="0"/>
                <w:color w:val="auto"/>
                <w:sz w:val="24"/>
              </w:rPr>
              <w:t>/</w:t>
            </w:r>
          </w:p>
        </w:tc>
        <w:tc>
          <w:tcPr>
            <w:tcW w:w="1701" w:type="dxa"/>
            <w:vAlign w:val="center"/>
          </w:tcPr>
          <w:p w14:paraId="4B2F99F2">
            <w:pPr>
              <w:spacing w:line="260" w:lineRule="exact"/>
              <w:jc w:val="center"/>
              <w:rPr>
                <w:rFonts w:ascii="Times New Roman" w:hAnsi="Times New Roman" w:eastAsia="宋体" w:cs="Times New Roman"/>
                <w:color w:val="auto"/>
                <w:kern w:val="2"/>
                <w:sz w:val="24"/>
                <w:szCs w:val="24"/>
                <w:lang w:val="en-US" w:eastAsia="zh-CN" w:bidi="ar-SA"/>
              </w:rPr>
            </w:pPr>
            <w:r>
              <w:rPr>
                <w:rFonts w:hint="eastAsia"/>
                <w:color w:val="auto"/>
                <w:sz w:val="24"/>
                <w:lang w:val="en-US" w:eastAsia="zh-CN"/>
              </w:rPr>
              <w:t>15</w:t>
            </w:r>
            <w:r>
              <w:rPr>
                <w:color w:val="auto"/>
                <w:sz w:val="24"/>
              </w:rPr>
              <w:t>t/a</w:t>
            </w:r>
          </w:p>
        </w:tc>
        <w:tc>
          <w:tcPr>
            <w:tcW w:w="1324" w:type="dxa"/>
            <w:vAlign w:val="center"/>
          </w:tcPr>
          <w:p w14:paraId="2F5A3AB9">
            <w:pPr>
              <w:spacing w:line="260" w:lineRule="exact"/>
              <w:jc w:val="center"/>
              <w:rPr>
                <w:rFonts w:ascii="Times New Roman" w:hAnsi="Times New Roman" w:eastAsia="宋体" w:cs="Times New Roman"/>
                <w:color w:val="auto"/>
                <w:kern w:val="2"/>
                <w:sz w:val="24"/>
                <w:szCs w:val="24"/>
                <w:lang w:val="en-US" w:eastAsia="zh-CN" w:bidi="ar-SA"/>
              </w:rPr>
            </w:pPr>
            <w:r>
              <w:rPr>
                <w:rFonts w:hint="eastAsia"/>
                <w:color w:val="auto"/>
                <w:sz w:val="24"/>
                <w:lang w:val="en-US" w:eastAsia="zh-CN"/>
              </w:rPr>
              <w:t>15</w:t>
            </w:r>
            <w:r>
              <w:rPr>
                <w:color w:val="auto"/>
                <w:sz w:val="24"/>
              </w:rPr>
              <w:t>t/a</w:t>
            </w:r>
          </w:p>
        </w:tc>
      </w:tr>
      <w:tr w14:paraId="69EA547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5" w:hRule="atLeast"/>
          <w:jc w:val="center"/>
        </w:trPr>
        <w:tc>
          <w:tcPr>
            <w:tcW w:w="983" w:type="dxa"/>
            <w:vMerge w:val="continue"/>
            <w:vAlign w:val="center"/>
          </w:tcPr>
          <w:p w14:paraId="415BC312">
            <w:pPr>
              <w:pStyle w:val="51"/>
              <w:rPr>
                <w:snapToGrid w:val="0"/>
                <w:color w:val="auto"/>
                <w:sz w:val="24"/>
              </w:rPr>
            </w:pPr>
          </w:p>
        </w:tc>
        <w:tc>
          <w:tcPr>
            <w:tcW w:w="2022" w:type="dxa"/>
            <w:vAlign w:val="center"/>
          </w:tcPr>
          <w:p w14:paraId="67DC34FD">
            <w:pPr>
              <w:pStyle w:val="51"/>
              <w:jc w:val="center"/>
              <w:rPr>
                <w:rFonts w:ascii="Times New Roman" w:hAnsi="Times New Roman" w:eastAsia="宋体" w:cs="Times New Roman"/>
                <w:color w:val="auto"/>
                <w:kern w:val="2"/>
                <w:sz w:val="24"/>
                <w:szCs w:val="24"/>
                <w:lang w:val="en-US" w:eastAsia="zh-CN" w:bidi="ar-SA"/>
              </w:rPr>
            </w:pPr>
            <w:r>
              <w:rPr>
                <w:bCs/>
                <w:color w:val="auto"/>
                <w:kern w:val="0"/>
                <w:sz w:val="24"/>
              </w:rPr>
              <w:t>沾有油污的手套、抹布、废墩布</w:t>
            </w:r>
          </w:p>
        </w:tc>
        <w:tc>
          <w:tcPr>
            <w:tcW w:w="1701" w:type="dxa"/>
            <w:vAlign w:val="center"/>
          </w:tcPr>
          <w:p w14:paraId="5A0AC73A">
            <w:pPr>
              <w:pStyle w:val="51"/>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276" w:type="dxa"/>
            <w:vAlign w:val="center"/>
          </w:tcPr>
          <w:p w14:paraId="71614241">
            <w:pPr>
              <w:pStyle w:val="51"/>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701" w:type="dxa"/>
            <w:vAlign w:val="center"/>
          </w:tcPr>
          <w:p w14:paraId="54A3FAC5">
            <w:pPr>
              <w:pStyle w:val="51"/>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559" w:type="dxa"/>
            <w:vAlign w:val="center"/>
          </w:tcPr>
          <w:p w14:paraId="38AED424">
            <w:pPr>
              <w:pStyle w:val="51"/>
              <w:rPr>
                <w:rFonts w:hint="eastAsia" w:ascii="Times New Roman" w:hAnsi="Times New Roman" w:eastAsia="宋体" w:cs="Times New Roman"/>
                <w:snapToGrid w:val="0"/>
                <w:color w:val="auto"/>
                <w:kern w:val="2"/>
                <w:sz w:val="24"/>
                <w:szCs w:val="24"/>
                <w:lang w:val="en-US" w:eastAsia="zh-CN" w:bidi="ar-SA"/>
              </w:rPr>
            </w:pPr>
            <w:r>
              <w:rPr>
                <w:bCs/>
                <w:color w:val="auto"/>
                <w:sz w:val="24"/>
              </w:rPr>
              <w:t>0.1t/a</w:t>
            </w:r>
          </w:p>
        </w:tc>
        <w:tc>
          <w:tcPr>
            <w:tcW w:w="1521" w:type="dxa"/>
            <w:vAlign w:val="center"/>
          </w:tcPr>
          <w:p w14:paraId="012A6CC5">
            <w:pPr>
              <w:pStyle w:val="51"/>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701" w:type="dxa"/>
            <w:vAlign w:val="center"/>
          </w:tcPr>
          <w:p w14:paraId="2148EE7B">
            <w:pPr>
              <w:pStyle w:val="51"/>
              <w:rPr>
                <w:rFonts w:hint="eastAsia" w:ascii="Times New Roman" w:hAnsi="Times New Roman" w:eastAsia="宋体" w:cs="Times New Roman"/>
                <w:snapToGrid w:val="0"/>
                <w:color w:val="auto"/>
                <w:kern w:val="2"/>
                <w:sz w:val="24"/>
                <w:szCs w:val="24"/>
                <w:lang w:val="en-US" w:eastAsia="zh-CN" w:bidi="ar-SA"/>
              </w:rPr>
            </w:pPr>
            <w:r>
              <w:rPr>
                <w:bCs/>
                <w:color w:val="auto"/>
                <w:sz w:val="24"/>
              </w:rPr>
              <w:t>0.1t/a</w:t>
            </w:r>
          </w:p>
        </w:tc>
        <w:tc>
          <w:tcPr>
            <w:tcW w:w="1324" w:type="dxa"/>
            <w:vAlign w:val="center"/>
          </w:tcPr>
          <w:p w14:paraId="0E08933B">
            <w:pPr>
              <w:pStyle w:val="51"/>
              <w:rPr>
                <w:rFonts w:hint="eastAsia" w:ascii="Times New Roman" w:hAnsi="Times New Roman" w:eastAsia="宋体" w:cs="Times New Roman"/>
                <w:snapToGrid w:val="0"/>
                <w:color w:val="auto"/>
                <w:kern w:val="2"/>
                <w:sz w:val="24"/>
                <w:szCs w:val="24"/>
                <w:lang w:val="en-US" w:eastAsia="zh-CN" w:bidi="ar-SA"/>
              </w:rPr>
            </w:pPr>
            <w:r>
              <w:rPr>
                <w:bCs/>
                <w:color w:val="auto"/>
                <w:sz w:val="24"/>
              </w:rPr>
              <w:t>0.1t/a</w:t>
            </w:r>
          </w:p>
        </w:tc>
      </w:tr>
      <w:tr w14:paraId="61AAB8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continue"/>
            <w:vAlign w:val="center"/>
          </w:tcPr>
          <w:p w14:paraId="19CF97D1">
            <w:pPr>
              <w:pStyle w:val="51"/>
              <w:rPr>
                <w:snapToGrid w:val="0"/>
                <w:color w:val="auto"/>
                <w:sz w:val="24"/>
              </w:rPr>
            </w:pPr>
          </w:p>
        </w:tc>
        <w:tc>
          <w:tcPr>
            <w:tcW w:w="2022" w:type="dxa"/>
            <w:vAlign w:val="center"/>
          </w:tcPr>
          <w:p w14:paraId="1B3372BE">
            <w:pPr>
              <w:pStyle w:val="51"/>
              <w:jc w:val="center"/>
              <w:rPr>
                <w:rFonts w:hint="default" w:eastAsia="宋体"/>
                <w:bCs/>
                <w:color w:val="auto"/>
                <w:kern w:val="0"/>
                <w:sz w:val="24"/>
                <w:lang w:val="en-US" w:eastAsia="zh-CN"/>
              </w:rPr>
            </w:pPr>
            <w:r>
              <w:rPr>
                <w:rFonts w:hint="eastAsia"/>
                <w:bCs/>
                <w:color w:val="auto"/>
                <w:kern w:val="0"/>
                <w:sz w:val="24"/>
                <w:lang w:val="en-US" w:eastAsia="zh-CN"/>
              </w:rPr>
              <w:t>石棉废物</w:t>
            </w:r>
          </w:p>
        </w:tc>
        <w:tc>
          <w:tcPr>
            <w:tcW w:w="1701" w:type="dxa"/>
            <w:vAlign w:val="center"/>
          </w:tcPr>
          <w:p w14:paraId="29349679">
            <w:pPr>
              <w:pStyle w:val="51"/>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276" w:type="dxa"/>
            <w:vAlign w:val="center"/>
          </w:tcPr>
          <w:p w14:paraId="658077C9">
            <w:pPr>
              <w:pStyle w:val="51"/>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701" w:type="dxa"/>
            <w:vAlign w:val="center"/>
          </w:tcPr>
          <w:p w14:paraId="3ECE4D7A">
            <w:pPr>
              <w:pStyle w:val="51"/>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559" w:type="dxa"/>
            <w:vAlign w:val="center"/>
          </w:tcPr>
          <w:p w14:paraId="6432358A">
            <w:pPr>
              <w:pStyle w:val="51"/>
              <w:rPr>
                <w:rFonts w:hint="default" w:eastAsia="宋体"/>
                <w:bCs/>
                <w:color w:val="auto"/>
                <w:sz w:val="24"/>
                <w:lang w:val="en-US" w:eastAsia="zh-CN"/>
              </w:rPr>
            </w:pPr>
            <w:r>
              <w:rPr>
                <w:rFonts w:hint="eastAsia"/>
                <w:bCs/>
                <w:color w:val="auto"/>
                <w:sz w:val="24"/>
                <w:lang w:val="en-US" w:eastAsia="zh-CN"/>
              </w:rPr>
              <w:t>6t/a</w:t>
            </w:r>
          </w:p>
        </w:tc>
        <w:tc>
          <w:tcPr>
            <w:tcW w:w="1521" w:type="dxa"/>
            <w:vAlign w:val="center"/>
          </w:tcPr>
          <w:p w14:paraId="4C9D5E96">
            <w:pPr>
              <w:pStyle w:val="51"/>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701" w:type="dxa"/>
            <w:vAlign w:val="center"/>
          </w:tcPr>
          <w:p w14:paraId="0E2B3E2F">
            <w:pPr>
              <w:pStyle w:val="51"/>
              <w:rPr>
                <w:rFonts w:hint="default" w:ascii="Times New Roman" w:hAnsi="Times New Roman" w:eastAsia="宋体" w:cs="Times New Roman"/>
                <w:bCs/>
                <w:color w:val="auto"/>
                <w:kern w:val="2"/>
                <w:sz w:val="24"/>
                <w:szCs w:val="24"/>
                <w:lang w:val="en-US" w:eastAsia="zh-CN" w:bidi="ar-SA"/>
              </w:rPr>
            </w:pPr>
            <w:r>
              <w:rPr>
                <w:rFonts w:hint="eastAsia"/>
                <w:bCs/>
                <w:color w:val="auto"/>
                <w:sz w:val="24"/>
                <w:lang w:val="en-US" w:eastAsia="zh-CN"/>
              </w:rPr>
              <w:t>6t/a</w:t>
            </w:r>
          </w:p>
        </w:tc>
        <w:tc>
          <w:tcPr>
            <w:tcW w:w="1324" w:type="dxa"/>
            <w:vAlign w:val="center"/>
          </w:tcPr>
          <w:p w14:paraId="42456A4F">
            <w:pPr>
              <w:pStyle w:val="51"/>
              <w:rPr>
                <w:rFonts w:hint="default" w:ascii="Times New Roman" w:hAnsi="Times New Roman" w:eastAsia="宋体" w:cs="Times New Roman"/>
                <w:bCs/>
                <w:color w:val="auto"/>
                <w:kern w:val="2"/>
                <w:sz w:val="24"/>
                <w:szCs w:val="24"/>
                <w:lang w:val="en-US" w:eastAsia="zh-CN" w:bidi="ar-SA"/>
              </w:rPr>
            </w:pPr>
            <w:r>
              <w:rPr>
                <w:rFonts w:hint="eastAsia"/>
                <w:bCs/>
                <w:color w:val="auto"/>
                <w:sz w:val="24"/>
                <w:lang w:val="en-US" w:eastAsia="zh-CN"/>
              </w:rPr>
              <w:t>6t/a</w:t>
            </w:r>
          </w:p>
        </w:tc>
      </w:tr>
      <w:tr w14:paraId="0C798CD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 w:hRule="atLeast"/>
          <w:jc w:val="center"/>
        </w:trPr>
        <w:tc>
          <w:tcPr>
            <w:tcW w:w="983" w:type="dxa"/>
            <w:vMerge w:val="continue"/>
            <w:vAlign w:val="center"/>
          </w:tcPr>
          <w:p w14:paraId="0A9F0F29">
            <w:pPr>
              <w:pStyle w:val="51"/>
              <w:rPr>
                <w:snapToGrid w:val="0"/>
                <w:color w:val="auto"/>
                <w:sz w:val="24"/>
              </w:rPr>
            </w:pPr>
          </w:p>
        </w:tc>
        <w:tc>
          <w:tcPr>
            <w:tcW w:w="2022" w:type="dxa"/>
            <w:vAlign w:val="center"/>
          </w:tcPr>
          <w:p w14:paraId="7749D5EA">
            <w:pPr>
              <w:widowControl/>
              <w:jc w:val="center"/>
              <w:rPr>
                <w:rFonts w:hint="eastAsia" w:eastAsia="宋体"/>
                <w:bCs/>
                <w:color w:val="auto"/>
                <w:kern w:val="0"/>
                <w:sz w:val="24"/>
                <w:highlight w:val="none"/>
                <w:lang w:val="en-US" w:eastAsia="zh-CN"/>
              </w:rPr>
            </w:pPr>
            <w:r>
              <w:rPr>
                <w:rFonts w:hint="eastAsia"/>
                <w:bCs/>
                <w:color w:val="auto"/>
                <w:kern w:val="0"/>
                <w:sz w:val="24"/>
                <w:highlight w:val="none"/>
                <w:lang w:val="en-US" w:eastAsia="zh-CN"/>
              </w:rPr>
              <w:t>废活性炭</w:t>
            </w:r>
          </w:p>
        </w:tc>
        <w:tc>
          <w:tcPr>
            <w:tcW w:w="1701" w:type="dxa"/>
            <w:vAlign w:val="center"/>
          </w:tcPr>
          <w:p w14:paraId="0E722629">
            <w:pPr>
              <w:pStyle w:val="51"/>
              <w:rPr>
                <w:rFonts w:ascii="Times New Roman" w:hAnsi="Times New Roman" w:eastAsia="宋体" w:cs="Times New Roman"/>
                <w:snapToGrid w:val="0"/>
                <w:color w:val="auto"/>
                <w:kern w:val="2"/>
                <w:sz w:val="24"/>
                <w:szCs w:val="24"/>
                <w:highlight w:val="none"/>
                <w:lang w:val="en-US" w:eastAsia="zh-CN" w:bidi="ar-SA"/>
              </w:rPr>
            </w:pPr>
            <w:r>
              <w:rPr>
                <w:snapToGrid w:val="0"/>
                <w:color w:val="auto"/>
                <w:sz w:val="24"/>
                <w:highlight w:val="none"/>
              </w:rPr>
              <w:t>/</w:t>
            </w:r>
          </w:p>
        </w:tc>
        <w:tc>
          <w:tcPr>
            <w:tcW w:w="1276" w:type="dxa"/>
            <w:vAlign w:val="center"/>
          </w:tcPr>
          <w:p w14:paraId="1ED068B0">
            <w:pPr>
              <w:pStyle w:val="51"/>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701" w:type="dxa"/>
            <w:vAlign w:val="center"/>
          </w:tcPr>
          <w:p w14:paraId="720A862A">
            <w:pPr>
              <w:pStyle w:val="51"/>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559" w:type="dxa"/>
            <w:vAlign w:val="center"/>
          </w:tcPr>
          <w:p w14:paraId="1F0D592F">
            <w:pPr>
              <w:spacing w:line="260" w:lineRule="exact"/>
              <w:jc w:val="center"/>
              <w:rPr>
                <w:rFonts w:hint="default"/>
                <w:color w:val="auto"/>
                <w:sz w:val="24"/>
                <w:lang w:val="en-US" w:eastAsia="zh-CN"/>
              </w:rPr>
            </w:pPr>
            <w:r>
              <w:rPr>
                <w:rFonts w:hint="eastAsia"/>
                <w:color w:val="auto"/>
                <w:sz w:val="24"/>
                <w:lang w:val="en-US" w:eastAsia="zh-CN"/>
              </w:rPr>
              <w:t>1t/a</w:t>
            </w:r>
          </w:p>
        </w:tc>
        <w:tc>
          <w:tcPr>
            <w:tcW w:w="1521" w:type="dxa"/>
            <w:vAlign w:val="center"/>
          </w:tcPr>
          <w:p w14:paraId="682A2246">
            <w:pPr>
              <w:pStyle w:val="51"/>
              <w:rPr>
                <w:rFonts w:ascii="Times New Roman" w:hAnsi="Times New Roman" w:eastAsia="宋体" w:cs="Times New Roman"/>
                <w:snapToGrid w:val="0"/>
                <w:color w:val="auto"/>
                <w:kern w:val="2"/>
                <w:sz w:val="24"/>
                <w:szCs w:val="24"/>
                <w:lang w:val="en-US" w:eastAsia="zh-CN" w:bidi="ar-SA"/>
              </w:rPr>
            </w:pPr>
            <w:r>
              <w:rPr>
                <w:snapToGrid w:val="0"/>
                <w:color w:val="auto"/>
                <w:sz w:val="24"/>
              </w:rPr>
              <w:t>/</w:t>
            </w:r>
          </w:p>
        </w:tc>
        <w:tc>
          <w:tcPr>
            <w:tcW w:w="1701" w:type="dxa"/>
            <w:vAlign w:val="center"/>
          </w:tcPr>
          <w:p w14:paraId="111AC7D7">
            <w:pPr>
              <w:spacing w:line="260" w:lineRule="exact"/>
              <w:jc w:val="center"/>
              <w:rPr>
                <w:rFonts w:hint="eastAsia" w:ascii="Times New Roman" w:hAnsi="Times New Roman" w:eastAsia="宋体" w:cs="Times New Roman"/>
                <w:color w:val="auto"/>
                <w:kern w:val="2"/>
                <w:sz w:val="24"/>
                <w:szCs w:val="24"/>
                <w:lang w:val="en-US" w:eastAsia="zh-CN" w:bidi="ar-SA"/>
              </w:rPr>
            </w:pPr>
            <w:r>
              <w:rPr>
                <w:rFonts w:hint="eastAsia"/>
                <w:color w:val="auto"/>
                <w:sz w:val="24"/>
                <w:lang w:val="en-US" w:eastAsia="zh-CN"/>
              </w:rPr>
              <w:t>1t/a</w:t>
            </w:r>
          </w:p>
        </w:tc>
        <w:tc>
          <w:tcPr>
            <w:tcW w:w="1324" w:type="dxa"/>
            <w:vAlign w:val="center"/>
          </w:tcPr>
          <w:p w14:paraId="06EA4465">
            <w:pPr>
              <w:spacing w:line="260" w:lineRule="exact"/>
              <w:jc w:val="center"/>
              <w:rPr>
                <w:rFonts w:hint="eastAsia" w:ascii="Times New Roman" w:hAnsi="Times New Roman" w:eastAsia="宋体" w:cs="Times New Roman"/>
                <w:color w:val="auto"/>
                <w:kern w:val="2"/>
                <w:sz w:val="24"/>
                <w:szCs w:val="24"/>
                <w:lang w:val="en-US" w:eastAsia="zh-CN" w:bidi="ar-SA"/>
              </w:rPr>
            </w:pPr>
            <w:r>
              <w:rPr>
                <w:rFonts w:hint="eastAsia"/>
                <w:color w:val="auto"/>
                <w:sz w:val="24"/>
                <w:lang w:val="en-US" w:eastAsia="zh-CN"/>
              </w:rPr>
              <w:t>1t/a</w:t>
            </w:r>
          </w:p>
        </w:tc>
      </w:tr>
    </w:tbl>
    <w:p w14:paraId="4244F02C">
      <w:pPr>
        <w:pStyle w:val="39"/>
        <w:spacing w:before="192" w:beforeLines="80" w:after="24"/>
        <w:ind w:firstLine="420"/>
        <w:jc w:val="left"/>
        <w:rPr>
          <w:color w:val="auto"/>
        </w:rPr>
        <w:sectPr>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ascii="Times New Roman"/>
          <w:snapToGrid w:val="0"/>
          <w:color w:val="auto"/>
          <w:kern w:val="21"/>
          <w:sz w:val="24"/>
          <w:szCs w:val="24"/>
        </w:rPr>
        <w:t>注：</w:t>
      </w:r>
      <w:r>
        <w:rPr>
          <w:rFonts w:ascii="Times New Roman"/>
          <w:snapToGrid w:val="0"/>
          <w:color w:val="auto"/>
          <w:spacing w:val="-16"/>
          <w:kern w:val="21"/>
          <w:sz w:val="24"/>
          <w:szCs w:val="24"/>
        </w:rPr>
        <w:fldChar w:fldCharType="begin"/>
      </w:r>
      <w:r>
        <w:rPr>
          <w:rFonts w:ascii="Times New Roman"/>
          <w:snapToGrid w:val="0"/>
          <w:color w:val="auto"/>
          <w:spacing w:val="-16"/>
          <w:kern w:val="21"/>
          <w:sz w:val="24"/>
          <w:szCs w:val="24"/>
        </w:rPr>
        <w:instrText xml:space="preserve"> = 6 \* GB3 \* MERGEFORMAT </w:instrText>
      </w:r>
      <w:r>
        <w:rPr>
          <w:rFonts w:ascii="Times New Roman"/>
          <w:snapToGrid w:val="0"/>
          <w:color w:val="auto"/>
          <w:spacing w:val="-16"/>
          <w:kern w:val="21"/>
          <w:sz w:val="24"/>
          <w:szCs w:val="24"/>
        </w:rPr>
        <w:fldChar w:fldCharType="separate"/>
      </w:r>
      <w:r>
        <w:rPr>
          <w:rFonts w:hint="eastAsia" w:hAnsi="宋体" w:cs="宋体"/>
          <w:color w:val="auto"/>
          <w:sz w:val="24"/>
          <w:szCs w:val="24"/>
        </w:rPr>
        <w:t>⑥</w:t>
      </w:r>
      <w:r>
        <w:rPr>
          <w:rFonts w:ascii="Times New Roman"/>
          <w:snapToGrid w:val="0"/>
          <w:color w:val="auto"/>
          <w:spacing w:val="-16"/>
          <w:kern w:val="21"/>
          <w:sz w:val="24"/>
          <w:szCs w:val="24"/>
        </w:rPr>
        <w:fldChar w:fldCharType="end"/>
      </w:r>
      <w:r>
        <w:rPr>
          <w:rFonts w:ascii="Times New Roman"/>
          <w:snapToGrid w:val="0"/>
          <w:color w:val="auto"/>
          <w:spacing w:val="-16"/>
          <w:kern w:val="21"/>
          <w:sz w:val="24"/>
          <w:szCs w:val="24"/>
        </w:rPr>
        <w:t>=</w:t>
      </w:r>
      <w:r>
        <w:rPr>
          <w:rFonts w:ascii="Times New Roman"/>
          <w:snapToGrid w:val="0"/>
          <w:color w:val="auto"/>
          <w:spacing w:val="-6"/>
          <w:kern w:val="21"/>
          <w:sz w:val="24"/>
          <w:szCs w:val="24"/>
        </w:rPr>
        <w:fldChar w:fldCharType="begin"/>
      </w:r>
      <w:r>
        <w:rPr>
          <w:rFonts w:ascii="Times New Roman"/>
          <w:snapToGrid w:val="0"/>
          <w:color w:val="auto"/>
          <w:spacing w:val="-6"/>
          <w:kern w:val="21"/>
          <w:sz w:val="24"/>
          <w:szCs w:val="24"/>
        </w:rPr>
        <w:instrText xml:space="preserve"> = 1 \* GB3 \* MERGEFORMAT </w:instrText>
      </w:r>
      <w:r>
        <w:rPr>
          <w:rFonts w:ascii="Times New Roman"/>
          <w:snapToGrid w:val="0"/>
          <w:color w:val="auto"/>
          <w:spacing w:val="-6"/>
          <w:kern w:val="21"/>
          <w:sz w:val="24"/>
          <w:szCs w:val="24"/>
        </w:rPr>
        <w:fldChar w:fldCharType="separate"/>
      </w:r>
      <w:r>
        <w:rPr>
          <w:rFonts w:hint="eastAsia" w:hAnsi="宋体" w:cs="宋体"/>
          <w:color w:val="auto"/>
          <w:sz w:val="24"/>
          <w:szCs w:val="24"/>
        </w:rPr>
        <w:t>①</w:t>
      </w:r>
      <w:r>
        <w:rPr>
          <w:rFonts w:ascii="Times New Roman"/>
          <w:snapToGrid w:val="0"/>
          <w:color w:val="auto"/>
          <w:spacing w:val="-6"/>
          <w:kern w:val="21"/>
          <w:sz w:val="24"/>
          <w:szCs w:val="24"/>
        </w:rPr>
        <w:fldChar w:fldCharType="end"/>
      </w:r>
      <w:r>
        <w:rPr>
          <w:rFonts w:ascii="Times New Roman"/>
          <w:snapToGrid w:val="0"/>
          <w:color w:val="auto"/>
          <w:spacing w:val="-6"/>
          <w:kern w:val="21"/>
          <w:sz w:val="24"/>
          <w:szCs w:val="24"/>
        </w:rPr>
        <w:t>+</w:t>
      </w:r>
      <w:r>
        <w:rPr>
          <w:rFonts w:ascii="Times New Roman"/>
          <w:snapToGrid w:val="0"/>
          <w:color w:val="auto"/>
          <w:spacing w:val="-6"/>
          <w:kern w:val="21"/>
          <w:sz w:val="24"/>
          <w:szCs w:val="24"/>
        </w:rPr>
        <w:fldChar w:fldCharType="begin"/>
      </w:r>
      <w:r>
        <w:rPr>
          <w:rFonts w:ascii="Times New Roman"/>
          <w:snapToGrid w:val="0"/>
          <w:color w:val="auto"/>
          <w:spacing w:val="-6"/>
          <w:kern w:val="21"/>
          <w:sz w:val="24"/>
          <w:szCs w:val="24"/>
        </w:rPr>
        <w:instrText xml:space="preserve"> = 3 \* GB3 \* MERGEFORMAT </w:instrText>
      </w:r>
      <w:r>
        <w:rPr>
          <w:rFonts w:ascii="Times New Roman"/>
          <w:snapToGrid w:val="0"/>
          <w:color w:val="auto"/>
          <w:spacing w:val="-6"/>
          <w:kern w:val="21"/>
          <w:sz w:val="24"/>
          <w:szCs w:val="24"/>
        </w:rPr>
        <w:fldChar w:fldCharType="separate"/>
      </w:r>
      <w:r>
        <w:rPr>
          <w:rFonts w:hint="eastAsia" w:hAnsi="宋体" w:cs="宋体"/>
          <w:color w:val="auto"/>
          <w:sz w:val="24"/>
          <w:szCs w:val="24"/>
        </w:rPr>
        <w:t>③</w:t>
      </w:r>
      <w:r>
        <w:rPr>
          <w:rFonts w:ascii="Times New Roman"/>
          <w:snapToGrid w:val="0"/>
          <w:color w:val="auto"/>
          <w:spacing w:val="-6"/>
          <w:kern w:val="21"/>
          <w:sz w:val="24"/>
          <w:szCs w:val="24"/>
        </w:rPr>
        <w:fldChar w:fldCharType="end"/>
      </w:r>
      <w:r>
        <w:rPr>
          <w:rFonts w:ascii="Times New Roman"/>
          <w:snapToGrid w:val="0"/>
          <w:color w:val="auto"/>
          <w:spacing w:val="-6"/>
          <w:kern w:val="21"/>
          <w:sz w:val="24"/>
          <w:szCs w:val="24"/>
        </w:rPr>
        <w:t>+</w:t>
      </w:r>
      <w:r>
        <w:rPr>
          <w:rFonts w:ascii="Times New Roman"/>
          <w:snapToGrid w:val="0"/>
          <w:color w:val="auto"/>
          <w:spacing w:val="-6"/>
          <w:kern w:val="21"/>
          <w:sz w:val="24"/>
          <w:szCs w:val="24"/>
        </w:rPr>
        <w:fldChar w:fldCharType="begin"/>
      </w:r>
      <w:r>
        <w:rPr>
          <w:rFonts w:ascii="Times New Roman"/>
          <w:snapToGrid w:val="0"/>
          <w:color w:val="auto"/>
          <w:spacing w:val="-6"/>
          <w:kern w:val="21"/>
          <w:sz w:val="24"/>
          <w:szCs w:val="24"/>
        </w:rPr>
        <w:instrText xml:space="preserve"> = 4 \* GB3 \* MERGEFORMAT </w:instrText>
      </w:r>
      <w:r>
        <w:rPr>
          <w:rFonts w:ascii="Times New Roman"/>
          <w:snapToGrid w:val="0"/>
          <w:color w:val="auto"/>
          <w:spacing w:val="-6"/>
          <w:kern w:val="21"/>
          <w:sz w:val="24"/>
          <w:szCs w:val="24"/>
        </w:rPr>
        <w:fldChar w:fldCharType="separate"/>
      </w:r>
      <w:r>
        <w:rPr>
          <w:rFonts w:hint="eastAsia" w:hAnsi="宋体" w:cs="宋体"/>
          <w:color w:val="auto"/>
          <w:sz w:val="24"/>
          <w:szCs w:val="24"/>
        </w:rPr>
        <w:t>④</w:t>
      </w:r>
      <w:r>
        <w:rPr>
          <w:rFonts w:ascii="Times New Roman"/>
          <w:snapToGrid w:val="0"/>
          <w:color w:val="auto"/>
          <w:spacing w:val="-6"/>
          <w:kern w:val="21"/>
          <w:sz w:val="24"/>
          <w:szCs w:val="24"/>
        </w:rPr>
        <w:fldChar w:fldCharType="end"/>
      </w:r>
      <w:r>
        <w:rPr>
          <w:rFonts w:ascii="Times New Roman"/>
          <w:snapToGrid w:val="0"/>
          <w:color w:val="auto"/>
          <w:spacing w:val="-6"/>
          <w:kern w:val="21"/>
          <w:sz w:val="24"/>
          <w:szCs w:val="24"/>
        </w:rPr>
        <w:t>-</w:t>
      </w:r>
      <w:r>
        <w:rPr>
          <w:rFonts w:ascii="Times New Roman"/>
          <w:snapToGrid w:val="0"/>
          <w:color w:val="auto"/>
          <w:spacing w:val="-16"/>
          <w:kern w:val="21"/>
          <w:sz w:val="24"/>
          <w:szCs w:val="24"/>
        </w:rPr>
        <w:fldChar w:fldCharType="begin"/>
      </w:r>
      <w:r>
        <w:rPr>
          <w:rFonts w:ascii="Times New Roman"/>
          <w:snapToGrid w:val="0"/>
          <w:color w:val="auto"/>
          <w:spacing w:val="-16"/>
          <w:kern w:val="21"/>
          <w:sz w:val="24"/>
          <w:szCs w:val="24"/>
        </w:rPr>
        <w:instrText xml:space="preserve"> = 5 \* GB3 \* MERGEFORMAT </w:instrText>
      </w:r>
      <w:r>
        <w:rPr>
          <w:rFonts w:ascii="Times New Roman"/>
          <w:snapToGrid w:val="0"/>
          <w:color w:val="auto"/>
          <w:spacing w:val="-16"/>
          <w:kern w:val="21"/>
          <w:sz w:val="24"/>
          <w:szCs w:val="24"/>
        </w:rPr>
        <w:fldChar w:fldCharType="separate"/>
      </w:r>
      <w:r>
        <w:rPr>
          <w:rFonts w:hint="eastAsia" w:hAnsi="宋体" w:cs="宋体"/>
          <w:color w:val="auto"/>
          <w:sz w:val="24"/>
          <w:szCs w:val="24"/>
        </w:rPr>
        <w:t>⑤</w:t>
      </w:r>
      <w:r>
        <w:rPr>
          <w:rFonts w:ascii="Times New Roman"/>
          <w:snapToGrid w:val="0"/>
          <w:color w:val="auto"/>
          <w:spacing w:val="-16"/>
          <w:kern w:val="21"/>
          <w:sz w:val="24"/>
          <w:szCs w:val="24"/>
        </w:rPr>
        <w:fldChar w:fldCharType="end"/>
      </w:r>
      <w:r>
        <w:rPr>
          <w:rFonts w:ascii="Times New Roman"/>
          <w:snapToGrid w:val="0"/>
          <w:color w:val="auto"/>
          <w:spacing w:val="-16"/>
          <w:kern w:val="21"/>
          <w:sz w:val="24"/>
          <w:szCs w:val="24"/>
        </w:rPr>
        <w:t>；</w:t>
      </w:r>
      <w:r>
        <w:rPr>
          <w:rFonts w:ascii="Times New Roman"/>
          <w:snapToGrid w:val="0"/>
          <w:color w:val="auto"/>
          <w:spacing w:val="-6"/>
          <w:kern w:val="21"/>
          <w:sz w:val="24"/>
          <w:szCs w:val="24"/>
        </w:rPr>
        <w:fldChar w:fldCharType="begin"/>
      </w:r>
      <w:r>
        <w:rPr>
          <w:rFonts w:ascii="Times New Roman"/>
          <w:snapToGrid w:val="0"/>
          <w:color w:val="auto"/>
          <w:spacing w:val="-6"/>
          <w:kern w:val="21"/>
          <w:sz w:val="24"/>
          <w:szCs w:val="24"/>
        </w:rPr>
        <w:instrText xml:space="preserve"> = 7 \* GB3 \* MERGEFORMAT </w:instrText>
      </w:r>
      <w:r>
        <w:rPr>
          <w:rFonts w:ascii="Times New Roman"/>
          <w:snapToGrid w:val="0"/>
          <w:color w:val="auto"/>
          <w:spacing w:val="-6"/>
          <w:kern w:val="21"/>
          <w:sz w:val="24"/>
          <w:szCs w:val="24"/>
        </w:rPr>
        <w:fldChar w:fldCharType="separate"/>
      </w:r>
      <w:r>
        <w:rPr>
          <w:rFonts w:hint="eastAsia" w:hAnsi="宋体" w:cs="宋体"/>
          <w:color w:val="auto"/>
          <w:sz w:val="24"/>
          <w:szCs w:val="24"/>
        </w:rPr>
        <w:t>⑦</w:t>
      </w:r>
      <w:r>
        <w:rPr>
          <w:rFonts w:ascii="Times New Roman"/>
          <w:snapToGrid w:val="0"/>
          <w:color w:val="auto"/>
          <w:spacing w:val="-6"/>
          <w:kern w:val="21"/>
          <w:sz w:val="24"/>
          <w:szCs w:val="24"/>
        </w:rPr>
        <w:fldChar w:fldCharType="end"/>
      </w:r>
      <w:r>
        <w:rPr>
          <w:rFonts w:ascii="Times New Roman"/>
          <w:snapToGrid w:val="0"/>
          <w:color w:val="auto"/>
          <w:spacing w:val="-6"/>
          <w:kern w:val="21"/>
          <w:sz w:val="24"/>
          <w:szCs w:val="24"/>
        </w:rPr>
        <w:t>=</w:t>
      </w:r>
      <w:r>
        <w:rPr>
          <w:rFonts w:ascii="Times New Roman"/>
          <w:snapToGrid w:val="0"/>
          <w:color w:val="auto"/>
          <w:spacing w:val="-16"/>
          <w:kern w:val="21"/>
          <w:sz w:val="24"/>
          <w:szCs w:val="24"/>
        </w:rPr>
        <w:fldChar w:fldCharType="begin"/>
      </w:r>
      <w:r>
        <w:rPr>
          <w:rFonts w:ascii="Times New Roman"/>
          <w:snapToGrid w:val="0"/>
          <w:color w:val="auto"/>
          <w:spacing w:val="-16"/>
          <w:kern w:val="21"/>
          <w:sz w:val="24"/>
          <w:szCs w:val="24"/>
        </w:rPr>
        <w:instrText xml:space="preserve"> = 6 \* GB3 \* MERGEFORMAT </w:instrText>
      </w:r>
      <w:r>
        <w:rPr>
          <w:rFonts w:ascii="Times New Roman"/>
          <w:snapToGrid w:val="0"/>
          <w:color w:val="auto"/>
          <w:spacing w:val="-16"/>
          <w:kern w:val="21"/>
          <w:sz w:val="24"/>
          <w:szCs w:val="24"/>
        </w:rPr>
        <w:fldChar w:fldCharType="separate"/>
      </w:r>
      <w:r>
        <w:rPr>
          <w:rFonts w:hint="eastAsia" w:hAnsi="宋体" w:cs="宋体"/>
          <w:color w:val="auto"/>
          <w:sz w:val="24"/>
          <w:szCs w:val="24"/>
        </w:rPr>
        <w:t>⑥</w:t>
      </w:r>
      <w:r>
        <w:rPr>
          <w:rFonts w:ascii="Times New Roman"/>
          <w:snapToGrid w:val="0"/>
          <w:color w:val="auto"/>
          <w:spacing w:val="-16"/>
          <w:kern w:val="21"/>
          <w:sz w:val="24"/>
          <w:szCs w:val="24"/>
        </w:rPr>
        <w:fldChar w:fldCharType="end"/>
      </w:r>
      <w:r>
        <w:rPr>
          <w:rFonts w:ascii="Times New Roman"/>
          <w:snapToGrid w:val="0"/>
          <w:color w:val="auto"/>
          <w:spacing w:val="-16"/>
          <w:kern w:val="21"/>
          <w:sz w:val="24"/>
          <w:szCs w:val="24"/>
        </w:rPr>
        <w:t>-</w:t>
      </w:r>
      <w:r>
        <w:rPr>
          <w:rFonts w:ascii="Times New Roman"/>
          <w:snapToGrid w:val="0"/>
          <w:color w:val="auto"/>
          <w:spacing w:val="-6"/>
          <w:kern w:val="21"/>
          <w:sz w:val="24"/>
          <w:szCs w:val="24"/>
        </w:rPr>
        <w:fldChar w:fldCharType="begin"/>
      </w:r>
      <w:r>
        <w:rPr>
          <w:rFonts w:ascii="Times New Roman"/>
          <w:snapToGrid w:val="0"/>
          <w:color w:val="auto"/>
          <w:spacing w:val="-6"/>
          <w:kern w:val="21"/>
          <w:sz w:val="24"/>
          <w:szCs w:val="24"/>
        </w:rPr>
        <w:instrText xml:space="preserve"> = 1 \* GB3 \* MERGEFORMAT </w:instrText>
      </w:r>
      <w:r>
        <w:rPr>
          <w:rFonts w:ascii="Times New Roman"/>
          <w:snapToGrid w:val="0"/>
          <w:color w:val="auto"/>
          <w:spacing w:val="-6"/>
          <w:kern w:val="21"/>
          <w:sz w:val="24"/>
          <w:szCs w:val="24"/>
        </w:rPr>
        <w:fldChar w:fldCharType="separate"/>
      </w:r>
      <w:r>
        <w:rPr>
          <w:rFonts w:hint="eastAsia" w:hAnsi="宋体" w:cs="宋体"/>
          <w:color w:val="auto"/>
          <w:sz w:val="24"/>
          <w:szCs w:val="24"/>
        </w:rPr>
        <w:t>①</w:t>
      </w:r>
      <w:r>
        <w:rPr>
          <w:rFonts w:ascii="Times New Roman"/>
          <w:snapToGrid w:val="0"/>
          <w:color w:val="auto"/>
          <w:spacing w:val="-6"/>
          <w:kern w:val="21"/>
          <w:sz w:val="24"/>
          <w:szCs w:val="24"/>
        </w:rPr>
        <w:fldChar w:fldCharType="end"/>
      </w:r>
    </w:p>
    <w:p w14:paraId="13DB516D">
      <w:pPr>
        <w:pStyle w:val="62"/>
        <w:rPr>
          <w:rFonts w:hint="eastAsia" w:ascii="Times New Roman" w:hAnsi="Times New Roman" w:eastAsia="宋体" w:cs="Times New Roman"/>
          <w:color w:val="auto"/>
        </w:rPr>
      </w:pPr>
      <w:bookmarkStart w:id="17" w:name="_Toc23106"/>
      <w:r>
        <w:rPr>
          <w:rFonts w:hint="eastAsia" w:ascii="Times New Roman" w:hAnsi="Times New Roman" w:eastAsia="宋体" w:cs="Times New Roman"/>
          <w:color w:val="auto"/>
        </w:rPr>
        <w:t>附件</w:t>
      </w:r>
      <w:r>
        <w:rPr>
          <w:rFonts w:hint="eastAsia" w:ascii="Times New Roman" w:hAnsi="Times New Roman" w:eastAsia="宋体" w:cs="Times New Roman"/>
          <w:color w:val="auto"/>
          <w:lang w:val="en-US" w:eastAsia="zh-CN"/>
        </w:rPr>
        <w:t>1</w:t>
      </w:r>
      <w:r>
        <w:rPr>
          <w:rFonts w:hint="eastAsia" w:ascii="Times New Roman" w:hAnsi="Times New Roman" w:eastAsia="宋体" w:cs="Times New Roman"/>
          <w:color w:val="auto"/>
        </w:rPr>
        <w:t>：营业执照</w:t>
      </w:r>
      <w:bookmarkEnd w:id="17"/>
    </w:p>
    <w:p w14:paraId="2A13312A">
      <w:pPr>
        <w:pStyle w:val="61"/>
        <w:keepNext w:val="0"/>
        <w:keepLines w:val="0"/>
        <w:pageBreakBefore w:val="0"/>
        <w:widowControl w:val="0"/>
        <w:kinsoku/>
        <w:wordWrap/>
        <w:overflowPunct/>
        <w:topLinePunct w:val="0"/>
        <w:autoSpaceDE/>
        <w:autoSpaceDN/>
        <w:bidi w:val="0"/>
        <w:adjustRightInd/>
        <w:snapToGrid/>
        <w:spacing w:line="240" w:lineRule="auto"/>
        <w:ind w:firstLine="0" w:firstLineChars="0"/>
        <w:jc w:val="both"/>
        <w:textAlignment w:val="auto"/>
        <w:rPr>
          <w:rFonts w:hint="eastAsia" w:eastAsia="宋体"/>
          <w:color w:val="auto"/>
          <w:lang w:eastAsia="zh-CN"/>
        </w:rPr>
      </w:pPr>
      <w:r>
        <w:drawing>
          <wp:inline distT="0" distB="0" distL="114300" distR="114300">
            <wp:extent cx="8741410" cy="4680585"/>
            <wp:effectExtent l="0" t="0" r="2540" b="5715"/>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31"/>
                    <a:stretch>
                      <a:fillRect/>
                    </a:stretch>
                  </pic:blipFill>
                  <pic:spPr>
                    <a:xfrm>
                      <a:off x="0" y="0"/>
                      <a:ext cx="8741410" cy="4680585"/>
                    </a:xfrm>
                    <a:prstGeom prst="rect">
                      <a:avLst/>
                    </a:prstGeom>
                    <a:noFill/>
                    <a:ln>
                      <a:noFill/>
                    </a:ln>
                  </pic:spPr>
                </pic:pic>
              </a:graphicData>
            </a:graphic>
          </wp:inline>
        </w:drawing>
      </w:r>
    </w:p>
    <w:p w14:paraId="0FCAF78B">
      <w:pPr>
        <w:pStyle w:val="56"/>
        <w:ind w:firstLine="0" w:firstLineChars="0"/>
        <w:jc w:val="center"/>
        <w:rPr>
          <w:color w:val="auto"/>
        </w:rPr>
        <w:sectPr>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5F795081">
      <w:pPr>
        <w:pStyle w:val="62"/>
        <w:rPr>
          <w:color w:val="auto"/>
        </w:rPr>
      </w:pPr>
      <w:bookmarkStart w:id="18" w:name="_Toc27228"/>
      <w:r>
        <w:rPr>
          <w:rFonts w:hint="eastAsia"/>
          <w:color w:val="auto"/>
        </w:rPr>
        <w:t>附件</w:t>
      </w:r>
      <w:r>
        <w:rPr>
          <w:rFonts w:hint="eastAsia"/>
          <w:color w:val="auto"/>
          <w:lang w:val="en-US" w:eastAsia="zh-CN"/>
        </w:rPr>
        <w:t>2</w:t>
      </w:r>
      <w:r>
        <w:rPr>
          <w:rFonts w:hint="eastAsia"/>
          <w:color w:val="auto"/>
        </w:rPr>
        <w:t>：租赁协议</w:t>
      </w:r>
      <w:bookmarkEnd w:id="18"/>
    </w:p>
    <w:p w14:paraId="1CBEE561">
      <w:pPr>
        <w:jc w:val="center"/>
        <w:rPr>
          <w:rFonts w:hint="eastAsia" w:eastAsia="宋体"/>
          <w:color w:val="auto"/>
          <w:lang w:eastAsia="zh-CN"/>
        </w:rPr>
      </w:pPr>
      <w:r>
        <w:drawing>
          <wp:inline distT="0" distB="0" distL="114300" distR="114300">
            <wp:extent cx="5314950" cy="7439025"/>
            <wp:effectExtent l="0" t="0" r="0" b="9525"/>
            <wp:docPr id="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
                    <pic:cNvPicPr>
                      <a:picLocks noChangeAspect="1"/>
                    </pic:cNvPicPr>
                  </pic:nvPicPr>
                  <pic:blipFill>
                    <a:blip r:embed="rId32"/>
                    <a:stretch>
                      <a:fillRect/>
                    </a:stretch>
                  </pic:blipFill>
                  <pic:spPr>
                    <a:xfrm>
                      <a:off x="0" y="0"/>
                      <a:ext cx="5314950" cy="7439025"/>
                    </a:xfrm>
                    <a:prstGeom prst="rect">
                      <a:avLst/>
                    </a:prstGeom>
                    <a:noFill/>
                    <a:ln>
                      <a:noFill/>
                    </a:ln>
                  </pic:spPr>
                </pic:pic>
              </a:graphicData>
            </a:graphic>
          </wp:inline>
        </w:drawing>
      </w:r>
      <w:r>
        <w:drawing>
          <wp:inline distT="0" distB="0" distL="114300" distR="114300">
            <wp:extent cx="5396865" cy="7479665"/>
            <wp:effectExtent l="0" t="0" r="13335" b="6985"/>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pic:cNvPicPr>
                  </pic:nvPicPr>
                  <pic:blipFill>
                    <a:blip r:embed="rId33"/>
                    <a:stretch>
                      <a:fillRect/>
                    </a:stretch>
                  </pic:blipFill>
                  <pic:spPr>
                    <a:xfrm>
                      <a:off x="0" y="0"/>
                      <a:ext cx="5396865" cy="7479665"/>
                    </a:xfrm>
                    <a:prstGeom prst="rect">
                      <a:avLst/>
                    </a:prstGeom>
                    <a:noFill/>
                    <a:ln>
                      <a:noFill/>
                    </a:ln>
                  </pic:spPr>
                </pic:pic>
              </a:graphicData>
            </a:graphic>
          </wp:inline>
        </w:drawing>
      </w:r>
    </w:p>
    <w:p w14:paraId="0E5BFC4D">
      <w:pPr>
        <w:jc w:val="center"/>
        <w:rPr>
          <w:rFonts w:hint="eastAsia" w:eastAsia="宋体"/>
          <w:color w:val="auto"/>
          <w:lang w:eastAsia="zh-CN"/>
        </w:rPr>
        <w:sectPr>
          <w:footerReference r:id="rId8" w:type="default"/>
          <w:pgSz w:w="11906" w:h="16838"/>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184B8B27">
      <w:pPr>
        <w:pStyle w:val="62"/>
        <w:rPr>
          <w:rFonts w:hint="default" w:eastAsia="宋体"/>
          <w:color w:val="auto"/>
          <w:lang w:val="en-US" w:eastAsia="zh-CN"/>
        </w:rPr>
      </w:pPr>
      <w:bookmarkStart w:id="19" w:name="_Toc20442"/>
      <w:r>
        <w:rPr>
          <w:color w:val="auto"/>
        </w:rPr>
        <w:t>附件</w:t>
      </w:r>
      <w:r>
        <w:rPr>
          <w:rFonts w:hint="eastAsia"/>
          <w:color w:val="auto"/>
          <w:lang w:val="en-US" w:eastAsia="zh-CN"/>
        </w:rPr>
        <w:t>3</w:t>
      </w:r>
      <w:r>
        <w:rPr>
          <w:color w:val="auto"/>
        </w:rPr>
        <w:t>：</w:t>
      </w:r>
      <w:r>
        <w:rPr>
          <w:rFonts w:hint="eastAsia"/>
          <w:color w:val="auto"/>
          <w:lang w:val="en-US" w:eastAsia="zh-CN"/>
        </w:rPr>
        <w:t>企业投资项目备案承诺书</w:t>
      </w:r>
      <w:bookmarkEnd w:id="19"/>
    </w:p>
    <w:p w14:paraId="1EAC95F9">
      <w:pPr>
        <w:pStyle w:val="82"/>
        <w:rPr>
          <w:rFonts w:hint="eastAsia" w:eastAsia="宋体"/>
          <w:b/>
          <w:bCs/>
          <w:color w:val="auto"/>
          <w:lang w:eastAsia="zh-CN"/>
        </w:rPr>
      </w:pPr>
      <w:r>
        <w:drawing>
          <wp:inline distT="0" distB="0" distL="114300" distR="114300">
            <wp:extent cx="5396230" cy="7297420"/>
            <wp:effectExtent l="0" t="0" r="13970" b="1778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34"/>
                    <a:stretch>
                      <a:fillRect/>
                    </a:stretch>
                  </pic:blipFill>
                  <pic:spPr>
                    <a:xfrm>
                      <a:off x="0" y="0"/>
                      <a:ext cx="5396230" cy="7297420"/>
                    </a:xfrm>
                    <a:prstGeom prst="rect">
                      <a:avLst/>
                    </a:prstGeom>
                    <a:noFill/>
                    <a:ln>
                      <a:noFill/>
                    </a:ln>
                  </pic:spPr>
                </pic:pic>
              </a:graphicData>
            </a:graphic>
          </wp:inline>
        </w:drawing>
      </w:r>
    </w:p>
    <w:p w14:paraId="443F7A2D">
      <w:pPr>
        <w:pStyle w:val="82"/>
        <w:rPr>
          <w:color w:val="auto"/>
        </w:rPr>
      </w:pPr>
    </w:p>
    <w:p w14:paraId="1F63065F">
      <w:pPr>
        <w:pStyle w:val="61"/>
        <w:ind w:firstLine="0" w:firstLineChars="0"/>
        <w:rPr>
          <w:b/>
          <w:bCs/>
          <w:snapToGrid w:val="0"/>
          <w:color w:val="auto"/>
        </w:rPr>
      </w:pPr>
    </w:p>
    <w:p w14:paraId="5043FCE9">
      <w:pPr>
        <w:pStyle w:val="61"/>
        <w:ind w:firstLine="0" w:firstLineChars="0"/>
        <w:rPr>
          <w:b/>
          <w:bCs/>
          <w:snapToGrid w:val="0"/>
          <w:color w:val="auto"/>
        </w:rPr>
        <w:sectPr>
          <w:pgSz w:w="11906" w:h="16838"/>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5644EBFE">
      <w:pPr>
        <w:pStyle w:val="62"/>
        <w:rPr>
          <w:rFonts w:hint="eastAsia"/>
          <w:color w:val="auto"/>
          <w:lang w:val="en-US" w:eastAsia="zh-CN"/>
        </w:rPr>
      </w:pPr>
      <w:bookmarkStart w:id="20" w:name="_Toc6897"/>
      <w:r>
        <w:rPr>
          <w:color w:val="auto"/>
        </w:rPr>
        <w:t>附件</w:t>
      </w:r>
      <w:r>
        <w:rPr>
          <w:rFonts w:hint="eastAsia"/>
          <w:color w:val="auto"/>
          <w:lang w:val="en-US" w:eastAsia="zh-CN"/>
        </w:rPr>
        <w:t>4</w:t>
      </w:r>
      <w:r>
        <w:rPr>
          <w:color w:val="auto"/>
        </w:rPr>
        <w:t>：</w:t>
      </w:r>
      <w:r>
        <w:rPr>
          <w:rFonts w:hint="eastAsia"/>
          <w:color w:val="auto"/>
          <w:lang w:val="en-US" w:eastAsia="zh-CN"/>
        </w:rPr>
        <w:t>土地证</w:t>
      </w:r>
      <w:bookmarkEnd w:id="20"/>
    </w:p>
    <w:p w14:paraId="4C20F3D7">
      <w:pPr>
        <w:pStyle w:val="62"/>
        <w:outlineLvl w:val="9"/>
        <w:rPr>
          <w:rFonts w:hint="default"/>
          <w:color w:val="auto"/>
          <w:lang w:val="en-US" w:eastAsia="zh-CN"/>
        </w:rPr>
      </w:pPr>
      <w:r>
        <w:drawing>
          <wp:inline distT="0" distB="0" distL="114300" distR="114300">
            <wp:extent cx="8742045" cy="5000625"/>
            <wp:effectExtent l="0" t="0" r="1905" b="9525"/>
            <wp:docPr id="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3"/>
                    <pic:cNvPicPr>
                      <a:picLocks noChangeAspect="1"/>
                    </pic:cNvPicPr>
                  </pic:nvPicPr>
                  <pic:blipFill>
                    <a:blip r:embed="rId35"/>
                    <a:stretch>
                      <a:fillRect/>
                    </a:stretch>
                  </pic:blipFill>
                  <pic:spPr>
                    <a:xfrm>
                      <a:off x="0" y="0"/>
                      <a:ext cx="8742045" cy="5000625"/>
                    </a:xfrm>
                    <a:prstGeom prst="rect">
                      <a:avLst/>
                    </a:prstGeom>
                    <a:noFill/>
                    <a:ln>
                      <a:noFill/>
                    </a:ln>
                  </pic:spPr>
                </pic:pic>
              </a:graphicData>
            </a:graphic>
          </wp:inline>
        </w:drawing>
      </w:r>
    </w:p>
    <w:p w14:paraId="4D5DEDF4">
      <w:pPr>
        <w:pStyle w:val="61"/>
        <w:ind w:firstLine="0" w:firstLineChars="0"/>
        <w:rPr>
          <w:b/>
          <w:bCs/>
          <w:snapToGrid w:val="0"/>
          <w:color w:val="auto"/>
        </w:rPr>
        <w:sectPr>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1D93D023">
      <w:pPr>
        <w:pStyle w:val="62"/>
        <w:outlineLvl w:val="9"/>
        <w:rPr>
          <w:rFonts w:hint="eastAsia"/>
          <w:color w:val="auto"/>
          <w:lang w:val="en-US" w:eastAsia="zh-CN"/>
        </w:rPr>
      </w:pPr>
      <w:r>
        <w:drawing>
          <wp:inline distT="0" distB="0" distL="114300" distR="114300">
            <wp:extent cx="8101330" cy="4990465"/>
            <wp:effectExtent l="0" t="0" r="635" b="13970"/>
            <wp:docPr id="3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4"/>
                    <pic:cNvPicPr>
                      <a:picLocks noChangeAspect="1"/>
                    </pic:cNvPicPr>
                  </pic:nvPicPr>
                  <pic:blipFill>
                    <a:blip r:embed="rId36"/>
                    <a:stretch>
                      <a:fillRect/>
                    </a:stretch>
                  </pic:blipFill>
                  <pic:spPr>
                    <a:xfrm rot="16200000">
                      <a:off x="0" y="0"/>
                      <a:ext cx="8101330" cy="4990465"/>
                    </a:xfrm>
                    <a:prstGeom prst="rect">
                      <a:avLst/>
                    </a:prstGeom>
                    <a:noFill/>
                    <a:ln>
                      <a:noFill/>
                    </a:ln>
                  </pic:spPr>
                </pic:pic>
              </a:graphicData>
            </a:graphic>
          </wp:inline>
        </w:drawing>
      </w:r>
    </w:p>
    <w:p w14:paraId="7D0F8632">
      <w:pPr>
        <w:pStyle w:val="61"/>
        <w:ind w:firstLine="0" w:firstLineChars="0"/>
        <w:rPr>
          <w:rFonts w:hint="default" w:eastAsia="宋体"/>
          <w:b/>
          <w:bCs/>
          <w:snapToGrid w:val="0"/>
          <w:color w:val="auto"/>
          <w:lang w:val="en-US" w:eastAsia="zh-CN"/>
        </w:rPr>
        <w:sectPr>
          <w:pgSz w:w="11906" w:h="16838"/>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5A48DABE">
      <w:pPr>
        <w:pStyle w:val="61"/>
        <w:ind w:firstLine="0" w:firstLineChars="0"/>
        <w:outlineLvl w:val="1"/>
        <w:rPr>
          <w:rFonts w:hint="eastAsia"/>
          <w:b/>
          <w:bCs/>
          <w:snapToGrid w:val="0"/>
          <w:color w:val="auto"/>
          <w:lang w:val="en-US" w:eastAsia="zh-CN"/>
        </w:rPr>
      </w:pPr>
      <w:bookmarkStart w:id="21" w:name="_Toc20521"/>
      <w:r>
        <w:rPr>
          <w:rFonts w:hint="eastAsia"/>
          <w:b/>
          <w:bCs/>
          <w:snapToGrid w:val="0"/>
          <w:color w:val="auto"/>
          <w:lang w:val="en-US" w:eastAsia="zh-CN"/>
        </w:rPr>
        <w:t>附件5：检测报告</w:t>
      </w:r>
      <w:bookmarkEnd w:id="21"/>
    </w:p>
    <w:p w14:paraId="1FC34F36">
      <w:pPr>
        <w:pStyle w:val="61"/>
        <w:ind w:firstLine="0" w:firstLineChars="0"/>
        <w:outlineLvl w:val="9"/>
        <w:rPr>
          <w:rFonts w:hint="eastAsia"/>
          <w:b/>
          <w:bCs/>
          <w:snapToGrid w:val="0"/>
          <w:color w:val="auto"/>
          <w:lang w:val="en-US" w:eastAsia="zh-CN"/>
        </w:rPr>
      </w:pPr>
    </w:p>
    <w:p w14:paraId="6D8A73BE">
      <w:pPr>
        <w:pStyle w:val="61"/>
        <w:ind w:firstLine="0" w:firstLineChars="0"/>
        <w:outlineLvl w:val="1"/>
        <w:rPr>
          <w:rFonts w:hint="default"/>
          <w:b/>
          <w:bCs/>
          <w:snapToGrid w:val="0"/>
          <w:color w:val="auto"/>
          <w:lang w:val="en-US" w:eastAsia="zh-CN"/>
        </w:rPr>
        <w:sectPr>
          <w:pgSz w:w="11906" w:h="16838"/>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bookmarkStart w:id="22" w:name="_Toc4470"/>
      <w:r>
        <w:drawing>
          <wp:inline distT="0" distB="0" distL="114300" distR="114300">
            <wp:extent cx="5048250" cy="6962775"/>
            <wp:effectExtent l="0" t="0" r="0" b="952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37"/>
                    <a:stretch>
                      <a:fillRect/>
                    </a:stretch>
                  </pic:blipFill>
                  <pic:spPr>
                    <a:xfrm>
                      <a:off x="0" y="0"/>
                      <a:ext cx="5048250" cy="6962775"/>
                    </a:xfrm>
                    <a:prstGeom prst="rect">
                      <a:avLst/>
                    </a:prstGeom>
                    <a:noFill/>
                    <a:ln>
                      <a:noFill/>
                    </a:ln>
                  </pic:spPr>
                </pic:pic>
              </a:graphicData>
            </a:graphic>
          </wp:inline>
        </w:drawing>
      </w:r>
      <w:r>
        <w:drawing>
          <wp:inline distT="0" distB="0" distL="114300" distR="114300">
            <wp:extent cx="5067300" cy="8213725"/>
            <wp:effectExtent l="0" t="0" r="0" b="1587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38"/>
                    <a:stretch>
                      <a:fillRect/>
                    </a:stretch>
                  </pic:blipFill>
                  <pic:spPr>
                    <a:xfrm>
                      <a:off x="0" y="0"/>
                      <a:ext cx="5067300" cy="8213725"/>
                    </a:xfrm>
                    <a:prstGeom prst="rect">
                      <a:avLst/>
                    </a:prstGeom>
                    <a:noFill/>
                    <a:ln>
                      <a:noFill/>
                    </a:ln>
                  </pic:spPr>
                </pic:pic>
              </a:graphicData>
            </a:graphic>
          </wp:inline>
        </w:drawing>
      </w:r>
      <w:r>
        <w:drawing>
          <wp:inline distT="0" distB="0" distL="114300" distR="114300">
            <wp:extent cx="5057775" cy="8502650"/>
            <wp:effectExtent l="0" t="0" r="9525" b="12700"/>
            <wp:docPr id="1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
                    <pic:cNvPicPr>
                      <a:picLocks noChangeAspect="1"/>
                    </pic:cNvPicPr>
                  </pic:nvPicPr>
                  <pic:blipFill>
                    <a:blip r:embed="rId39"/>
                    <a:stretch>
                      <a:fillRect/>
                    </a:stretch>
                  </pic:blipFill>
                  <pic:spPr>
                    <a:xfrm>
                      <a:off x="0" y="0"/>
                      <a:ext cx="5057775" cy="8502650"/>
                    </a:xfrm>
                    <a:prstGeom prst="rect">
                      <a:avLst/>
                    </a:prstGeom>
                    <a:noFill/>
                    <a:ln>
                      <a:noFill/>
                    </a:ln>
                  </pic:spPr>
                </pic:pic>
              </a:graphicData>
            </a:graphic>
          </wp:inline>
        </w:drawing>
      </w:r>
      <w:bookmarkEnd w:id="22"/>
    </w:p>
    <w:p w14:paraId="40624B90">
      <w:pPr>
        <w:pStyle w:val="61"/>
        <w:ind w:firstLine="0" w:firstLineChars="0"/>
        <w:sectPr>
          <w:pgSz w:w="11906" w:h="16838"/>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5399405" cy="7236460"/>
            <wp:effectExtent l="0" t="0" r="10795" b="2540"/>
            <wp:docPr id="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pic:cNvPicPr>
                      <a:picLocks noChangeAspect="1"/>
                    </pic:cNvPicPr>
                  </pic:nvPicPr>
                  <pic:blipFill>
                    <a:blip r:embed="rId40"/>
                    <a:stretch>
                      <a:fillRect/>
                    </a:stretch>
                  </pic:blipFill>
                  <pic:spPr>
                    <a:xfrm>
                      <a:off x="0" y="0"/>
                      <a:ext cx="5399405" cy="7236460"/>
                    </a:xfrm>
                    <a:prstGeom prst="rect">
                      <a:avLst/>
                    </a:prstGeom>
                    <a:noFill/>
                    <a:ln>
                      <a:noFill/>
                    </a:ln>
                  </pic:spPr>
                </pic:pic>
              </a:graphicData>
            </a:graphic>
          </wp:inline>
        </w:drawing>
      </w:r>
    </w:p>
    <w:p w14:paraId="6F791517">
      <w:pPr>
        <w:pStyle w:val="61"/>
        <w:ind w:firstLine="0" w:firstLineChars="0"/>
        <w:outlineLvl w:val="1"/>
        <w:rPr>
          <w:rFonts w:hint="eastAsia"/>
          <w:b/>
          <w:bCs/>
          <w:snapToGrid w:val="0"/>
          <w:color w:val="auto"/>
          <w:lang w:val="en-US" w:eastAsia="zh-CN"/>
        </w:rPr>
      </w:pPr>
      <w:bookmarkStart w:id="23" w:name="_Toc32097"/>
      <w:r>
        <w:rPr>
          <w:rFonts w:hint="eastAsia"/>
          <w:b/>
          <w:bCs/>
          <w:snapToGrid w:val="0"/>
          <w:color w:val="auto"/>
          <w:lang w:val="en-US" w:eastAsia="zh-CN"/>
        </w:rPr>
        <w:t>附件6：生态环境分区管控分析报告</w:t>
      </w:r>
      <w:bookmarkEnd w:id="23"/>
    </w:p>
    <w:p w14:paraId="55F1C7DF">
      <w:pPr>
        <w:pStyle w:val="61"/>
        <w:ind w:firstLine="0" w:firstLineChars="0"/>
        <w:outlineLvl w:val="9"/>
        <w:rPr>
          <w:rFonts w:hint="eastAsia"/>
          <w:b/>
          <w:bCs/>
          <w:snapToGrid w:val="0"/>
          <w:color w:val="auto"/>
          <w:lang w:val="en-US" w:eastAsia="zh-CN"/>
        </w:rPr>
      </w:pPr>
      <w:r>
        <w:drawing>
          <wp:inline distT="0" distB="0" distL="114300" distR="114300">
            <wp:extent cx="7798435" cy="4732655"/>
            <wp:effectExtent l="0" t="0" r="12065" b="10795"/>
            <wp:docPr id="4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8"/>
                    <pic:cNvPicPr>
                      <a:picLocks noChangeAspect="1"/>
                    </pic:cNvPicPr>
                  </pic:nvPicPr>
                  <pic:blipFill>
                    <a:blip r:embed="rId41"/>
                    <a:stretch>
                      <a:fillRect/>
                    </a:stretch>
                  </pic:blipFill>
                  <pic:spPr>
                    <a:xfrm>
                      <a:off x="0" y="0"/>
                      <a:ext cx="7798435" cy="4732655"/>
                    </a:xfrm>
                    <a:prstGeom prst="rect">
                      <a:avLst/>
                    </a:prstGeom>
                    <a:noFill/>
                    <a:ln>
                      <a:noFill/>
                    </a:ln>
                  </pic:spPr>
                </pic:pic>
              </a:graphicData>
            </a:graphic>
          </wp:inline>
        </w:drawing>
      </w:r>
    </w:p>
    <w:p w14:paraId="5509B42A">
      <w:pPr>
        <w:pStyle w:val="61"/>
        <w:ind w:firstLine="0" w:firstLineChars="0"/>
        <w:rPr>
          <w:rFonts w:hint="default"/>
          <w:lang w:val="en-US" w:eastAsia="zh-CN"/>
        </w:rPr>
        <w:sectPr>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8742680" cy="5473700"/>
            <wp:effectExtent l="0" t="0" r="1270" b="1270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42"/>
                    <a:stretch>
                      <a:fillRect/>
                    </a:stretch>
                  </pic:blipFill>
                  <pic:spPr>
                    <a:xfrm>
                      <a:off x="0" y="0"/>
                      <a:ext cx="8742680" cy="5473700"/>
                    </a:xfrm>
                    <a:prstGeom prst="rect">
                      <a:avLst/>
                    </a:prstGeom>
                    <a:noFill/>
                    <a:ln>
                      <a:noFill/>
                    </a:ln>
                  </pic:spPr>
                </pic:pic>
              </a:graphicData>
            </a:graphic>
          </wp:inline>
        </w:drawing>
      </w:r>
      <w:r>
        <w:drawing>
          <wp:inline distT="0" distB="0" distL="114300" distR="114300">
            <wp:extent cx="8746490" cy="5546725"/>
            <wp:effectExtent l="0" t="0" r="16510" b="15875"/>
            <wp:docPr id="5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9"/>
                    <pic:cNvPicPr>
                      <a:picLocks noChangeAspect="1"/>
                    </pic:cNvPicPr>
                  </pic:nvPicPr>
                  <pic:blipFill>
                    <a:blip r:embed="rId43"/>
                    <a:stretch>
                      <a:fillRect/>
                    </a:stretch>
                  </pic:blipFill>
                  <pic:spPr>
                    <a:xfrm>
                      <a:off x="0" y="0"/>
                      <a:ext cx="8746490" cy="5546725"/>
                    </a:xfrm>
                    <a:prstGeom prst="rect">
                      <a:avLst/>
                    </a:prstGeom>
                    <a:noFill/>
                    <a:ln>
                      <a:noFill/>
                    </a:ln>
                  </pic:spPr>
                </pic:pic>
              </a:graphicData>
            </a:graphic>
          </wp:inline>
        </w:drawing>
      </w:r>
      <w:r>
        <w:drawing>
          <wp:inline distT="0" distB="0" distL="114300" distR="114300">
            <wp:extent cx="8742680" cy="5582285"/>
            <wp:effectExtent l="0" t="0" r="1270" b="18415"/>
            <wp:docPr id="2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pic:cNvPicPr>
                      <a:picLocks noChangeAspect="1"/>
                    </pic:cNvPicPr>
                  </pic:nvPicPr>
                  <pic:blipFill>
                    <a:blip r:embed="rId44"/>
                    <a:stretch>
                      <a:fillRect/>
                    </a:stretch>
                  </pic:blipFill>
                  <pic:spPr>
                    <a:xfrm>
                      <a:off x="0" y="0"/>
                      <a:ext cx="8742680" cy="5582285"/>
                    </a:xfrm>
                    <a:prstGeom prst="rect">
                      <a:avLst/>
                    </a:prstGeom>
                    <a:noFill/>
                    <a:ln>
                      <a:noFill/>
                    </a:ln>
                  </pic:spPr>
                </pic:pic>
              </a:graphicData>
            </a:graphic>
          </wp:inline>
        </w:drawing>
      </w:r>
      <w:r>
        <w:drawing>
          <wp:inline distT="0" distB="0" distL="114300" distR="114300">
            <wp:extent cx="8742680" cy="5675630"/>
            <wp:effectExtent l="0" t="0" r="1270" b="1270"/>
            <wp:docPr id="3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6"/>
                    <pic:cNvPicPr>
                      <a:picLocks noChangeAspect="1"/>
                    </pic:cNvPicPr>
                  </pic:nvPicPr>
                  <pic:blipFill>
                    <a:blip r:embed="rId45"/>
                    <a:stretch>
                      <a:fillRect/>
                    </a:stretch>
                  </pic:blipFill>
                  <pic:spPr>
                    <a:xfrm>
                      <a:off x="0" y="0"/>
                      <a:ext cx="8742680" cy="5675630"/>
                    </a:xfrm>
                    <a:prstGeom prst="rect">
                      <a:avLst/>
                    </a:prstGeom>
                    <a:noFill/>
                    <a:ln>
                      <a:noFill/>
                    </a:ln>
                  </pic:spPr>
                </pic:pic>
              </a:graphicData>
            </a:graphic>
          </wp:inline>
        </w:drawing>
      </w:r>
      <w:r>
        <w:drawing>
          <wp:inline distT="0" distB="0" distL="114300" distR="114300">
            <wp:extent cx="8745220" cy="5721985"/>
            <wp:effectExtent l="0" t="0" r="17780" b="12065"/>
            <wp:docPr id="3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7"/>
                    <pic:cNvPicPr>
                      <a:picLocks noChangeAspect="1"/>
                    </pic:cNvPicPr>
                  </pic:nvPicPr>
                  <pic:blipFill>
                    <a:blip r:embed="rId46"/>
                    <a:stretch>
                      <a:fillRect/>
                    </a:stretch>
                  </pic:blipFill>
                  <pic:spPr>
                    <a:xfrm>
                      <a:off x="0" y="0"/>
                      <a:ext cx="8745220" cy="5721985"/>
                    </a:xfrm>
                    <a:prstGeom prst="rect">
                      <a:avLst/>
                    </a:prstGeom>
                    <a:noFill/>
                    <a:ln>
                      <a:noFill/>
                    </a:ln>
                  </pic:spPr>
                </pic:pic>
              </a:graphicData>
            </a:graphic>
          </wp:inline>
        </w:drawing>
      </w:r>
      <w:r>
        <w:drawing>
          <wp:inline distT="0" distB="0" distL="114300" distR="114300">
            <wp:extent cx="8745220" cy="5746115"/>
            <wp:effectExtent l="0" t="0" r="17780" b="6985"/>
            <wp:docPr id="5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0"/>
                    <pic:cNvPicPr>
                      <a:picLocks noChangeAspect="1"/>
                    </pic:cNvPicPr>
                  </pic:nvPicPr>
                  <pic:blipFill>
                    <a:blip r:embed="rId47"/>
                    <a:stretch>
                      <a:fillRect/>
                    </a:stretch>
                  </pic:blipFill>
                  <pic:spPr>
                    <a:xfrm>
                      <a:off x="0" y="0"/>
                      <a:ext cx="8745220" cy="5746115"/>
                    </a:xfrm>
                    <a:prstGeom prst="rect">
                      <a:avLst/>
                    </a:prstGeom>
                    <a:noFill/>
                    <a:ln>
                      <a:noFill/>
                    </a:ln>
                  </pic:spPr>
                </pic:pic>
              </a:graphicData>
            </a:graphic>
          </wp:inline>
        </w:drawing>
      </w:r>
      <w:r>
        <w:drawing>
          <wp:inline distT="0" distB="0" distL="114300" distR="114300">
            <wp:extent cx="8743950" cy="5899150"/>
            <wp:effectExtent l="0" t="0" r="0" b="6350"/>
            <wp:docPr id="5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1"/>
                    <pic:cNvPicPr>
                      <a:picLocks noChangeAspect="1"/>
                    </pic:cNvPicPr>
                  </pic:nvPicPr>
                  <pic:blipFill>
                    <a:blip r:embed="rId48"/>
                    <a:stretch>
                      <a:fillRect/>
                    </a:stretch>
                  </pic:blipFill>
                  <pic:spPr>
                    <a:xfrm>
                      <a:off x="0" y="0"/>
                      <a:ext cx="8743950" cy="5899150"/>
                    </a:xfrm>
                    <a:prstGeom prst="rect">
                      <a:avLst/>
                    </a:prstGeom>
                    <a:noFill/>
                    <a:ln>
                      <a:noFill/>
                    </a:ln>
                  </pic:spPr>
                </pic:pic>
              </a:graphicData>
            </a:graphic>
          </wp:inline>
        </w:drawing>
      </w:r>
      <w:r>
        <w:drawing>
          <wp:inline distT="0" distB="0" distL="114300" distR="114300">
            <wp:extent cx="8747760" cy="5803900"/>
            <wp:effectExtent l="0" t="0" r="15240" b="6350"/>
            <wp:docPr id="3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0"/>
                    <pic:cNvPicPr>
                      <a:picLocks noChangeAspect="1"/>
                    </pic:cNvPicPr>
                  </pic:nvPicPr>
                  <pic:blipFill>
                    <a:blip r:embed="rId49"/>
                    <a:stretch>
                      <a:fillRect/>
                    </a:stretch>
                  </pic:blipFill>
                  <pic:spPr>
                    <a:xfrm>
                      <a:off x="0" y="0"/>
                      <a:ext cx="8747760" cy="5803900"/>
                    </a:xfrm>
                    <a:prstGeom prst="rect">
                      <a:avLst/>
                    </a:prstGeom>
                    <a:noFill/>
                    <a:ln>
                      <a:noFill/>
                    </a:ln>
                  </pic:spPr>
                </pic:pic>
              </a:graphicData>
            </a:graphic>
          </wp:inline>
        </w:drawing>
      </w:r>
      <w:r>
        <w:drawing>
          <wp:inline distT="0" distB="0" distL="114300" distR="114300">
            <wp:extent cx="8743950" cy="5622290"/>
            <wp:effectExtent l="0" t="0" r="0" b="16510"/>
            <wp:docPr id="3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1"/>
                    <pic:cNvPicPr>
                      <a:picLocks noChangeAspect="1"/>
                    </pic:cNvPicPr>
                  </pic:nvPicPr>
                  <pic:blipFill>
                    <a:blip r:embed="rId50"/>
                    <a:stretch>
                      <a:fillRect/>
                    </a:stretch>
                  </pic:blipFill>
                  <pic:spPr>
                    <a:xfrm>
                      <a:off x="0" y="0"/>
                      <a:ext cx="8743950" cy="5622290"/>
                    </a:xfrm>
                    <a:prstGeom prst="rect">
                      <a:avLst/>
                    </a:prstGeom>
                    <a:noFill/>
                    <a:ln>
                      <a:noFill/>
                    </a:ln>
                  </pic:spPr>
                </pic:pic>
              </a:graphicData>
            </a:graphic>
          </wp:inline>
        </w:drawing>
      </w:r>
      <w:r>
        <w:drawing>
          <wp:inline distT="0" distB="0" distL="114300" distR="114300">
            <wp:extent cx="8738870" cy="5901690"/>
            <wp:effectExtent l="0" t="0" r="5080" b="3810"/>
            <wp:docPr id="4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2"/>
                    <pic:cNvPicPr>
                      <a:picLocks noChangeAspect="1"/>
                    </pic:cNvPicPr>
                  </pic:nvPicPr>
                  <pic:blipFill>
                    <a:blip r:embed="rId51"/>
                    <a:stretch>
                      <a:fillRect/>
                    </a:stretch>
                  </pic:blipFill>
                  <pic:spPr>
                    <a:xfrm>
                      <a:off x="0" y="0"/>
                      <a:ext cx="8738870" cy="5901690"/>
                    </a:xfrm>
                    <a:prstGeom prst="rect">
                      <a:avLst/>
                    </a:prstGeom>
                    <a:noFill/>
                    <a:ln>
                      <a:noFill/>
                    </a:ln>
                  </pic:spPr>
                </pic:pic>
              </a:graphicData>
            </a:graphic>
          </wp:inline>
        </w:drawing>
      </w:r>
      <w:r>
        <w:drawing>
          <wp:inline distT="0" distB="0" distL="114300" distR="114300">
            <wp:extent cx="8742045" cy="5764530"/>
            <wp:effectExtent l="0" t="0" r="1905" b="7620"/>
            <wp:docPr id="4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3"/>
                    <pic:cNvPicPr>
                      <a:picLocks noChangeAspect="1"/>
                    </pic:cNvPicPr>
                  </pic:nvPicPr>
                  <pic:blipFill>
                    <a:blip r:embed="rId52"/>
                    <a:stretch>
                      <a:fillRect/>
                    </a:stretch>
                  </pic:blipFill>
                  <pic:spPr>
                    <a:xfrm>
                      <a:off x="0" y="0"/>
                      <a:ext cx="8742045" cy="5764530"/>
                    </a:xfrm>
                    <a:prstGeom prst="rect">
                      <a:avLst/>
                    </a:prstGeom>
                    <a:noFill/>
                    <a:ln>
                      <a:noFill/>
                    </a:ln>
                  </pic:spPr>
                </pic:pic>
              </a:graphicData>
            </a:graphic>
          </wp:inline>
        </w:drawing>
      </w:r>
    </w:p>
    <w:p w14:paraId="01C67954">
      <w:pPr>
        <w:pStyle w:val="61"/>
        <w:ind w:firstLine="0" w:firstLineChars="0"/>
        <w:outlineLvl w:val="1"/>
        <w:rPr>
          <w:rFonts w:hint="default"/>
          <w:lang w:val="en-US" w:eastAsia="zh-CN"/>
        </w:rPr>
      </w:pPr>
      <w:bookmarkStart w:id="24" w:name="_Toc29213"/>
      <w:r>
        <w:rPr>
          <w:rFonts w:hint="eastAsia"/>
          <w:b/>
          <w:bCs/>
          <w:snapToGrid w:val="0"/>
          <w:color w:val="auto"/>
          <w:lang w:val="en-US" w:eastAsia="zh-CN"/>
        </w:rPr>
        <w:t>附件7：桦南县国土空间总体规划三区三线占地情况说明</w:t>
      </w:r>
      <w:bookmarkEnd w:id="24"/>
    </w:p>
    <w:p w14:paraId="1B4C3DB7">
      <w:pPr>
        <w:pStyle w:val="61"/>
        <w:ind w:firstLine="0" w:firstLineChars="0"/>
        <w:rPr>
          <w:rFonts w:hint="default"/>
          <w:lang w:val="en-US" w:eastAsia="zh-CN"/>
        </w:rPr>
        <w:sectPr>
          <w:pgSz w:w="11906" w:h="16838"/>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drawing>
          <wp:inline distT="0" distB="0" distL="114300" distR="114300">
            <wp:extent cx="4943475" cy="7388860"/>
            <wp:effectExtent l="0" t="0" r="9525" b="2540"/>
            <wp:docPr id="4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4"/>
                    <pic:cNvPicPr>
                      <a:picLocks noChangeAspect="1"/>
                    </pic:cNvPicPr>
                  </pic:nvPicPr>
                  <pic:blipFill>
                    <a:blip r:embed="rId53"/>
                    <a:stretch>
                      <a:fillRect/>
                    </a:stretch>
                  </pic:blipFill>
                  <pic:spPr>
                    <a:xfrm>
                      <a:off x="0" y="0"/>
                      <a:ext cx="4943475" cy="7388860"/>
                    </a:xfrm>
                    <a:prstGeom prst="rect">
                      <a:avLst/>
                    </a:prstGeom>
                    <a:noFill/>
                    <a:ln>
                      <a:noFill/>
                    </a:ln>
                  </pic:spPr>
                </pic:pic>
              </a:graphicData>
            </a:graphic>
          </wp:inline>
        </w:drawing>
      </w:r>
      <w:r>
        <w:drawing>
          <wp:inline distT="0" distB="0" distL="114300" distR="114300">
            <wp:extent cx="4905375" cy="7372350"/>
            <wp:effectExtent l="0" t="0" r="9525" b="0"/>
            <wp:docPr id="4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7"/>
                    <pic:cNvPicPr>
                      <a:picLocks noChangeAspect="1"/>
                    </pic:cNvPicPr>
                  </pic:nvPicPr>
                  <pic:blipFill>
                    <a:blip r:embed="rId54"/>
                    <a:stretch>
                      <a:fillRect/>
                    </a:stretch>
                  </pic:blipFill>
                  <pic:spPr>
                    <a:xfrm>
                      <a:off x="0" y="0"/>
                      <a:ext cx="4905375" cy="7372350"/>
                    </a:xfrm>
                    <a:prstGeom prst="rect">
                      <a:avLst/>
                    </a:prstGeom>
                    <a:noFill/>
                    <a:ln>
                      <a:noFill/>
                    </a:ln>
                  </pic:spPr>
                </pic:pic>
              </a:graphicData>
            </a:graphic>
          </wp:inline>
        </w:drawing>
      </w:r>
      <w:r>
        <w:drawing>
          <wp:inline distT="0" distB="0" distL="114300" distR="114300">
            <wp:extent cx="4581525" cy="8216265"/>
            <wp:effectExtent l="0" t="0" r="9525" b="13335"/>
            <wp:docPr id="4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6"/>
                    <pic:cNvPicPr>
                      <a:picLocks noChangeAspect="1"/>
                    </pic:cNvPicPr>
                  </pic:nvPicPr>
                  <pic:blipFill>
                    <a:blip r:embed="rId55"/>
                    <a:stretch>
                      <a:fillRect/>
                    </a:stretch>
                  </pic:blipFill>
                  <pic:spPr>
                    <a:xfrm>
                      <a:off x="0" y="0"/>
                      <a:ext cx="4581525" cy="8216265"/>
                    </a:xfrm>
                    <a:prstGeom prst="rect">
                      <a:avLst/>
                    </a:prstGeom>
                    <a:noFill/>
                    <a:ln>
                      <a:noFill/>
                    </a:ln>
                  </pic:spPr>
                </pic:pic>
              </a:graphicData>
            </a:graphic>
          </wp:inline>
        </w:drawing>
      </w:r>
    </w:p>
    <w:p w14:paraId="7A515E43">
      <w:pPr>
        <w:pStyle w:val="5"/>
        <w:outlineLvl w:val="1"/>
        <w:rPr>
          <w:rFonts w:ascii="Times New Roman" w:hAnsi="Times New Roman" w:eastAsia="宋体" w:cs="Times New Roman"/>
          <w:b/>
          <w:bCs w:val="0"/>
          <w:snapToGrid w:val="0"/>
          <w:color w:val="auto"/>
          <w:kern w:val="2"/>
          <w:sz w:val="21"/>
          <w:szCs w:val="21"/>
          <w:lang w:val="en-US" w:eastAsia="zh-CN" w:bidi="ar-SA"/>
        </w:rPr>
      </w:pPr>
      <w:bookmarkStart w:id="25" w:name="_Toc21154"/>
      <w:r>
        <w:rPr>
          <w:rFonts w:hint="default" w:ascii="Times New Roman" w:hAnsi="Times New Roman" w:eastAsia="宋体" w:cs="Times New Roman"/>
          <w:snapToGrid w:val="0"/>
          <w:color w:val="auto"/>
          <w:kern w:val="0"/>
          <w:sz w:val="24"/>
          <w:szCs w:val="24"/>
          <w:highlight w:val="none"/>
          <w:lang w:val="en-US" w:eastAsia="zh-CN" w:bidi="ar-SA"/>
        </w:rPr>
        <w:drawing>
          <wp:anchor distT="0" distB="0" distL="114300" distR="114300" simplePos="0" relativeHeight="251669504" behindDoc="0" locked="0" layoutInCell="1" allowOverlap="1">
            <wp:simplePos x="0" y="0"/>
            <wp:positionH relativeFrom="column">
              <wp:posOffset>6978015</wp:posOffset>
            </wp:positionH>
            <wp:positionV relativeFrom="paragraph">
              <wp:posOffset>615950</wp:posOffset>
            </wp:positionV>
            <wp:extent cx="812800" cy="861060"/>
            <wp:effectExtent l="0" t="0" r="6350" b="15240"/>
            <wp:wrapNone/>
            <wp:docPr id="55" name="图片 8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8533"/>
                    <pic:cNvPicPr>
                      <a:picLocks noChangeAspect="1"/>
                    </pic:cNvPicPr>
                  </pic:nvPicPr>
                  <pic:blipFill>
                    <a:blip r:embed="rId56"/>
                    <a:stretch>
                      <a:fillRect/>
                    </a:stretch>
                  </pic:blipFill>
                  <pic:spPr>
                    <a:xfrm>
                      <a:off x="0" y="0"/>
                      <a:ext cx="812800" cy="861060"/>
                    </a:xfrm>
                    <a:prstGeom prst="rect">
                      <a:avLst/>
                    </a:prstGeom>
                    <a:noFill/>
                    <a:ln>
                      <a:noFill/>
                    </a:ln>
                  </pic:spPr>
                </pic:pic>
              </a:graphicData>
            </a:graphic>
          </wp:anchor>
        </w:drawing>
      </w:r>
      <w:r>
        <w:rPr>
          <w:rFonts w:ascii="Times New Roman" w:hAnsi="Times New Roman" w:eastAsia="宋体" w:cs="Times New Roman"/>
          <w:b/>
          <w:bCs w:val="0"/>
          <w:snapToGrid w:val="0"/>
          <w:color w:val="auto"/>
          <w:kern w:val="2"/>
          <w:sz w:val="21"/>
          <w:szCs w:val="21"/>
          <w:lang w:val="en-US" w:eastAsia="zh-CN" w:bidi="ar-SA"/>
        </w:rPr>
        <w:t>附图</w:t>
      </w:r>
      <w:r>
        <w:rPr>
          <w:rFonts w:hint="eastAsia" w:ascii="Times New Roman" w:hAnsi="Times New Roman" w:eastAsia="宋体" w:cs="Times New Roman"/>
          <w:b/>
          <w:bCs w:val="0"/>
          <w:snapToGrid w:val="0"/>
          <w:color w:val="auto"/>
          <w:kern w:val="2"/>
          <w:sz w:val="21"/>
          <w:szCs w:val="21"/>
          <w:lang w:val="en-US" w:eastAsia="zh-CN" w:bidi="ar-SA"/>
        </w:rPr>
        <w:t>1</w:t>
      </w:r>
      <w:r>
        <w:rPr>
          <w:rFonts w:ascii="Times New Roman" w:hAnsi="Times New Roman" w:eastAsia="宋体" w:cs="Times New Roman"/>
          <w:b/>
          <w:bCs w:val="0"/>
          <w:snapToGrid w:val="0"/>
          <w:color w:val="auto"/>
          <w:kern w:val="2"/>
          <w:sz w:val="21"/>
          <w:szCs w:val="21"/>
          <w:lang w:val="en-US" w:eastAsia="zh-CN" w:bidi="ar-SA"/>
        </w:rPr>
        <w:t>：地理位置图</w:t>
      </w:r>
      <w:bookmarkEnd w:id="25"/>
    </w:p>
    <w:p w14:paraId="28A63E52">
      <w:pPr>
        <w:pStyle w:val="61"/>
        <w:ind w:firstLine="0" w:firstLineChars="0"/>
        <w:jc w:val="center"/>
        <w:rPr>
          <w:color w:val="auto"/>
        </w:rPr>
      </w:pPr>
      <w:r>
        <w:rPr>
          <w:sz w:val="24"/>
        </w:rPr>
        <mc:AlternateContent>
          <mc:Choice Requires="wps">
            <w:drawing>
              <wp:anchor distT="0" distB="0" distL="114300" distR="114300" simplePos="0" relativeHeight="251661312" behindDoc="0" locked="0" layoutInCell="1" allowOverlap="1">
                <wp:simplePos x="0" y="0"/>
                <wp:positionH relativeFrom="column">
                  <wp:posOffset>3382645</wp:posOffset>
                </wp:positionH>
                <wp:positionV relativeFrom="paragraph">
                  <wp:posOffset>1435100</wp:posOffset>
                </wp:positionV>
                <wp:extent cx="1030605" cy="295275"/>
                <wp:effectExtent l="6350" t="6350" r="10795" b="98425"/>
                <wp:wrapNone/>
                <wp:docPr id="26" name="矩形标注 26"/>
                <wp:cNvGraphicFramePr/>
                <a:graphic xmlns:a="http://schemas.openxmlformats.org/drawingml/2006/main">
                  <a:graphicData uri="http://schemas.microsoft.com/office/word/2010/wordprocessingShape">
                    <wps:wsp>
                      <wps:cNvSpPr/>
                      <wps:spPr>
                        <a:xfrm>
                          <a:off x="3890010" y="4446270"/>
                          <a:ext cx="1030605" cy="295275"/>
                        </a:xfrm>
                        <a:prstGeom prst="wedgeRectCallout">
                          <a:avLst>
                            <a:gd name="adj1" fmla="val -38878"/>
                            <a:gd name="adj2" fmla="val 77591"/>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A970A64">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66.35pt;margin-top:113pt;height:23.25pt;width:81.15pt;z-index:251661312;v-text-anchor:middle;mso-width-relative:page;mso-height-relative:page;" filled="f" stroked="t" coordsize="21600,21600" o:gfxdata="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" adj="2402,27560">
                <v:fill on="f" focussize="0,0"/>
                <v:stroke weight="1pt" color="#000000 [3213]" miterlimit="8" joinstyle="miter"/>
                <v:imagedata o:title=""/>
                <o:lock v:ext="edit" aspectratio="f"/>
                <v:textbox>
                  <w:txbxContent>
                    <w:p w14:paraId="1A970A64">
                      <w:pPr>
                        <w:jc w:val="center"/>
                        <w:rPr>
                          <w:rFonts w:hint="eastAsia"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本项目位置</w:t>
                      </w:r>
                    </w:p>
                  </w:txbxContent>
                </v:textbox>
              </v:shape>
            </w:pict>
          </mc:Fallback>
        </mc:AlternateContent>
      </w:r>
      <w:r>
        <w:drawing>
          <wp:inline distT="0" distB="0" distL="114300" distR="114300">
            <wp:extent cx="6835775" cy="4591685"/>
            <wp:effectExtent l="0" t="0" r="3175" b="18415"/>
            <wp:docPr id="2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1"/>
                    <pic:cNvPicPr>
                      <a:picLocks noChangeAspect="1"/>
                    </pic:cNvPicPr>
                  </pic:nvPicPr>
                  <pic:blipFill>
                    <a:blip r:embed="rId57"/>
                    <a:stretch>
                      <a:fillRect/>
                    </a:stretch>
                  </pic:blipFill>
                  <pic:spPr>
                    <a:xfrm>
                      <a:off x="0" y="0"/>
                      <a:ext cx="6835775" cy="4591685"/>
                    </a:xfrm>
                    <a:prstGeom prst="rect">
                      <a:avLst/>
                    </a:prstGeom>
                    <a:noFill/>
                    <a:ln>
                      <a:noFill/>
                    </a:ln>
                  </pic:spPr>
                </pic:pic>
              </a:graphicData>
            </a:graphic>
          </wp:inline>
        </w:drawing>
      </w:r>
    </w:p>
    <w:p w14:paraId="0C0F6B30">
      <w:pPr>
        <w:pStyle w:val="61"/>
        <w:ind w:firstLine="480"/>
        <w:rPr>
          <w:color w:val="auto"/>
        </w:rPr>
        <w:sectPr>
          <w:footerReference r:id="rId9"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6821BD1C">
      <w:pPr>
        <w:pStyle w:val="62"/>
        <w:rPr>
          <w:color w:val="auto"/>
          <w:sz w:val="21"/>
          <w:szCs w:val="21"/>
        </w:rPr>
      </w:pPr>
      <w:bookmarkStart w:id="26" w:name="_Toc79160859"/>
      <w:bookmarkStart w:id="27" w:name="_Toc31827"/>
      <w:r>
        <w:rPr>
          <w:color w:val="auto"/>
          <w:sz w:val="21"/>
          <w:szCs w:val="21"/>
        </w:rPr>
        <w:t>附图</w:t>
      </w:r>
      <w:r>
        <w:rPr>
          <w:rFonts w:hint="eastAsia"/>
          <w:color w:val="auto"/>
          <w:sz w:val="21"/>
          <w:szCs w:val="21"/>
          <w:lang w:val="en-US" w:eastAsia="zh-CN"/>
        </w:rPr>
        <w:t>2</w:t>
      </w:r>
      <w:r>
        <w:rPr>
          <w:color w:val="auto"/>
          <w:sz w:val="21"/>
          <w:szCs w:val="21"/>
        </w:rPr>
        <w:t>：</w:t>
      </w:r>
      <w:r>
        <w:rPr>
          <w:rFonts w:hint="eastAsia"/>
          <w:color w:val="auto"/>
          <w:sz w:val="21"/>
          <w:szCs w:val="21"/>
          <w:lang w:val="en-US" w:eastAsia="zh-CN"/>
        </w:rPr>
        <w:t>佳木斯</w:t>
      </w:r>
      <w:r>
        <w:rPr>
          <w:color w:val="auto"/>
          <w:sz w:val="21"/>
          <w:szCs w:val="21"/>
        </w:rPr>
        <w:t>市环境管控单元分布图</w:t>
      </w:r>
      <w:bookmarkEnd w:id="26"/>
      <w:bookmarkEnd w:id="27"/>
    </w:p>
    <w:p w14:paraId="1A6BE612">
      <w:pPr>
        <w:pStyle w:val="61"/>
        <w:ind w:firstLine="480"/>
        <w:jc w:val="both"/>
        <w:rPr>
          <w:color w:val="auto"/>
        </w:rPr>
        <w:sectPr>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color w:val="auto"/>
        </w:rPr>
        <mc:AlternateContent>
          <mc:Choice Requires="wps">
            <w:drawing>
              <wp:anchor distT="0" distB="0" distL="114300" distR="114300" simplePos="0" relativeHeight="251659264" behindDoc="0" locked="0" layoutInCell="1" allowOverlap="1">
                <wp:simplePos x="0" y="0"/>
                <wp:positionH relativeFrom="column">
                  <wp:posOffset>2136775</wp:posOffset>
                </wp:positionH>
                <wp:positionV relativeFrom="paragraph">
                  <wp:posOffset>3721735</wp:posOffset>
                </wp:positionV>
                <wp:extent cx="1239520" cy="387350"/>
                <wp:effectExtent l="601345" t="6350" r="18415" b="17780"/>
                <wp:wrapNone/>
                <wp:docPr id="3150" name="对话气泡: 椭圆形 3150"/>
                <wp:cNvGraphicFramePr/>
                <a:graphic xmlns:a="http://schemas.openxmlformats.org/drawingml/2006/main">
                  <a:graphicData uri="http://schemas.microsoft.com/office/word/2010/wordprocessingShape">
                    <wps:wsp>
                      <wps:cNvSpPr/>
                      <wps:spPr>
                        <a:xfrm>
                          <a:off x="0" y="0"/>
                          <a:ext cx="1239520" cy="387350"/>
                        </a:xfrm>
                        <a:prstGeom prst="wedgeEllipseCallout">
                          <a:avLst>
                            <a:gd name="adj1" fmla="val -94415"/>
                            <a:gd name="adj2" fmla="val -14754"/>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68FC98E">
                            <w:pPr>
                              <w:jc w:val="center"/>
                              <w:rPr>
                                <w:rFonts w:ascii="仿宋" w:hAnsi="仿宋" w:eastAsia="仿宋"/>
                                <w:b/>
                                <w:bCs/>
                                <w:color w:val="000000" w:themeColor="text1"/>
                                <w14:textFill>
                                  <w14:solidFill>
                                    <w14:schemeClr w14:val="tx1"/>
                                  </w14:solidFill>
                                </w14:textFill>
                              </w:rPr>
                            </w:pPr>
                            <w:r>
                              <w:rPr>
                                <w:rFonts w:hint="eastAsia" w:ascii="仿宋" w:hAnsi="仿宋" w:eastAsia="仿宋"/>
                                <w:b/>
                                <w:bCs/>
                                <w:color w:val="000000" w:themeColor="text1"/>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对话气泡: 椭圆形 3150" o:spid="_x0000_s1026" o:spt="63" type="#_x0000_t63" style="position:absolute;left:0pt;margin-left:168.25pt;margin-top:293.05pt;height:30.5pt;width:97.6pt;z-index:251659264;v-text-anchor:middle;mso-width-relative:page;mso-height-relative:page;" filled="f" stroked="t" coordsize="21600,21600" o:gfxdata="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" adj="-9594,7613">
                <v:fill on="f" focussize="0,0"/>
                <v:stroke weight="1pt" color="#000000 [3213]" miterlimit="8" joinstyle="miter"/>
                <v:imagedata o:title=""/>
                <o:lock v:ext="edit" aspectratio="f"/>
                <v:textbox>
                  <w:txbxContent>
                    <w:p w14:paraId="468FC98E">
                      <w:pPr>
                        <w:jc w:val="center"/>
                        <w:rPr>
                          <w:rFonts w:ascii="仿宋" w:hAnsi="仿宋" w:eastAsia="仿宋"/>
                          <w:b/>
                          <w:bCs/>
                          <w:color w:val="000000" w:themeColor="text1"/>
                          <w14:textFill>
                            <w14:solidFill>
                              <w14:schemeClr w14:val="tx1"/>
                            </w14:solidFill>
                          </w14:textFill>
                        </w:rPr>
                      </w:pPr>
                      <w:r>
                        <w:rPr>
                          <w:rFonts w:hint="eastAsia" w:ascii="仿宋" w:hAnsi="仿宋" w:eastAsia="仿宋"/>
                          <w:b/>
                          <w:bCs/>
                          <w:color w:val="000000" w:themeColor="text1"/>
                          <w14:textFill>
                            <w14:solidFill>
                              <w14:schemeClr w14:val="tx1"/>
                            </w14:solidFill>
                          </w14:textFill>
                        </w:rPr>
                        <w:t>本项目位置</w:t>
                      </w:r>
                    </w:p>
                  </w:txbxContent>
                </v:textbox>
              </v:shape>
            </w:pict>
          </mc:Fallback>
        </mc:AlternateContent>
      </w:r>
      <w:r>
        <w:drawing>
          <wp:inline distT="0" distB="0" distL="114300" distR="114300">
            <wp:extent cx="7184390" cy="4628515"/>
            <wp:effectExtent l="0" t="0" r="16510" b="635"/>
            <wp:docPr id="20" name="图片 9" descr="C:/Users/Administrator/Documents/WPSDrive/723214293/WPS云盘/资料/环境管控单元分布图/佳木斯市环境管控单元分布图.png佳木斯市环境管控单元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9" descr="C:/Users/Administrator/Documents/WPSDrive/723214293/WPS云盘/资料/环境管控单元分布图/佳木斯市环境管控单元分布图.png佳木斯市环境管控单元分布图"/>
                    <pic:cNvPicPr>
                      <a:picLocks noChangeAspect="1"/>
                    </pic:cNvPicPr>
                  </pic:nvPicPr>
                  <pic:blipFill>
                    <a:blip r:embed="rId58"/>
                    <a:srcRect t="4418" b="4404"/>
                    <a:stretch>
                      <a:fillRect/>
                    </a:stretch>
                  </pic:blipFill>
                  <pic:spPr>
                    <a:xfrm>
                      <a:off x="0" y="0"/>
                      <a:ext cx="7184222" cy="4628515"/>
                    </a:xfrm>
                    <a:prstGeom prst="rect">
                      <a:avLst/>
                    </a:prstGeom>
                    <a:noFill/>
                    <a:ln>
                      <a:noFill/>
                    </a:ln>
                  </pic:spPr>
                </pic:pic>
              </a:graphicData>
            </a:graphic>
          </wp:inline>
        </w:drawing>
      </w:r>
    </w:p>
    <w:p w14:paraId="2FE75410">
      <w:pPr>
        <w:pStyle w:val="62"/>
        <w:rPr>
          <w:color w:val="auto"/>
        </w:rPr>
      </w:pPr>
      <w:bookmarkStart w:id="28" w:name="_Toc18228"/>
      <w:r>
        <w:rPr>
          <w:color w:val="auto"/>
        </w:rPr>
        <w:t>附图</w:t>
      </w:r>
      <w:r>
        <w:rPr>
          <w:rFonts w:hint="eastAsia"/>
          <w:color w:val="auto"/>
          <w:lang w:val="en-US" w:eastAsia="zh-CN"/>
        </w:rPr>
        <w:t>3</w:t>
      </w:r>
      <w:r>
        <w:rPr>
          <w:color w:val="auto"/>
        </w:rPr>
        <w:t>：平面布置图</w:t>
      </w:r>
      <w:bookmarkEnd w:id="28"/>
    </w:p>
    <w:p w14:paraId="696A318D">
      <w:pPr>
        <w:pStyle w:val="62"/>
        <w:outlineLvl w:val="9"/>
        <w:rPr>
          <w:rFonts w:hint="eastAsia" w:eastAsia="宋体"/>
          <w:snapToGrid w:val="0"/>
          <w:color w:val="auto"/>
          <w:lang w:eastAsia="zh-CN"/>
        </w:rPr>
      </w:pPr>
      <w:r>
        <w:rPr>
          <w:sz w:val="24"/>
        </w:rPr>
        <mc:AlternateContent>
          <mc:Choice Requires="wps">
            <w:drawing>
              <wp:anchor distT="0" distB="0" distL="114300" distR="114300" simplePos="0" relativeHeight="251674624" behindDoc="0" locked="0" layoutInCell="1" allowOverlap="1">
                <wp:simplePos x="0" y="0"/>
                <wp:positionH relativeFrom="column">
                  <wp:posOffset>3700780</wp:posOffset>
                </wp:positionH>
                <wp:positionV relativeFrom="paragraph">
                  <wp:posOffset>865505</wp:posOffset>
                </wp:positionV>
                <wp:extent cx="1654175" cy="233680"/>
                <wp:effectExtent l="6985" t="214630" r="15240" b="218440"/>
                <wp:wrapNone/>
                <wp:docPr id="30" name="文本框 30"/>
                <wp:cNvGraphicFramePr/>
                <a:graphic xmlns:a="http://schemas.openxmlformats.org/drawingml/2006/main">
                  <a:graphicData uri="http://schemas.microsoft.com/office/word/2010/wordprocessingShape">
                    <wps:wsp>
                      <wps:cNvSpPr txBox="1"/>
                      <wps:spPr>
                        <a:xfrm rot="900000">
                          <a:off x="0" y="0"/>
                          <a:ext cx="1654175" cy="233680"/>
                        </a:xfrm>
                        <a:prstGeom prst="rect">
                          <a:avLst/>
                        </a:prstGeom>
                        <a:no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1837930">
                            <w:pPr>
                              <w:rPr>
                                <w:rFonts w:hint="eastAsia" w:eastAsia="宋体"/>
                                <w:lang w:val="en-US" w:eastAsia="zh-CN"/>
                              </w:rPr>
                            </w:pPr>
                            <w:r>
                              <w:rPr>
                                <w:rFonts w:hint="eastAsia"/>
                                <w:lang w:val="en-US" w:eastAsia="zh-CN"/>
                              </w:rPr>
                              <w:t>导流槽</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1.4pt;margin-top:68.15pt;height:18.4pt;width:130.25pt;rotation:983040f;z-index:251674624;mso-width-relative:page;mso-height-relative:page;" filled="f" stroked="t" coordsize="21600,21600" o:gfxdata="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dUHlfNgAAAAL&#10;AQAADwAAAAAAAAABACAAAAAiAAAAZHJzL2Rvd25yZXYueG1sUEsBAhQAFAAAAAgAh07iQMVj6iJV&#10;AgAAnQQAAA4AAAAAAAAAAQAgAAAAJwEAAGRycy9lMm9Eb2MueG1sUEsFBgAAAAAGAAYAWQEAAO4F&#10;AAAAAA==&#10;">
                <v:fill on="f" focussize="0,0"/>
                <v:stroke weight="0.5pt" color="#000000 [3204]" joinstyle="round"/>
                <v:imagedata o:title=""/>
                <o:lock v:ext="edit" aspectratio="f"/>
                <v:textbox>
                  <w:txbxContent>
                    <w:p w14:paraId="71837930">
                      <w:pPr>
                        <w:rPr>
                          <w:rFonts w:hint="eastAsia" w:eastAsia="宋体"/>
                          <w:lang w:val="en-US" w:eastAsia="zh-CN"/>
                        </w:rPr>
                      </w:pPr>
                      <w:r>
                        <w:rPr>
                          <w:rFonts w:hint="eastAsia"/>
                          <w:lang w:val="en-US" w:eastAsia="zh-CN"/>
                        </w:rPr>
                        <w:t>导流槽</w:t>
                      </w:r>
                    </w:p>
                  </w:txbxContent>
                </v:textbox>
              </v:shape>
            </w:pict>
          </mc:Fallback>
        </mc:AlternateContent>
      </w:r>
      <w:r>
        <w:rPr>
          <w:sz w:val="24"/>
        </w:rPr>
        <mc:AlternateContent>
          <mc:Choice Requires="wps">
            <w:drawing>
              <wp:anchor distT="0" distB="0" distL="114300" distR="114300" simplePos="0" relativeHeight="251673600" behindDoc="0" locked="0" layoutInCell="1" allowOverlap="1">
                <wp:simplePos x="0" y="0"/>
                <wp:positionH relativeFrom="column">
                  <wp:posOffset>1089660</wp:posOffset>
                </wp:positionH>
                <wp:positionV relativeFrom="paragraph">
                  <wp:posOffset>1562100</wp:posOffset>
                </wp:positionV>
                <wp:extent cx="1654175" cy="233680"/>
                <wp:effectExtent l="6985" t="214630" r="15240" b="218440"/>
                <wp:wrapNone/>
                <wp:docPr id="29" name="文本框 29"/>
                <wp:cNvGraphicFramePr/>
                <a:graphic xmlns:a="http://schemas.openxmlformats.org/drawingml/2006/main">
                  <a:graphicData uri="http://schemas.microsoft.com/office/word/2010/wordprocessingShape">
                    <wps:wsp>
                      <wps:cNvSpPr txBox="1"/>
                      <wps:spPr>
                        <a:xfrm rot="900000">
                          <a:off x="3906520" y="3804285"/>
                          <a:ext cx="1654175" cy="233680"/>
                        </a:xfrm>
                        <a:prstGeom prst="rect">
                          <a:avLst/>
                        </a:prstGeom>
                        <a:noFill/>
                        <a:ln w="6350">
                          <a:solidFill>
                            <a:prstClr val="black"/>
                          </a:solidFill>
                        </a:ln>
                        <a:extLst>
                          <a:ext uri="{909E8E84-426E-40DD-AFC4-6F175D3DCCD1}">
                            <a14:hiddenFill xmlns:a14="http://schemas.microsoft.com/office/drawing/2010/main">
                              <a:solidFill>
                                <a:schemeClr val="lt1"/>
                              </a:solidFill>
                            </a14:hiddenFill>
                          </a:ext>
                        </a:extLst>
                      </wps:spPr>
                      <wps:style>
                        <a:lnRef idx="0">
                          <a:schemeClr val="accent1"/>
                        </a:lnRef>
                        <a:fillRef idx="0">
                          <a:schemeClr val="accent1"/>
                        </a:fillRef>
                        <a:effectRef idx="0">
                          <a:schemeClr val="accent1"/>
                        </a:effectRef>
                        <a:fontRef idx="minor">
                          <a:schemeClr val="dk1"/>
                        </a:fontRef>
                      </wps:style>
                      <wps:txbx>
                        <w:txbxContent>
                          <w:p w14:paraId="5AD953BA">
                            <w:pPr>
                              <w:rPr>
                                <w:rFonts w:hint="eastAsia" w:eastAsia="宋体"/>
                                <w:lang w:val="en-US" w:eastAsia="zh-CN"/>
                              </w:rPr>
                            </w:pPr>
                            <w:r>
                              <w:rPr>
                                <w:rFonts w:hint="eastAsia"/>
                                <w:lang w:val="en-US" w:eastAsia="zh-CN"/>
                              </w:rPr>
                              <w:t>导流槽</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5.8pt;margin-top:123pt;height:18.4pt;width:130.25pt;rotation:983040f;z-index:251673600;mso-width-relative:page;mso-height-relative:page;" filled="f" stroked="t" coordsize="21600,21600" o:gfxdata="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">
                <v:fill on="f" focussize="0,0"/>
                <v:stroke weight="0.5pt" color="#000000 [3204]" joinstyle="round"/>
                <v:imagedata o:title=""/>
                <o:lock v:ext="edit" aspectratio="f"/>
                <v:textbox>
                  <w:txbxContent>
                    <w:p w14:paraId="5AD953BA">
                      <w:pPr>
                        <w:rPr>
                          <w:rFonts w:hint="eastAsia" w:eastAsia="宋体"/>
                          <w:lang w:val="en-US" w:eastAsia="zh-CN"/>
                        </w:rPr>
                      </w:pPr>
                      <w:r>
                        <w:rPr>
                          <w:rFonts w:hint="eastAsia"/>
                          <w:lang w:val="en-US" w:eastAsia="zh-CN"/>
                        </w:rPr>
                        <w:t>导流槽</w:t>
                      </w:r>
                    </w:p>
                  </w:txbxContent>
                </v:textbox>
              </v:shape>
            </w:pict>
          </mc:Fallback>
        </mc:AlternateContent>
      </w:r>
      <w:r>
        <w:rPr>
          <w:rFonts w:hint="default" w:ascii="Times New Roman" w:hAnsi="Times New Roman" w:eastAsia="宋体" w:cs="Times New Roman"/>
          <w:snapToGrid w:val="0"/>
          <w:color w:val="auto"/>
          <w:kern w:val="0"/>
          <w:sz w:val="24"/>
          <w:szCs w:val="24"/>
          <w:highlight w:val="none"/>
          <w:lang w:val="en-US" w:eastAsia="zh-CN" w:bidi="ar-SA"/>
        </w:rPr>
        <w:drawing>
          <wp:anchor distT="0" distB="0" distL="114300" distR="114300" simplePos="0" relativeHeight="251670528" behindDoc="0" locked="0" layoutInCell="1" allowOverlap="1">
            <wp:simplePos x="0" y="0"/>
            <wp:positionH relativeFrom="column">
              <wp:posOffset>7913370</wp:posOffset>
            </wp:positionH>
            <wp:positionV relativeFrom="paragraph">
              <wp:posOffset>1905</wp:posOffset>
            </wp:positionV>
            <wp:extent cx="685800" cy="726440"/>
            <wp:effectExtent l="0" t="0" r="0" b="16510"/>
            <wp:wrapNone/>
            <wp:docPr id="24" name="图片 8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8533"/>
                    <pic:cNvPicPr>
                      <a:picLocks noChangeAspect="1"/>
                    </pic:cNvPicPr>
                  </pic:nvPicPr>
                  <pic:blipFill>
                    <a:blip r:embed="rId56"/>
                    <a:stretch>
                      <a:fillRect/>
                    </a:stretch>
                  </pic:blipFill>
                  <pic:spPr>
                    <a:xfrm>
                      <a:off x="0" y="0"/>
                      <a:ext cx="685800" cy="726440"/>
                    </a:xfrm>
                    <a:prstGeom prst="rect">
                      <a:avLst/>
                    </a:prstGeom>
                    <a:noFill/>
                    <a:ln>
                      <a:noFill/>
                    </a:ln>
                  </pic:spPr>
                </pic:pic>
              </a:graphicData>
            </a:graphic>
          </wp:anchor>
        </w:drawing>
      </w:r>
      <w:r>
        <w:drawing>
          <wp:inline distT="0" distB="0" distL="114300" distR="114300">
            <wp:extent cx="8589010" cy="4862830"/>
            <wp:effectExtent l="0" t="0" r="2540" b="13970"/>
            <wp:docPr id="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
                    <pic:cNvPicPr>
                      <a:picLocks noChangeAspect="1"/>
                    </pic:cNvPicPr>
                  </pic:nvPicPr>
                  <pic:blipFill>
                    <a:blip r:embed="rId59"/>
                    <a:stretch>
                      <a:fillRect/>
                    </a:stretch>
                  </pic:blipFill>
                  <pic:spPr>
                    <a:xfrm>
                      <a:off x="0" y="0"/>
                      <a:ext cx="8589010" cy="4862830"/>
                    </a:xfrm>
                    <a:prstGeom prst="rect">
                      <a:avLst/>
                    </a:prstGeom>
                    <a:noFill/>
                    <a:ln>
                      <a:noFill/>
                    </a:ln>
                  </pic:spPr>
                </pic:pic>
              </a:graphicData>
            </a:graphic>
          </wp:inline>
        </w:drawing>
      </w:r>
    </w:p>
    <w:p w14:paraId="46724D56">
      <w:pPr>
        <w:pStyle w:val="56"/>
        <w:ind w:firstLine="480"/>
        <w:rPr>
          <w:snapToGrid w:val="0"/>
          <w:color w:val="auto"/>
        </w:rPr>
        <w:sectPr>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4075FF73">
      <w:pPr>
        <w:pStyle w:val="62"/>
        <w:rPr>
          <w:color w:val="auto"/>
        </w:rPr>
      </w:pPr>
      <w:bookmarkStart w:id="29" w:name="_Toc20902"/>
      <w:r>
        <w:rPr>
          <w:rFonts w:hint="default" w:ascii="Times New Roman" w:hAnsi="Times New Roman" w:eastAsia="宋体" w:cs="Times New Roman"/>
          <w:snapToGrid w:val="0"/>
          <w:color w:val="auto"/>
          <w:kern w:val="0"/>
          <w:sz w:val="24"/>
          <w:szCs w:val="24"/>
          <w:highlight w:val="none"/>
          <w:lang w:val="en-US" w:eastAsia="zh-CN" w:bidi="ar-SA"/>
        </w:rPr>
        <w:drawing>
          <wp:anchor distT="0" distB="0" distL="114300" distR="114300" simplePos="0" relativeHeight="251668480" behindDoc="0" locked="0" layoutInCell="1" allowOverlap="1">
            <wp:simplePos x="0" y="0"/>
            <wp:positionH relativeFrom="column">
              <wp:posOffset>6860540</wp:posOffset>
            </wp:positionH>
            <wp:positionV relativeFrom="paragraph">
              <wp:posOffset>295275</wp:posOffset>
            </wp:positionV>
            <wp:extent cx="812800" cy="861060"/>
            <wp:effectExtent l="0" t="0" r="6350" b="15240"/>
            <wp:wrapNone/>
            <wp:docPr id="53" name="图片 8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8533"/>
                    <pic:cNvPicPr>
                      <a:picLocks noChangeAspect="1"/>
                    </pic:cNvPicPr>
                  </pic:nvPicPr>
                  <pic:blipFill>
                    <a:blip r:embed="rId56"/>
                    <a:stretch>
                      <a:fillRect/>
                    </a:stretch>
                  </pic:blipFill>
                  <pic:spPr>
                    <a:xfrm>
                      <a:off x="0" y="0"/>
                      <a:ext cx="812800" cy="861060"/>
                    </a:xfrm>
                    <a:prstGeom prst="rect">
                      <a:avLst/>
                    </a:prstGeom>
                    <a:noFill/>
                    <a:ln>
                      <a:noFill/>
                    </a:ln>
                  </pic:spPr>
                </pic:pic>
              </a:graphicData>
            </a:graphic>
          </wp:anchor>
        </w:drawing>
      </w:r>
      <w:r>
        <w:rPr>
          <w:color w:val="auto"/>
        </w:rPr>
        <w:t>附图</w:t>
      </w:r>
      <w:r>
        <w:rPr>
          <w:rFonts w:hint="eastAsia"/>
          <w:color w:val="auto"/>
          <w:lang w:val="en-US" w:eastAsia="zh-CN"/>
        </w:rPr>
        <w:t>4</w:t>
      </w:r>
      <w:r>
        <w:rPr>
          <w:color w:val="auto"/>
        </w:rPr>
        <w:t>：环境保护目标分布图</w:t>
      </w:r>
      <w:bookmarkEnd w:id="29"/>
    </w:p>
    <w:p w14:paraId="596DD5C6">
      <w:pPr>
        <w:pStyle w:val="62"/>
        <w:adjustRightInd w:val="0"/>
        <w:snapToGrid w:val="0"/>
        <w:spacing w:line="240" w:lineRule="auto"/>
        <w:jc w:val="center"/>
        <w:outlineLvl w:val="9"/>
        <w:rPr>
          <w:color w:val="auto"/>
        </w:rPr>
      </w:pPr>
      <w:bookmarkStart w:id="30" w:name="_Toc28405"/>
      <w:bookmarkStart w:id="31" w:name="_Toc14809"/>
      <w:bookmarkStart w:id="32" w:name="_Toc16174"/>
      <w:bookmarkStart w:id="33" w:name="_Toc32575"/>
      <w:r>
        <w:rPr>
          <w:sz w:val="24"/>
        </w:rPr>
        <mc:AlternateContent>
          <mc:Choice Requires="wps">
            <w:drawing>
              <wp:anchor distT="0" distB="0" distL="114300" distR="114300" simplePos="0" relativeHeight="251675648" behindDoc="0" locked="0" layoutInCell="1" allowOverlap="1">
                <wp:simplePos x="0" y="0"/>
                <wp:positionH relativeFrom="column">
                  <wp:posOffset>3442970</wp:posOffset>
                </wp:positionH>
                <wp:positionV relativeFrom="paragraph">
                  <wp:posOffset>740410</wp:posOffset>
                </wp:positionV>
                <wp:extent cx="1169035" cy="217170"/>
                <wp:effectExtent l="141605" t="6350" r="22860" b="195580"/>
                <wp:wrapNone/>
                <wp:docPr id="48" name="矩形标注 48"/>
                <wp:cNvGraphicFramePr/>
                <a:graphic xmlns:a="http://schemas.openxmlformats.org/drawingml/2006/main">
                  <a:graphicData uri="http://schemas.microsoft.com/office/word/2010/wordprocessingShape">
                    <wps:wsp>
                      <wps:cNvSpPr/>
                      <wps:spPr>
                        <a:xfrm>
                          <a:off x="0" y="0"/>
                          <a:ext cx="1169035" cy="217170"/>
                        </a:xfrm>
                        <a:prstGeom prst="wedgeRectCallout">
                          <a:avLst>
                            <a:gd name="adj1" fmla="val -58051"/>
                            <a:gd name="adj2" fmla="val 123524"/>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090B29ED">
                            <w:pPr>
                              <w:jc w:val="center"/>
                              <w:rPr>
                                <w:rFonts w:hint="default" w:eastAsia="宋体"/>
                                <w:color w:val="C00000"/>
                                <w:sz w:val="11"/>
                                <w:szCs w:val="11"/>
                                <w:lang w:val="en-US" w:eastAsia="zh-CN"/>
                              </w:rPr>
                            </w:pPr>
                            <w:r>
                              <w:rPr>
                                <w:rFonts w:hint="eastAsia" w:eastAsia="宋体"/>
                                <w:color w:val="C00000"/>
                                <w:sz w:val="11"/>
                                <w:szCs w:val="11"/>
                                <w:lang w:val="en-US" w:eastAsia="zh-CN"/>
                              </w:rPr>
                              <w:t>曙光农场十五队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71.1pt;margin-top:58.3pt;height:17.1pt;width:92.05pt;z-index:251675648;v-text-anchor:middle;mso-width-relative:page;mso-height-relative:page;" filled="f" stroked="t" coordsize="21600,21600" o:gfxdata="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MHkmVDaAAAACwEAAA8AAAAAAAAAAQAgAAAAIgAAAGRycy9kb3du&#10;cmV2LnhtbFBLAQIUABQAAAAIAIdO4kCvmEefqAIAAD0FAAAOAAAAAAAAAAEAIAAAACkBAABkcnMv&#10;ZTJvRG9jLnhtbFBLBQYAAAAABgAGAFkBAABDBgAAAAA=&#10;" adj="-1739,37481">
                <v:fill on="f" focussize="0,0"/>
                <v:stroke weight="1pt" color="#000000 [3213]" miterlimit="8" joinstyle="miter"/>
                <v:imagedata o:title=""/>
                <o:lock v:ext="edit" aspectratio="f"/>
                <v:textbox>
                  <w:txbxContent>
                    <w:p w14:paraId="090B29ED">
                      <w:pPr>
                        <w:jc w:val="center"/>
                        <w:rPr>
                          <w:rFonts w:hint="default" w:eastAsia="宋体"/>
                          <w:color w:val="C00000"/>
                          <w:sz w:val="11"/>
                          <w:szCs w:val="11"/>
                          <w:lang w:val="en-US" w:eastAsia="zh-CN"/>
                        </w:rPr>
                      </w:pPr>
                      <w:r>
                        <w:rPr>
                          <w:rFonts w:hint="eastAsia" w:eastAsia="宋体"/>
                          <w:color w:val="C00000"/>
                          <w:sz w:val="11"/>
                          <w:szCs w:val="11"/>
                          <w:lang w:val="en-US" w:eastAsia="zh-CN"/>
                        </w:rPr>
                        <w:t>曙光农场十五队</w:t>
                      </w:r>
                    </w:p>
                  </w:txbxContent>
                </v:textbox>
              </v:shape>
            </w:pict>
          </mc:Fallback>
        </mc:AlternateContent>
      </w:r>
      <w:r>
        <w:rPr>
          <w:sz w:val="24"/>
        </w:rPr>
        <mc:AlternateContent>
          <mc:Choice Requires="wps">
            <w:drawing>
              <wp:anchor distT="0" distB="0" distL="114300" distR="114300" simplePos="0" relativeHeight="251672576" behindDoc="0" locked="0" layoutInCell="1" allowOverlap="1">
                <wp:simplePos x="0" y="0"/>
                <wp:positionH relativeFrom="column">
                  <wp:posOffset>3489960</wp:posOffset>
                </wp:positionH>
                <wp:positionV relativeFrom="paragraph">
                  <wp:posOffset>2319655</wp:posOffset>
                </wp:positionV>
                <wp:extent cx="692785" cy="217170"/>
                <wp:effectExtent l="89535" t="6350" r="17780" b="195580"/>
                <wp:wrapNone/>
                <wp:docPr id="28" name="矩形标注 28"/>
                <wp:cNvGraphicFramePr/>
                <a:graphic xmlns:a="http://schemas.openxmlformats.org/drawingml/2006/main">
                  <a:graphicData uri="http://schemas.microsoft.com/office/word/2010/wordprocessingShape">
                    <wps:wsp>
                      <wps:cNvSpPr/>
                      <wps:spPr>
                        <a:xfrm>
                          <a:off x="0" y="0"/>
                          <a:ext cx="692785" cy="217170"/>
                        </a:xfrm>
                        <a:prstGeom prst="wedgeRectCallout">
                          <a:avLst>
                            <a:gd name="adj1" fmla="val -58051"/>
                            <a:gd name="adj2" fmla="val 123524"/>
                          </a:avLst>
                        </a:prstGeom>
                        <a:noFill/>
                        <a:ln>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523B3FF2">
                            <w:pPr>
                              <w:jc w:val="center"/>
                              <w:rPr>
                                <w:rFonts w:hint="eastAsia" w:eastAsia="宋体"/>
                                <w:color w:val="C00000"/>
                                <w:sz w:val="11"/>
                                <w:szCs w:val="11"/>
                                <w:lang w:val="en-US" w:eastAsia="zh-CN"/>
                              </w:rPr>
                            </w:pPr>
                            <w:r>
                              <w:rPr>
                                <w:rFonts w:hint="eastAsia"/>
                                <w:color w:val="C00000"/>
                                <w:sz w:val="11"/>
                                <w:szCs w:val="11"/>
                                <w:lang w:val="en-US" w:eastAsia="zh-CN"/>
                              </w:rPr>
                              <w:t>东侧居民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74.8pt;margin-top:182.65pt;height:17.1pt;width:54.55pt;z-index:251672576;v-text-anchor:middle;mso-width-relative:page;mso-height-relative:page;" filled="f" stroked="t" coordsize="21600,21600" o:gfxdata="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DsiPSh3AAAAAsBAAAPAAAAAAAAAAEAIAAAACIAAABkcnMvZG93&#10;bnJldi54bWxQSwECFAAUAAAACACHTuJAV1iHkacCAAA8BQAADgAAAAAAAAABACAAAAArAQAAZHJz&#10;L2Uyb0RvYy54bWxQSwUGAAAAAAYABgBZAQAARAYAAAAA&#10;" adj="-1739,37481">
                <v:fill on="f" focussize="0,0"/>
                <v:stroke weight="1pt" color="#000000 [3213]" miterlimit="8" joinstyle="miter"/>
                <v:imagedata o:title=""/>
                <o:lock v:ext="edit" aspectratio="f"/>
                <v:textbox>
                  <w:txbxContent>
                    <w:p w14:paraId="523B3FF2">
                      <w:pPr>
                        <w:jc w:val="center"/>
                        <w:rPr>
                          <w:rFonts w:hint="eastAsia" w:eastAsia="宋体"/>
                          <w:color w:val="C00000"/>
                          <w:sz w:val="11"/>
                          <w:szCs w:val="11"/>
                          <w:lang w:val="en-US" w:eastAsia="zh-CN"/>
                        </w:rPr>
                      </w:pPr>
                      <w:r>
                        <w:rPr>
                          <w:rFonts w:hint="eastAsia"/>
                          <w:color w:val="C00000"/>
                          <w:sz w:val="11"/>
                          <w:szCs w:val="11"/>
                          <w:lang w:val="en-US" w:eastAsia="zh-CN"/>
                        </w:rPr>
                        <w:t>东侧居民</w:t>
                      </w:r>
                    </w:p>
                  </w:txbxContent>
                </v:textbox>
              </v:shape>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2636520</wp:posOffset>
                </wp:positionH>
                <wp:positionV relativeFrom="paragraph">
                  <wp:posOffset>1845945</wp:posOffset>
                </wp:positionV>
                <wp:extent cx="675640" cy="217805"/>
                <wp:effectExtent l="86995" t="6350" r="18415" b="194945"/>
                <wp:wrapNone/>
                <wp:docPr id="23" name="矩形标注 23"/>
                <wp:cNvGraphicFramePr/>
                <a:graphic xmlns:a="http://schemas.openxmlformats.org/drawingml/2006/main">
                  <a:graphicData uri="http://schemas.microsoft.com/office/word/2010/wordprocessingShape">
                    <wps:wsp>
                      <wps:cNvSpPr/>
                      <wps:spPr>
                        <a:xfrm>
                          <a:off x="6201410" y="3081020"/>
                          <a:ext cx="675640" cy="217805"/>
                        </a:xfrm>
                        <a:prstGeom prst="wedgeRectCallout">
                          <a:avLst>
                            <a:gd name="adj1" fmla="val -58051"/>
                            <a:gd name="adj2" fmla="val 123524"/>
                          </a:avLst>
                        </a:prstGeom>
                        <a:noFill/>
                        <a:ln>
                          <a:solidFill>
                            <a:schemeClr val="tx1"/>
                          </a:solidFill>
                        </a:ln>
                        <a:extLst>
                          <a:ext uri="{909E8E84-426E-40DD-AFC4-6F175D3DCCD1}">
                            <a14:hiddenFill xmlns:a14="http://schemas.microsoft.com/office/drawing/2010/main">
                              <a:solidFill>
                                <a:schemeClr val="accent1"/>
                              </a:solidFill>
                            </a14:hiddenFill>
                          </a:ext>
                        </a:extLst>
                      </wps:spPr>
                      <wps:style>
                        <a:lnRef idx="2">
                          <a:schemeClr val="accent1">
                            <a:lumMod val="75000"/>
                          </a:schemeClr>
                        </a:lnRef>
                        <a:fillRef idx="1">
                          <a:schemeClr val="accent1"/>
                        </a:fillRef>
                        <a:effectRef idx="0">
                          <a:srgbClr val="FFFFFF"/>
                        </a:effectRef>
                        <a:fontRef idx="minor">
                          <a:schemeClr val="lt1"/>
                        </a:fontRef>
                      </wps:style>
                      <wps:txbx>
                        <w:txbxContent>
                          <w:p w14:paraId="1B450480">
                            <w:pPr>
                              <w:jc w:val="center"/>
                              <w:rPr>
                                <w:rFonts w:hint="eastAsia" w:eastAsia="宋体"/>
                                <w:color w:val="C00000"/>
                                <w:sz w:val="13"/>
                                <w:szCs w:val="13"/>
                                <w:lang w:val="en-US" w:eastAsia="zh-CN"/>
                              </w:rPr>
                            </w:pPr>
                            <w:r>
                              <w:rPr>
                                <w:rFonts w:hint="eastAsia"/>
                                <w:color w:val="C00000"/>
                                <w:sz w:val="13"/>
                                <w:szCs w:val="13"/>
                                <w:lang w:val="en-US" w:eastAsia="zh-CN"/>
                              </w:rPr>
                              <w:t>西侧居民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07.6pt;margin-top:145.35pt;height:17.15pt;width:53.2pt;z-index:251671552;v-text-anchor:middle;mso-width-relative:page;mso-height-relative:page;" filled="f" stroked="t" coordsize="21600,21600" o:gfxdata="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" adj="-1739,37481">
                <v:fill on="f" focussize="0,0"/>
                <v:stroke weight="1pt" color="#000000 [3213]" miterlimit="8" joinstyle="miter"/>
                <v:imagedata o:title=""/>
                <o:lock v:ext="edit" aspectratio="f"/>
                <v:textbox>
                  <w:txbxContent>
                    <w:p w14:paraId="1B450480">
                      <w:pPr>
                        <w:jc w:val="center"/>
                        <w:rPr>
                          <w:rFonts w:hint="eastAsia" w:eastAsia="宋体"/>
                          <w:color w:val="C00000"/>
                          <w:sz w:val="13"/>
                          <w:szCs w:val="13"/>
                          <w:lang w:val="en-US" w:eastAsia="zh-CN"/>
                        </w:rPr>
                      </w:pPr>
                      <w:r>
                        <w:rPr>
                          <w:rFonts w:hint="eastAsia"/>
                          <w:color w:val="C00000"/>
                          <w:sz w:val="13"/>
                          <w:szCs w:val="13"/>
                          <w:lang w:val="en-US" w:eastAsia="zh-CN"/>
                        </w:rPr>
                        <w:t>西侧居民</w:t>
                      </w:r>
                    </w:p>
                  </w:txbxContent>
                </v:textbox>
              </v:shape>
            </w:pict>
          </mc:Fallback>
        </mc:AlternateContent>
      </w:r>
      <w:r>
        <w:rPr>
          <w:sz w:val="24"/>
        </w:rPr>
        <mc:AlternateContent>
          <mc:Choice Requires="wps">
            <w:drawing>
              <wp:anchor distT="0" distB="0" distL="114300" distR="114300" simplePos="0" relativeHeight="251665408" behindDoc="0" locked="0" layoutInCell="1" allowOverlap="1">
                <wp:simplePos x="0" y="0"/>
                <wp:positionH relativeFrom="column">
                  <wp:posOffset>6245860</wp:posOffset>
                </wp:positionH>
                <wp:positionV relativeFrom="paragraph">
                  <wp:posOffset>4518025</wp:posOffset>
                </wp:positionV>
                <wp:extent cx="233680" cy="138430"/>
                <wp:effectExtent l="6350" t="6350" r="7620" b="7620"/>
                <wp:wrapNone/>
                <wp:docPr id="16" name="矩形 16"/>
                <wp:cNvGraphicFramePr/>
                <a:graphic xmlns:a="http://schemas.openxmlformats.org/drawingml/2006/main">
                  <a:graphicData uri="http://schemas.microsoft.com/office/word/2010/wordprocessingShape">
                    <wps:wsp>
                      <wps:cNvSpPr/>
                      <wps:spPr>
                        <a:xfrm>
                          <a:off x="0" y="0"/>
                          <a:ext cx="233680" cy="138430"/>
                        </a:xfrm>
                        <a:prstGeom prst="rect">
                          <a:avLst/>
                        </a:prstGeom>
                        <a:noFill/>
                        <a:ln>
                          <a:solidFill>
                            <a:schemeClr val="accent6"/>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1.8pt;margin-top:355.75pt;height:10.9pt;width:18.4pt;z-index:251665408;v-text-anchor:middle;mso-width-relative:page;mso-height-relative:page;" filled="f" stroked="t" coordsize="21600,21600" o:gfxdata="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V2UJGdwAAAAMAQAADwAAAAAAAAABACAAAAAiAAAAZHJzL2Rvd25y&#10;ZXYueG1sUEsBAhQAFAAAAAgAh07iQCk70E5sAgAAzAQAAA4AAAAAAAAAAQAgAAAAKwEAAGRycy9l&#10;Mm9Eb2MueG1sUEsFBgAAAAAGAAYAWQEAAAkGAAAAAA==&#10;">
                <v:fill on="f" focussize="0,0"/>
                <v:stroke weight="1pt" color="#70AD47 [3209]" miterlimit="8" joinstyle="miter"/>
                <v:imagedata o:title=""/>
                <o:lock v:ext="edit" aspectratio="f"/>
              </v:rect>
            </w:pict>
          </mc:Fallback>
        </mc:AlternateContent>
      </w:r>
      <w:r>
        <w:rPr>
          <w:sz w:val="24"/>
        </w:rPr>
        <mc:AlternateContent>
          <mc:Choice Requires="wps">
            <w:drawing>
              <wp:anchor distT="0" distB="0" distL="114300" distR="114300" simplePos="0" relativeHeight="251664384" behindDoc="0" locked="0" layoutInCell="1" allowOverlap="1">
                <wp:simplePos x="0" y="0"/>
                <wp:positionH relativeFrom="column">
                  <wp:posOffset>6109970</wp:posOffset>
                </wp:positionH>
                <wp:positionV relativeFrom="paragraph">
                  <wp:posOffset>4338955</wp:posOffset>
                </wp:positionV>
                <wp:extent cx="233680" cy="138430"/>
                <wp:effectExtent l="6350" t="6350" r="7620" b="7620"/>
                <wp:wrapNone/>
                <wp:docPr id="13" name="矩形 13"/>
                <wp:cNvGraphicFramePr/>
                <a:graphic xmlns:a="http://schemas.openxmlformats.org/drawingml/2006/main">
                  <a:graphicData uri="http://schemas.microsoft.com/office/word/2010/wordprocessingShape">
                    <wps:wsp>
                      <wps:cNvSpPr/>
                      <wps:spPr>
                        <a:xfrm>
                          <a:off x="0" y="0"/>
                          <a:ext cx="233680" cy="138430"/>
                        </a:xfrm>
                        <a:prstGeom prst="rect">
                          <a:avLst/>
                        </a:prstGeom>
                        <a:noFill/>
                        <a:ln>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1.1pt;margin-top:341.65pt;height:10.9pt;width:18.4pt;z-index:251664384;v-text-anchor:middle;mso-width-relative:page;mso-height-relative:page;" filled="f" stroked="t" coordsize="21600,21600" o:gfxdata="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xGtCxNkAAAALAQAADwAAAAAAAAABACAAAAAiAAAAZHJzL2Rvd25yZXYueG1s&#10;UEsBAhQAFAAAAAgAh07iQOPBOxtpAgAAzAQAAA4AAAAAAAAAAQAgAAAAKAEAAGRycy9lMm9Eb2Mu&#10;eG1sUEsFBgAAAAAGAAYAWQEAAAMGAAAAAA==&#10;">
                <v:fill on="f" focussize="0,0"/>
                <v:stroke weight="1pt" color="#FF0000 [2404]" miterlimit="8" joinstyle="miter"/>
                <v:imagedata o:title=""/>
                <o:lock v:ext="edit" aspectratio="f"/>
              </v:rect>
            </w:pict>
          </mc:Fallback>
        </mc:AlternateContent>
      </w:r>
      <w:r>
        <w:rPr>
          <w:sz w:val="24"/>
        </w:rPr>
        <mc:AlternateContent>
          <mc:Choice Requires="wps">
            <w:drawing>
              <wp:anchor distT="0" distB="0" distL="114300" distR="114300" simplePos="0" relativeHeight="251663360" behindDoc="0" locked="0" layoutInCell="1" allowOverlap="1">
                <wp:simplePos x="0" y="0"/>
                <wp:positionH relativeFrom="column">
                  <wp:posOffset>6316980</wp:posOffset>
                </wp:positionH>
                <wp:positionV relativeFrom="paragraph">
                  <wp:posOffset>4134485</wp:posOffset>
                </wp:positionV>
                <wp:extent cx="233680" cy="138430"/>
                <wp:effectExtent l="6350" t="6350" r="7620" b="7620"/>
                <wp:wrapNone/>
                <wp:docPr id="12" name="矩形 12"/>
                <wp:cNvGraphicFramePr/>
                <a:graphic xmlns:a="http://schemas.openxmlformats.org/drawingml/2006/main">
                  <a:graphicData uri="http://schemas.microsoft.com/office/word/2010/wordprocessingShape">
                    <wps:wsp>
                      <wps:cNvSpPr/>
                      <wps:spPr>
                        <a:xfrm>
                          <a:off x="7474585" y="5762625"/>
                          <a:ext cx="233680" cy="138430"/>
                        </a:xfrm>
                        <a:prstGeom prst="rect">
                          <a:avLst/>
                        </a:prstGeom>
                        <a:noFill/>
                        <a:ln>
                          <a:solidFill>
                            <a:schemeClr val="accent1">
                              <a:lumMod val="75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97.4pt;margin-top:325.55pt;height:10.9pt;width:18.4pt;z-index:251663360;v-text-anchor:middle;mso-width-relative:page;mso-height-relative:page;" filled="f" stroked="t" coordsize="21600,21600" o:gfxdata="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YWUlbNoAAAAMAQAA&#10;DwAAAAAAAAABACAAAAAiAAAAZHJzL2Rvd25yZXYueG1sUEsBAhQAFAAAAAgAh07iQBRi+f2JAgAA&#10;+gQAAA4AAAAAAAAAAQAgAAAAKQEAAGRycy9lMm9Eb2MueG1sUEsFBgAAAAAGAAYAWQEAACQGAAAA&#10;AA==&#10;">
                <v:fill on="f" focussize="0,0"/>
                <v:stroke weight="1pt" color="#2F5597 [2404]" miterlimit="8" joinstyle="miter"/>
                <v:imagedata o:title=""/>
                <o:lock v:ext="edit" aspectratio="f"/>
              </v:rect>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6028690</wp:posOffset>
                </wp:positionH>
                <wp:positionV relativeFrom="paragraph">
                  <wp:posOffset>3902710</wp:posOffset>
                </wp:positionV>
                <wp:extent cx="1565910" cy="894715"/>
                <wp:effectExtent l="4445" t="5080" r="10795" b="14605"/>
                <wp:wrapNone/>
                <wp:docPr id="7" name="矩形 7"/>
                <wp:cNvGraphicFramePr/>
                <a:graphic xmlns:a="http://schemas.openxmlformats.org/drawingml/2006/main">
                  <a:graphicData uri="http://schemas.microsoft.com/office/word/2010/wordprocessingShape">
                    <wps:wsp>
                      <wps:cNvSpPr/>
                      <wps:spPr>
                        <a:xfrm>
                          <a:off x="0" y="0"/>
                          <a:ext cx="1565910" cy="894715"/>
                        </a:xfrm>
                        <a:prstGeom prst="rect">
                          <a:avLst/>
                        </a:prstGeom>
                        <a:solidFill>
                          <a:srgbClr val="D9D9D9"/>
                        </a:solidFill>
                        <a:ln w="9525" cap="flat" cmpd="sng">
                          <a:solidFill>
                            <a:srgbClr val="000000"/>
                          </a:solidFill>
                          <a:prstDash val="solid"/>
                          <a:miter/>
                          <a:headEnd type="none" w="med" len="med"/>
                          <a:tailEnd type="none" w="med" len="med"/>
                        </a:ln>
                      </wps:spPr>
                      <wps:txbx>
                        <w:txbxContent>
                          <w:p w14:paraId="0701A5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lang w:eastAsia="zh-CN"/>
                              </w:rPr>
                            </w:pPr>
                            <w:r>
                              <w:rPr>
                                <w:rFonts w:hint="eastAsia" w:eastAsia="宋体"/>
                                <w:b/>
                                <w:bCs/>
                                <w:lang w:eastAsia="zh-CN"/>
                              </w:rPr>
                              <w:t>图</w:t>
                            </w:r>
                            <w:r>
                              <w:rPr>
                                <w:rFonts w:hint="eastAsia" w:ascii="Times New Roman" w:eastAsia="宋体"/>
                                <w:b/>
                                <w:bCs/>
                                <w:lang w:val="en-US" w:eastAsia="zh-CN"/>
                              </w:rPr>
                              <w:t xml:space="preserve">  </w:t>
                            </w:r>
                            <w:r>
                              <w:rPr>
                                <w:rFonts w:hint="eastAsia" w:eastAsia="宋体"/>
                                <w:b/>
                                <w:bCs/>
                                <w:lang w:eastAsia="zh-CN"/>
                              </w:rPr>
                              <w:t>例</w:t>
                            </w:r>
                          </w:p>
                          <w:p w14:paraId="24D94B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val="0"/>
                                <w:lang w:eastAsia="zh-CN"/>
                              </w:rPr>
                            </w:pPr>
                            <w:r>
                              <w:rPr>
                                <w:rFonts w:hint="eastAsia" w:eastAsia="宋体"/>
                                <w:b w:val="0"/>
                                <w:bCs w:val="0"/>
                                <w:lang w:eastAsia="zh-CN"/>
                              </w:rPr>
                              <w:t>厂</w:t>
                            </w:r>
                            <w:r>
                              <w:rPr>
                                <w:rFonts w:hint="eastAsia" w:ascii="Times New Roman" w:eastAsia="宋体"/>
                                <w:b w:val="0"/>
                                <w:bCs w:val="0"/>
                                <w:lang w:val="en-US" w:eastAsia="zh-CN"/>
                              </w:rPr>
                              <w:t xml:space="preserve">  </w:t>
                            </w:r>
                            <w:r>
                              <w:rPr>
                                <w:rFonts w:hint="eastAsia" w:eastAsia="宋体"/>
                                <w:b w:val="0"/>
                                <w:bCs w:val="0"/>
                                <w:lang w:eastAsia="zh-CN"/>
                              </w:rPr>
                              <w:t>址</w:t>
                            </w:r>
                          </w:p>
                          <w:p w14:paraId="6F7F692A">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eastAsia"/>
                                <w:b w:val="0"/>
                                <w:bCs w:val="0"/>
                                <w:lang w:eastAsia="zh-CN"/>
                              </w:rPr>
                            </w:pPr>
                            <w:r>
                              <w:rPr>
                                <w:rFonts w:hint="eastAsia"/>
                                <w:b w:val="0"/>
                                <w:bCs w:val="0"/>
                                <w:lang w:val="en-US" w:eastAsia="zh-CN"/>
                              </w:rPr>
                              <w:t>声环境</w:t>
                            </w:r>
                            <w:r>
                              <w:rPr>
                                <w:rFonts w:hint="eastAsia" w:eastAsia="宋体"/>
                                <w:b w:val="0"/>
                                <w:bCs w:val="0"/>
                                <w:lang w:eastAsia="zh-CN"/>
                              </w:rPr>
                              <w:t>评价范围</w:t>
                            </w:r>
                          </w:p>
                          <w:p w14:paraId="135E75EC">
                            <w:pPr>
                              <w:keepNext w:val="0"/>
                              <w:keepLines w:val="0"/>
                              <w:pageBreakBefore w:val="0"/>
                              <w:widowControl w:val="0"/>
                              <w:kinsoku/>
                              <w:wordWrap/>
                              <w:overflowPunct/>
                              <w:topLinePunct w:val="0"/>
                              <w:autoSpaceDE/>
                              <w:autoSpaceDN/>
                              <w:bidi w:val="0"/>
                              <w:adjustRightInd w:val="0"/>
                              <w:snapToGrid w:val="0"/>
                              <w:spacing w:line="240" w:lineRule="auto"/>
                              <w:ind w:firstLine="630" w:firstLineChars="300"/>
                              <w:jc w:val="both"/>
                              <w:textAlignment w:val="auto"/>
                              <w:rPr>
                                <w:rFonts w:hint="eastAsia"/>
                                <w:b w:val="0"/>
                                <w:bCs w:val="0"/>
                                <w:lang w:eastAsia="zh-CN"/>
                              </w:rPr>
                            </w:pPr>
                            <w:r>
                              <w:rPr>
                                <w:rFonts w:hint="eastAsia" w:eastAsia="宋体"/>
                                <w:b w:val="0"/>
                                <w:bCs w:val="0"/>
                                <w:lang w:eastAsia="zh-CN"/>
                              </w:rPr>
                              <w:t>大气评价范围</w:t>
                            </w:r>
                          </w:p>
                          <w:p w14:paraId="1CA9DB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lang w:val="en-US" w:eastAsia="zh-CN"/>
                              </w:rPr>
                            </w:pPr>
                            <w:r>
                              <w:rPr>
                                <w:rFonts w:hint="eastAsia" w:ascii="Times New Roman" w:eastAsia="宋体"/>
                                <w:b w:val="0"/>
                                <w:bCs w:val="0"/>
                                <w:lang w:val="en-US" w:eastAsia="zh-CN"/>
                              </w:rPr>
                              <w:t xml:space="preserve">  </w:t>
                            </w:r>
                          </w:p>
                        </w:txbxContent>
                      </wps:txbx>
                      <wps:bodyPr upright="1"/>
                    </wps:wsp>
                  </a:graphicData>
                </a:graphic>
              </wp:anchor>
            </w:drawing>
          </mc:Choice>
          <mc:Fallback>
            <w:pict>
              <v:rect id="_x0000_s1026" o:spid="_x0000_s1026" o:spt="1" style="position:absolute;left:0pt;margin-left:474.7pt;margin-top:307.3pt;height:70.45pt;width:123.3pt;z-index:251662336;mso-width-relative:page;mso-height-relative:page;" fillcolor="#D9D9D9" filled="t" stroked="t" coordsize="21600,21600" o:gfxdata="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MVSyDjYAAAADAEAAA8AAAAAAAAAAQAgAAAAIgAAAGRycy9k&#10;b3ducmV2LnhtbFBLAQIUABQAAAAIAIdO4kCuo6yJAgIAACkEAAAOAAAAAAAAAAEAIAAAACcBAABk&#10;cnMvZTJvRG9jLnhtbFBLBQYAAAAABgAGAFkBAACbBQAAAAA=&#10;">
                <v:fill on="t" focussize="0,0"/>
                <v:stroke color="#000000" joinstyle="miter"/>
                <v:imagedata o:title=""/>
                <o:lock v:ext="edit" aspectratio="f"/>
                <v:textbox>
                  <w:txbxContent>
                    <w:p w14:paraId="0701A573">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bCs/>
                          <w:lang w:eastAsia="zh-CN"/>
                        </w:rPr>
                      </w:pPr>
                      <w:r>
                        <w:rPr>
                          <w:rFonts w:hint="eastAsia" w:eastAsia="宋体"/>
                          <w:b/>
                          <w:bCs/>
                          <w:lang w:eastAsia="zh-CN"/>
                        </w:rPr>
                        <w:t>图</w:t>
                      </w:r>
                      <w:r>
                        <w:rPr>
                          <w:rFonts w:hint="eastAsia" w:ascii="Times New Roman" w:eastAsia="宋体"/>
                          <w:b/>
                          <w:bCs/>
                          <w:lang w:val="en-US" w:eastAsia="zh-CN"/>
                        </w:rPr>
                        <w:t xml:space="preserve">  </w:t>
                      </w:r>
                      <w:r>
                        <w:rPr>
                          <w:rFonts w:hint="eastAsia" w:eastAsia="宋体"/>
                          <w:b/>
                          <w:bCs/>
                          <w:lang w:eastAsia="zh-CN"/>
                        </w:rPr>
                        <w:t>例</w:t>
                      </w:r>
                    </w:p>
                    <w:p w14:paraId="24D94B3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b w:val="0"/>
                          <w:bCs w:val="0"/>
                          <w:lang w:eastAsia="zh-CN"/>
                        </w:rPr>
                      </w:pPr>
                      <w:r>
                        <w:rPr>
                          <w:rFonts w:hint="eastAsia" w:eastAsia="宋体"/>
                          <w:b w:val="0"/>
                          <w:bCs w:val="0"/>
                          <w:lang w:eastAsia="zh-CN"/>
                        </w:rPr>
                        <w:t>厂</w:t>
                      </w:r>
                      <w:r>
                        <w:rPr>
                          <w:rFonts w:hint="eastAsia" w:ascii="Times New Roman" w:eastAsia="宋体"/>
                          <w:b w:val="0"/>
                          <w:bCs w:val="0"/>
                          <w:lang w:val="en-US" w:eastAsia="zh-CN"/>
                        </w:rPr>
                        <w:t xml:space="preserve">  </w:t>
                      </w:r>
                      <w:r>
                        <w:rPr>
                          <w:rFonts w:hint="eastAsia" w:eastAsia="宋体"/>
                          <w:b w:val="0"/>
                          <w:bCs w:val="0"/>
                          <w:lang w:eastAsia="zh-CN"/>
                        </w:rPr>
                        <w:t>址</w:t>
                      </w:r>
                    </w:p>
                    <w:p w14:paraId="6F7F692A">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jc w:val="both"/>
                        <w:textAlignment w:val="auto"/>
                        <w:rPr>
                          <w:rFonts w:hint="eastAsia"/>
                          <w:b w:val="0"/>
                          <w:bCs w:val="0"/>
                          <w:lang w:eastAsia="zh-CN"/>
                        </w:rPr>
                      </w:pPr>
                      <w:r>
                        <w:rPr>
                          <w:rFonts w:hint="eastAsia"/>
                          <w:b w:val="0"/>
                          <w:bCs w:val="0"/>
                          <w:lang w:val="en-US" w:eastAsia="zh-CN"/>
                        </w:rPr>
                        <w:t>声环境</w:t>
                      </w:r>
                      <w:r>
                        <w:rPr>
                          <w:rFonts w:hint="eastAsia" w:eastAsia="宋体"/>
                          <w:b w:val="0"/>
                          <w:bCs w:val="0"/>
                          <w:lang w:eastAsia="zh-CN"/>
                        </w:rPr>
                        <w:t>评价范围</w:t>
                      </w:r>
                    </w:p>
                    <w:p w14:paraId="135E75EC">
                      <w:pPr>
                        <w:keepNext w:val="0"/>
                        <w:keepLines w:val="0"/>
                        <w:pageBreakBefore w:val="0"/>
                        <w:widowControl w:val="0"/>
                        <w:kinsoku/>
                        <w:wordWrap/>
                        <w:overflowPunct/>
                        <w:topLinePunct w:val="0"/>
                        <w:autoSpaceDE/>
                        <w:autoSpaceDN/>
                        <w:bidi w:val="0"/>
                        <w:adjustRightInd w:val="0"/>
                        <w:snapToGrid w:val="0"/>
                        <w:spacing w:line="240" w:lineRule="auto"/>
                        <w:ind w:firstLine="630" w:firstLineChars="300"/>
                        <w:jc w:val="both"/>
                        <w:textAlignment w:val="auto"/>
                        <w:rPr>
                          <w:rFonts w:hint="eastAsia"/>
                          <w:b w:val="0"/>
                          <w:bCs w:val="0"/>
                          <w:lang w:eastAsia="zh-CN"/>
                        </w:rPr>
                      </w:pPr>
                      <w:r>
                        <w:rPr>
                          <w:rFonts w:hint="eastAsia" w:eastAsia="宋体"/>
                          <w:b w:val="0"/>
                          <w:bCs w:val="0"/>
                          <w:lang w:eastAsia="zh-CN"/>
                        </w:rPr>
                        <w:t>大气评价范围</w:t>
                      </w:r>
                    </w:p>
                    <w:p w14:paraId="1CA9DBD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eastAsia="宋体"/>
                          <w:b w:val="0"/>
                          <w:bCs w:val="0"/>
                          <w:lang w:val="en-US" w:eastAsia="zh-CN"/>
                        </w:rPr>
                      </w:pPr>
                      <w:r>
                        <w:rPr>
                          <w:rFonts w:hint="eastAsia" w:ascii="Times New Roman" w:eastAsia="宋体"/>
                          <w:b w:val="0"/>
                          <w:bCs w:val="0"/>
                          <w:lang w:val="en-US" w:eastAsia="zh-CN"/>
                        </w:rPr>
                        <w:t xml:space="preserve">  </w:t>
                      </w:r>
                    </w:p>
                  </w:txbxContent>
                </v:textbox>
              </v:rect>
            </w:pict>
          </mc:Fallback>
        </mc:AlternateContent>
      </w:r>
      <w:bookmarkEnd w:id="30"/>
      <w:bookmarkEnd w:id="31"/>
      <w:bookmarkEnd w:id="32"/>
      <w:bookmarkEnd w:id="33"/>
      <w:r>
        <w:drawing>
          <wp:inline distT="0" distB="0" distL="114300" distR="114300">
            <wp:extent cx="6825615" cy="4852035"/>
            <wp:effectExtent l="0" t="0" r="13335" b="5715"/>
            <wp:docPr id="4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8"/>
                    <pic:cNvPicPr>
                      <a:picLocks noChangeAspect="1"/>
                    </pic:cNvPicPr>
                  </pic:nvPicPr>
                  <pic:blipFill>
                    <a:blip r:embed="rId60"/>
                    <a:stretch>
                      <a:fillRect/>
                    </a:stretch>
                  </pic:blipFill>
                  <pic:spPr>
                    <a:xfrm>
                      <a:off x="0" y="0"/>
                      <a:ext cx="6825615" cy="4852035"/>
                    </a:xfrm>
                    <a:prstGeom prst="rect">
                      <a:avLst/>
                    </a:prstGeom>
                    <a:noFill/>
                    <a:ln>
                      <a:noFill/>
                    </a:ln>
                  </pic:spPr>
                </pic:pic>
              </a:graphicData>
            </a:graphic>
          </wp:inline>
        </w:drawing>
      </w:r>
    </w:p>
    <w:p w14:paraId="4EA3984F">
      <w:pPr>
        <w:rPr>
          <w:color w:val="auto"/>
        </w:rPr>
      </w:pPr>
      <w:r>
        <w:rPr>
          <w:color w:val="auto"/>
        </w:rPr>
        <w:br w:type="page"/>
      </w:r>
    </w:p>
    <w:p w14:paraId="11A8FA6F">
      <w:pPr>
        <w:pStyle w:val="62"/>
        <w:adjustRightInd w:val="0"/>
        <w:snapToGrid w:val="0"/>
        <w:spacing w:line="240" w:lineRule="auto"/>
        <w:jc w:val="center"/>
        <w:outlineLvl w:val="9"/>
        <w:rPr>
          <w:color w:val="auto"/>
        </w:rPr>
        <w:sectPr>
          <w:footerReference r:id="rId10"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1875CFB5">
      <w:pPr>
        <w:pStyle w:val="62"/>
        <w:rPr>
          <w:rFonts w:hint="eastAsia"/>
          <w:color w:val="auto"/>
        </w:rPr>
      </w:pPr>
      <w:bookmarkStart w:id="34" w:name="_Toc26692"/>
      <w:r>
        <w:rPr>
          <w:rFonts w:hint="eastAsia"/>
          <w:color w:val="auto"/>
        </w:rPr>
        <w:t>附图</w:t>
      </w:r>
      <w:r>
        <w:rPr>
          <w:rFonts w:hint="eastAsia"/>
          <w:color w:val="auto"/>
          <w:lang w:val="en-US" w:eastAsia="zh-CN"/>
        </w:rPr>
        <w:t>5</w:t>
      </w:r>
      <w:r>
        <w:rPr>
          <w:rFonts w:hint="eastAsia"/>
          <w:color w:val="auto"/>
        </w:rPr>
        <w:t>：分区防渗图</w:t>
      </w:r>
      <w:bookmarkEnd w:id="34"/>
    </w:p>
    <w:p w14:paraId="2941E6D0">
      <w:pPr>
        <w:pStyle w:val="62"/>
        <w:outlineLvl w:val="9"/>
        <w:rPr>
          <w:rFonts w:hint="eastAsia"/>
          <w:color w:val="auto"/>
        </w:rPr>
      </w:pPr>
      <w:bookmarkStart w:id="35" w:name="_Toc22462"/>
      <w:r>
        <w:rPr>
          <w:rFonts w:hint="default" w:ascii="Times New Roman" w:hAnsi="Times New Roman" w:eastAsia="宋体" w:cs="Times New Roman"/>
          <w:snapToGrid w:val="0"/>
          <w:color w:val="auto"/>
          <w:kern w:val="0"/>
          <w:sz w:val="24"/>
          <w:szCs w:val="24"/>
          <w:highlight w:val="none"/>
          <w:lang w:val="en-US" w:eastAsia="zh-CN" w:bidi="ar-SA"/>
        </w:rPr>
        <w:drawing>
          <wp:anchor distT="0" distB="0" distL="114300" distR="114300" simplePos="0" relativeHeight="251667456" behindDoc="0" locked="0" layoutInCell="1" allowOverlap="1">
            <wp:simplePos x="0" y="0"/>
            <wp:positionH relativeFrom="column">
              <wp:posOffset>7765415</wp:posOffset>
            </wp:positionH>
            <wp:positionV relativeFrom="paragraph">
              <wp:posOffset>18415</wp:posOffset>
            </wp:positionV>
            <wp:extent cx="812800" cy="861060"/>
            <wp:effectExtent l="0" t="0" r="6350" b="15240"/>
            <wp:wrapNone/>
            <wp:docPr id="52" name="图片 8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8533"/>
                    <pic:cNvPicPr>
                      <a:picLocks noChangeAspect="1"/>
                    </pic:cNvPicPr>
                  </pic:nvPicPr>
                  <pic:blipFill>
                    <a:blip r:embed="rId56"/>
                    <a:stretch>
                      <a:fillRect/>
                    </a:stretch>
                  </pic:blipFill>
                  <pic:spPr>
                    <a:xfrm>
                      <a:off x="0" y="0"/>
                      <a:ext cx="812800" cy="861060"/>
                    </a:xfrm>
                    <a:prstGeom prst="rect">
                      <a:avLst/>
                    </a:prstGeom>
                    <a:noFill/>
                    <a:ln>
                      <a:noFill/>
                    </a:ln>
                  </pic:spPr>
                </pic:pic>
              </a:graphicData>
            </a:graphic>
          </wp:anchor>
        </w:drawing>
      </w:r>
      <w:r>
        <w:drawing>
          <wp:anchor distT="0" distB="0" distL="114300" distR="114300" simplePos="0" relativeHeight="251666432" behindDoc="0" locked="0" layoutInCell="1" allowOverlap="1">
            <wp:simplePos x="0" y="0"/>
            <wp:positionH relativeFrom="column">
              <wp:posOffset>7353300</wp:posOffset>
            </wp:positionH>
            <wp:positionV relativeFrom="paragraph">
              <wp:posOffset>3876040</wp:posOffset>
            </wp:positionV>
            <wp:extent cx="1219200" cy="1104900"/>
            <wp:effectExtent l="0" t="0" r="0" b="0"/>
            <wp:wrapNone/>
            <wp:docPr id="5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3"/>
                    <pic:cNvPicPr>
                      <a:picLocks noChangeAspect="1"/>
                    </pic:cNvPicPr>
                  </pic:nvPicPr>
                  <pic:blipFill>
                    <a:blip r:embed="rId61"/>
                    <a:stretch>
                      <a:fillRect/>
                    </a:stretch>
                  </pic:blipFill>
                  <pic:spPr>
                    <a:xfrm>
                      <a:off x="0" y="0"/>
                      <a:ext cx="1219200" cy="1104900"/>
                    </a:xfrm>
                    <a:prstGeom prst="rect">
                      <a:avLst/>
                    </a:prstGeom>
                    <a:noFill/>
                    <a:ln>
                      <a:noFill/>
                    </a:ln>
                  </pic:spPr>
                </pic:pic>
              </a:graphicData>
            </a:graphic>
          </wp:anchor>
        </w:drawing>
      </w:r>
      <w:bookmarkEnd w:id="35"/>
      <w:r>
        <w:drawing>
          <wp:inline distT="0" distB="0" distL="114300" distR="114300">
            <wp:extent cx="8571865" cy="4933950"/>
            <wp:effectExtent l="0" t="0" r="635" b="0"/>
            <wp:docPr id="5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pic:cNvPicPr>
                      <a:picLocks noChangeAspect="1"/>
                    </pic:cNvPicPr>
                  </pic:nvPicPr>
                  <pic:blipFill>
                    <a:blip r:embed="rId62"/>
                    <a:stretch>
                      <a:fillRect/>
                    </a:stretch>
                  </pic:blipFill>
                  <pic:spPr>
                    <a:xfrm>
                      <a:off x="0" y="0"/>
                      <a:ext cx="8571865" cy="4933950"/>
                    </a:xfrm>
                    <a:prstGeom prst="rect">
                      <a:avLst/>
                    </a:prstGeom>
                    <a:noFill/>
                    <a:ln>
                      <a:noFill/>
                    </a:ln>
                  </pic:spPr>
                </pic:pic>
              </a:graphicData>
            </a:graphic>
          </wp:inline>
        </w:drawing>
      </w:r>
    </w:p>
    <w:p w14:paraId="49025128">
      <w:pPr>
        <w:pStyle w:val="62"/>
        <w:adjustRightInd w:val="0"/>
        <w:snapToGrid w:val="0"/>
        <w:spacing w:line="240" w:lineRule="auto"/>
        <w:jc w:val="both"/>
        <w:outlineLvl w:val="9"/>
        <w:rPr>
          <w:color w:val="auto"/>
        </w:rPr>
      </w:pPr>
    </w:p>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嘻嘻嘻..." w:date="2024-08-26T13:26:54Z" w:initials="">
    <w:p w14:paraId="34FDDF9F">
      <w:pPr>
        <w:pStyle w:val="8"/>
      </w:pPr>
      <w:r>
        <w:annotationRef/>
      </w:r>
    </w:p>
  </w:comment>
  <w:comment w:id="1" w:author="嘻嘻嘻..." w:date="2024-08-26T15:59:45Z" w:initials="">
    <w:p w14:paraId="41ED94A7">
      <w:pPr>
        <w:pStyle w:val="8"/>
      </w:pPr>
      <w:r>
        <w:annotationRef/>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34FDDF9F" w15:done="0"/>
  <w15:commentEx w15:paraId="41ED94A7"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roman"/>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Wingdings 2">
    <w:panose1 w:val="05020102010507070707"/>
    <w:charset w:val="02"/>
    <w:family w:val="roman"/>
    <w:pitch w:val="default"/>
    <w:sig w:usb0="00000000" w:usb1="00000000" w:usb2="00000000" w:usb3="00000000" w:csb0="80000000" w:csb1="00000000"/>
  </w:font>
  <w:font w:name="华文中宋">
    <w:panose1 w:val="02010600040101010101"/>
    <w:charset w:val="86"/>
    <w:family w:val="auto"/>
    <w:pitch w:val="default"/>
    <w:sig w:usb0="00000287" w:usb1="080F0000" w:usb2="00000000" w:usb3="00000000" w:csb0="0004009F" w:csb1="DFD7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F94E518">
    <w:pPr>
      <w:pStyle w:val="12"/>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98387D">
    <w:pPr>
      <w:pStyle w:val="12"/>
      <w:jc w:val="center"/>
    </w:pPr>
    <w:r>
      <w:fldChar w:fldCharType="begin"/>
    </w:r>
    <w:r>
      <w:instrText xml:space="preserve">PAGE   \* MERGEFORMAT</w:instrText>
    </w:r>
    <w:r>
      <w:fldChar w:fldCharType="separate"/>
    </w:r>
    <w:r>
      <w:rPr>
        <w:lang w:val="zh-CN"/>
      </w:rPr>
      <w:t>2</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014C76">
    <w:pPr>
      <w:pStyle w:val="12"/>
      <w:jc w:val="center"/>
    </w:pPr>
    <w:r>
      <w:fldChar w:fldCharType="begin"/>
    </w:r>
    <w:r>
      <w:instrText xml:space="preserve">PAGE   \* MERGEFORMAT</w:instrText>
    </w:r>
    <w:r>
      <w:fldChar w:fldCharType="separate"/>
    </w:r>
    <w:r>
      <w:rPr>
        <w:lang w:val="zh-CN"/>
      </w:rPr>
      <w:t>2</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5454408"/>
    </w:sdtPr>
    <w:sdtContent>
      <w:p w14:paraId="3038A55F">
        <w:pPr>
          <w:pStyle w:val="12"/>
          <w:jc w:val="center"/>
        </w:pPr>
        <w:r>
          <w:fldChar w:fldCharType="begin"/>
        </w:r>
        <w:r>
          <w:instrText xml:space="preserve">PAGE   \* MERGEFORMAT</w:instrText>
        </w:r>
        <w:r>
          <w:fldChar w:fldCharType="separate"/>
        </w:r>
        <w:r>
          <w:rPr>
            <w:lang w:val="zh-CN"/>
          </w:rPr>
          <w:t>2</w:t>
        </w:r>
        <w: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13970887"/>
    </w:sdtPr>
    <w:sdtContent>
      <w:p w14:paraId="3B98502F">
        <w:pPr>
          <w:pStyle w:val="12"/>
          <w:jc w:val="center"/>
        </w:pPr>
        <w:r>
          <w:fldChar w:fldCharType="begin"/>
        </w:r>
        <w:r>
          <w:instrText xml:space="preserve">PAGE   \* MERGEFORMAT</w:instrText>
        </w:r>
        <w:r>
          <w:fldChar w:fldCharType="separate"/>
        </w:r>
        <w:r>
          <w:rPr>
            <w:lang w:val="zh-CN"/>
          </w:rPr>
          <w:t>2</w:t>
        </w:r>
        <w: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343666019"/>
    </w:sdtPr>
    <w:sdtContent>
      <w:p w14:paraId="6B4E32CD">
        <w:pPr>
          <w:pStyle w:val="12"/>
          <w:jc w:val="center"/>
        </w:pPr>
        <w:r>
          <w:fldChar w:fldCharType="begin"/>
        </w:r>
        <w:r>
          <w:instrText xml:space="preserve">PAGE   \* MERGEFORMAT</w:instrText>
        </w:r>
        <w:r>
          <w:fldChar w:fldCharType="separate"/>
        </w:r>
        <w:r>
          <w:rPr>
            <w:lang w:val="zh-CN"/>
          </w:rPr>
          <w:t>2</w:t>
        </w:r>
        <w:r>
          <w:fldChar w:fldCharType="end"/>
        </w:r>
      </w:p>
    </w:sdtContent>
  </w:sdt>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62789CA"/>
    <w:multiLevelType w:val="singleLevel"/>
    <w:tmpl w:val="862789CA"/>
    <w:lvl w:ilvl="0" w:tentative="0">
      <w:start w:val="1"/>
      <w:numFmt w:val="decimal"/>
      <w:suff w:val="nothing"/>
      <w:lvlText w:val="（%1）"/>
      <w:lvlJc w:val="left"/>
    </w:lvl>
  </w:abstractNum>
  <w:abstractNum w:abstractNumId="1">
    <w:nsid w:val="BFE7662A"/>
    <w:multiLevelType w:val="singleLevel"/>
    <w:tmpl w:val="BFE7662A"/>
    <w:lvl w:ilvl="0" w:tentative="0">
      <w:start w:val="10"/>
      <w:numFmt w:val="chineseCounting"/>
      <w:suff w:val="nothing"/>
      <w:lvlText w:val="%1、"/>
      <w:lvlJc w:val="left"/>
      <w:rPr>
        <w:rFonts w:hint="eastAsia"/>
      </w:rPr>
    </w:lvl>
  </w:abstractNum>
  <w:abstractNum w:abstractNumId="2">
    <w:nsid w:val="D71E85B8"/>
    <w:multiLevelType w:val="singleLevel"/>
    <w:tmpl w:val="D71E85B8"/>
    <w:lvl w:ilvl="0" w:tentative="0">
      <w:start w:val="1"/>
      <w:numFmt w:val="decimal"/>
      <w:suff w:val="nothing"/>
      <w:lvlText w:val="%1）"/>
      <w:lvlJc w:val="left"/>
    </w:lvl>
  </w:abstractNum>
  <w:num w:numId="1">
    <w:abstractNumId w:val="0"/>
  </w:num>
  <w:num w:numId="2">
    <w:abstractNumId w:val="1"/>
  </w:num>
  <w:num w:numId="3">
    <w:abstractNumId w:val="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嘻嘻嘻...">
    <w15:presenceInfo w15:providerId="WPS Office" w15:userId="241884718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A2MTc3NDlmNmMwMWMzNjY1MzRiZDNmYTBmM2EzZTAifQ=="/>
  </w:docVars>
  <w:rsids>
    <w:rsidRoot w:val="00172A27"/>
    <w:rsid w:val="00000EB5"/>
    <w:rsid w:val="00002149"/>
    <w:rsid w:val="000029E9"/>
    <w:rsid w:val="00003CEC"/>
    <w:rsid w:val="00005C6A"/>
    <w:rsid w:val="000060B3"/>
    <w:rsid w:val="0001230C"/>
    <w:rsid w:val="00012FB3"/>
    <w:rsid w:val="00014702"/>
    <w:rsid w:val="0001608B"/>
    <w:rsid w:val="00021CED"/>
    <w:rsid w:val="00022AF0"/>
    <w:rsid w:val="00023488"/>
    <w:rsid w:val="00023565"/>
    <w:rsid w:val="00024ED1"/>
    <w:rsid w:val="0002572C"/>
    <w:rsid w:val="00032C35"/>
    <w:rsid w:val="00034DDB"/>
    <w:rsid w:val="00036578"/>
    <w:rsid w:val="000365CC"/>
    <w:rsid w:val="000378B4"/>
    <w:rsid w:val="000379FC"/>
    <w:rsid w:val="000413FA"/>
    <w:rsid w:val="00042280"/>
    <w:rsid w:val="0004260F"/>
    <w:rsid w:val="00042981"/>
    <w:rsid w:val="0004364B"/>
    <w:rsid w:val="00046B7E"/>
    <w:rsid w:val="00050FE1"/>
    <w:rsid w:val="00053E86"/>
    <w:rsid w:val="000564E9"/>
    <w:rsid w:val="00057A48"/>
    <w:rsid w:val="00057A79"/>
    <w:rsid w:val="0006094B"/>
    <w:rsid w:val="00060E3A"/>
    <w:rsid w:val="00060F1D"/>
    <w:rsid w:val="00061B1F"/>
    <w:rsid w:val="00061C38"/>
    <w:rsid w:val="000620FF"/>
    <w:rsid w:val="00065F7B"/>
    <w:rsid w:val="00066092"/>
    <w:rsid w:val="00067252"/>
    <w:rsid w:val="000733C4"/>
    <w:rsid w:val="00074783"/>
    <w:rsid w:val="00075684"/>
    <w:rsid w:val="00076B18"/>
    <w:rsid w:val="0008070B"/>
    <w:rsid w:val="00080CF5"/>
    <w:rsid w:val="000810AC"/>
    <w:rsid w:val="00081A02"/>
    <w:rsid w:val="00082231"/>
    <w:rsid w:val="00083DDA"/>
    <w:rsid w:val="000926AE"/>
    <w:rsid w:val="00092D38"/>
    <w:rsid w:val="000930A3"/>
    <w:rsid w:val="000934DD"/>
    <w:rsid w:val="0009377B"/>
    <w:rsid w:val="00095729"/>
    <w:rsid w:val="00096106"/>
    <w:rsid w:val="00096CDE"/>
    <w:rsid w:val="000A0816"/>
    <w:rsid w:val="000A20C9"/>
    <w:rsid w:val="000A514E"/>
    <w:rsid w:val="000B058F"/>
    <w:rsid w:val="000B1813"/>
    <w:rsid w:val="000B27CC"/>
    <w:rsid w:val="000B4301"/>
    <w:rsid w:val="000B4467"/>
    <w:rsid w:val="000B4DB9"/>
    <w:rsid w:val="000B6F0A"/>
    <w:rsid w:val="000C09AC"/>
    <w:rsid w:val="000C34D2"/>
    <w:rsid w:val="000C3591"/>
    <w:rsid w:val="000C40F2"/>
    <w:rsid w:val="000C4644"/>
    <w:rsid w:val="000C520B"/>
    <w:rsid w:val="000C767F"/>
    <w:rsid w:val="000D0EFD"/>
    <w:rsid w:val="000D1966"/>
    <w:rsid w:val="000D1983"/>
    <w:rsid w:val="000D4387"/>
    <w:rsid w:val="000D4D2E"/>
    <w:rsid w:val="000D552D"/>
    <w:rsid w:val="000D5A44"/>
    <w:rsid w:val="000E0184"/>
    <w:rsid w:val="000E0227"/>
    <w:rsid w:val="000E28F8"/>
    <w:rsid w:val="000E3220"/>
    <w:rsid w:val="000E3ED2"/>
    <w:rsid w:val="000F09C3"/>
    <w:rsid w:val="000F4A49"/>
    <w:rsid w:val="000F5FE9"/>
    <w:rsid w:val="000F650E"/>
    <w:rsid w:val="000F6E74"/>
    <w:rsid w:val="000F78B7"/>
    <w:rsid w:val="00101735"/>
    <w:rsid w:val="00101AD4"/>
    <w:rsid w:val="00103C31"/>
    <w:rsid w:val="00106486"/>
    <w:rsid w:val="00106540"/>
    <w:rsid w:val="00111E2C"/>
    <w:rsid w:val="0011326C"/>
    <w:rsid w:val="0011341C"/>
    <w:rsid w:val="001158D8"/>
    <w:rsid w:val="001208FA"/>
    <w:rsid w:val="0012198F"/>
    <w:rsid w:val="00122AC6"/>
    <w:rsid w:val="00123C2B"/>
    <w:rsid w:val="001240FE"/>
    <w:rsid w:val="00126275"/>
    <w:rsid w:val="00130B97"/>
    <w:rsid w:val="0013111A"/>
    <w:rsid w:val="00131F42"/>
    <w:rsid w:val="00135151"/>
    <w:rsid w:val="001357F1"/>
    <w:rsid w:val="00135CDD"/>
    <w:rsid w:val="00137147"/>
    <w:rsid w:val="001405FA"/>
    <w:rsid w:val="00140FA8"/>
    <w:rsid w:val="00142BAA"/>
    <w:rsid w:val="00142BBD"/>
    <w:rsid w:val="00142FEB"/>
    <w:rsid w:val="0014336D"/>
    <w:rsid w:val="00143A2D"/>
    <w:rsid w:val="00144039"/>
    <w:rsid w:val="00144314"/>
    <w:rsid w:val="0014453A"/>
    <w:rsid w:val="00145774"/>
    <w:rsid w:val="00145A41"/>
    <w:rsid w:val="001478D4"/>
    <w:rsid w:val="00147CC7"/>
    <w:rsid w:val="00151675"/>
    <w:rsid w:val="00152248"/>
    <w:rsid w:val="00153063"/>
    <w:rsid w:val="00155A20"/>
    <w:rsid w:val="00156A77"/>
    <w:rsid w:val="00157435"/>
    <w:rsid w:val="00157FD3"/>
    <w:rsid w:val="00161205"/>
    <w:rsid w:val="00161B86"/>
    <w:rsid w:val="00161EBB"/>
    <w:rsid w:val="001632C0"/>
    <w:rsid w:val="0016698E"/>
    <w:rsid w:val="00166BDD"/>
    <w:rsid w:val="00166FC2"/>
    <w:rsid w:val="00167C0C"/>
    <w:rsid w:val="00172B48"/>
    <w:rsid w:val="0017504D"/>
    <w:rsid w:val="0017671A"/>
    <w:rsid w:val="00176ECD"/>
    <w:rsid w:val="00177422"/>
    <w:rsid w:val="00183707"/>
    <w:rsid w:val="00184590"/>
    <w:rsid w:val="0018552F"/>
    <w:rsid w:val="00186423"/>
    <w:rsid w:val="001870D1"/>
    <w:rsid w:val="0018781E"/>
    <w:rsid w:val="001905D6"/>
    <w:rsid w:val="0019262D"/>
    <w:rsid w:val="0019508B"/>
    <w:rsid w:val="001962E8"/>
    <w:rsid w:val="00196B6A"/>
    <w:rsid w:val="001A1B35"/>
    <w:rsid w:val="001A1BCC"/>
    <w:rsid w:val="001A3BF0"/>
    <w:rsid w:val="001A48A2"/>
    <w:rsid w:val="001A5B5D"/>
    <w:rsid w:val="001A65FC"/>
    <w:rsid w:val="001A6F61"/>
    <w:rsid w:val="001B1EC1"/>
    <w:rsid w:val="001B24EC"/>
    <w:rsid w:val="001B27C8"/>
    <w:rsid w:val="001B53D4"/>
    <w:rsid w:val="001B56E2"/>
    <w:rsid w:val="001B5AD6"/>
    <w:rsid w:val="001B66DA"/>
    <w:rsid w:val="001B72B8"/>
    <w:rsid w:val="001C0581"/>
    <w:rsid w:val="001C1B2F"/>
    <w:rsid w:val="001C5C51"/>
    <w:rsid w:val="001C6675"/>
    <w:rsid w:val="001C69B3"/>
    <w:rsid w:val="001C7F40"/>
    <w:rsid w:val="001D04D9"/>
    <w:rsid w:val="001D1A0E"/>
    <w:rsid w:val="001D1BF3"/>
    <w:rsid w:val="001D2AE4"/>
    <w:rsid w:val="001D2B43"/>
    <w:rsid w:val="001D2D4F"/>
    <w:rsid w:val="001D5595"/>
    <w:rsid w:val="001D5968"/>
    <w:rsid w:val="001D7874"/>
    <w:rsid w:val="001D7F22"/>
    <w:rsid w:val="001E0406"/>
    <w:rsid w:val="001E0583"/>
    <w:rsid w:val="001E4024"/>
    <w:rsid w:val="001E70A5"/>
    <w:rsid w:val="001E7845"/>
    <w:rsid w:val="001F0F17"/>
    <w:rsid w:val="001F20F7"/>
    <w:rsid w:val="001F213E"/>
    <w:rsid w:val="001F3347"/>
    <w:rsid w:val="001F663E"/>
    <w:rsid w:val="001F69E4"/>
    <w:rsid w:val="001F6C0A"/>
    <w:rsid w:val="001F7941"/>
    <w:rsid w:val="00201DCB"/>
    <w:rsid w:val="00202251"/>
    <w:rsid w:val="00203297"/>
    <w:rsid w:val="00204B67"/>
    <w:rsid w:val="00205D1C"/>
    <w:rsid w:val="00206421"/>
    <w:rsid w:val="00206C2B"/>
    <w:rsid w:val="00206E77"/>
    <w:rsid w:val="00206E9B"/>
    <w:rsid w:val="00207BE5"/>
    <w:rsid w:val="002125B4"/>
    <w:rsid w:val="00212BB6"/>
    <w:rsid w:val="0021435C"/>
    <w:rsid w:val="002155B8"/>
    <w:rsid w:val="002165F4"/>
    <w:rsid w:val="00220BD1"/>
    <w:rsid w:val="002236D0"/>
    <w:rsid w:val="00223A03"/>
    <w:rsid w:val="00224839"/>
    <w:rsid w:val="002249B2"/>
    <w:rsid w:val="00226118"/>
    <w:rsid w:val="00226574"/>
    <w:rsid w:val="002278EC"/>
    <w:rsid w:val="0023201A"/>
    <w:rsid w:val="0023280E"/>
    <w:rsid w:val="002357D3"/>
    <w:rsid w:val="00236FD4"/>
    <w:rsid w:val="00237239"/>
    <w:rsid w:val="002377D1"/>
    <w:rsid w:val="002405AA"/>
    <w:rsid w:val="002442C2"/>
    <w:rsid w:val="00246781"/>
    <w:rsid w:val="002506BC"/>
    <w:rsid w:val="00250D5D"/>
    <w:rsid w:val="00251438"/>
    <w:rsid w:val="0025165E"/>
    <w:rsid w:val="0025303F"/>
    <w:rsid w:val="00254345"/>
    <w:rsid w:val="00254559"/>
    <w:rsid w:val="00254B59"/>
    <w:rsid w:val="00254D03"/>
    <w:rsid w:val="00255059"/>
    <w:rsid w:val="00256E68"/>
    <w:rsid w:val="002573B4"/>
    <w:rsid w:val="00262669"/>
    <w:rsid w:val="002629F8"/>
    <w:rsid w:val="00263E3B"/>
    <w:rsid w:val="00264557"/>
    <w:rsid w:val="00264BEE"/>
    <w:rsid w:val="00266D9A"/>
    <w:rsid w:val="0027049B"/>
    <w:rsid w:val="00273111"/>
    <w:rsid w:val="002803AA"/>
    <w:rsid w:val="002805AB"/>
    <w:rsid w:val="00280CDB"/>
    <w:rsid w:val="002824D5"/>
    <w:rsid w:val="00284204"/>
    <w:rsid w:val="002843F1"/>
    <w:rsid w:val="00286A6E"/>
    <w:rsid w:val="00287E22"/>
    <w:rsid w:val="00290C2A"/>
    <w:rsid w:val="00291773"/>
    <w:rsid w:val="00291C53"/>
    <w:rsid w:val="00295772"/>
    <w:rsid w:val="002A168C"/>
    <w:rsid w:val="002A1FF2"/>
    <w:rsid w:val="002A32B5"/>
    <w:rsid w:val="002A3DC7"/>
    <w:rsid w:val="002A423E"/>
    <w:rsid w:val="002A7C1C"/>
    <w:rsid w:val="002B1B68"/>
    <w:rsid w:val="002B3571"/>
    <w:rsid w:val="002B3DA1"/>
    <w:rsid w:val="002B481C"/>
    <w:rsid w:val="002B49E2"/>
    <w:rsid w:val="002B66E6"/>
    <w:rsid w:val="002B670D"/>
    <w:rsid w:val="002B7B00"/>
    <w:rsid w:val="002B7C44"/>
    <w:rsid w:val="002C16C3"/>
    <w:rsid w:val="002C2B17"/>
    <w:rsid w:val="002C311A"/>
    <w:rsid w:val="002C5866"/>
    <w:rsid w:val="002C6F28"/>
    <w:rsid w:val="002D0A1A"/>
    <w:rsid w:val="002D153F"/>
    <w:rsid w:val="002D3DD0"/>
    <w:rsid w:val="002D5A34"/>
    <w:rsid w:val="002D6D3D"/>
    <w:rsid w:val="002D70C9"/>
    <w:rsid w:val="002D7418"/>
    <w:rsid w:val="002E09AB"/>
    <w:rsid w:val="002E09B3"/>
    <w:rsid w:val="002E1F3A"/>
    <w:rsid w:val="002E246C"/>
    <w:rsid w:val="002E24A5"/>
    <w:rsid w:val="002E298A"/>
    <w:rsid w:val="002E3122"/>
    <w:rsid w:val="002E3837"/>
    <w:rsid w:val="002E39A5"/>
    <w:rsid w:val="002E46C0"/>
    <w:rsid w:val="002E64CF"/>
    <w:rsid w:val="002E6687"/>
    <w:rsid w:val="002F0D84"/>
    <w:rsid w:val="002F1377"/>
    <w:rsid w:val="002F27A6"/>
    <w:rsid w:val="002F2BBF"/>
    <w:rsid w:val="002F3C30"/>
    <w:rsid w:val="002F46C4"/>
    <w:rsid w:val="002F576B"/>
    <w:rsid w:val="003003AC"/>
    <w:rsid w:val="00301978"/>
    <w:rsid w:val="003027F0"/>
    <w:rsid w:val="0030332C"/>
    <w:rsid w:val="0030392A"/>
    <w:rsid w:val="00304BCD"/>
    <w:rsid w:val="00304CF2"/>
    <w:rsid w:val="003051C2"/>
    <w:rsid w:val="003074D9"/>
    <w:rsid w:val="00312296"/>
    <w:rsid w:val="0031267F"/>
    <w:rsid w:val="00314F0E"/>
    <w:rsid w:val="00321D8E"/>
    <w:rsid w:val="0032201D"/>
    <w:rsid w:val="003256A7"/>
    <w:rsid w:val="00325928"/>
    <w:rsid w:val="00326D9D"/>
    <w:rsid w:val="00326FA1"/>
    <w:rsid w:val="003275FC"/>
    <w:rsid w:val="00330CF2"/>
    <w:rsid w:val="00330EFD"/>
    <w:rsid w:val="00332863"/>
    <w:rsid w:val="00333292"/>
    <w:rsid w:val="003362C8"/>
    <w:rsid w:val="00336464"/>
    <w:rsid w:val="0033684D"/>
    <w:rsid w:val="00336E02"/>
    <w:rsid w:val="0033776E"/>
    <w:rsid w:val="00337B42"/>
    <w:rsid w:val="00341B42"/>
    <w:rsid w:val="00342036"/>
    <w:rsid w:val="0034348F"/>
    <w:rsid w:val="00344F59"/>
    <w:rsid w:val="0034570E"/>
    <w:rsid w:val="00346DBC"/>
    <w:rsid w:val="003501CE"/>
    <w:rsid w:val="0035176F"/>
    <w:rsid w:val="00351C19"/>
    <w:rsid w:val="003525D7"/>
    <w:rsid w:val="00352B6F"/>
    <w:rsid w:val="0035461F"/>
    <w:rsid w:val="00355568"/>
    <w:rsid w:val="003558F8"/>
    <w:rsid w:val="00356653"/>
    <w:rsid w:val="0035743F"/>
    <w:rsid w:val="003575D9"/>
    <w:rsid w:val="00357BE2"/>
    <w:rsid w:val="00361204"/>
    <w:rsid w:val="0036170C"/>
    <w:rsid w:val="003619EE"/>
    <w:rsid w:val="00361C01"/>
    <w:rsid w:val="00363E8E"/>
    <w:rsid w:val="0036482A"/>
    <w:rsid w:val="0036600A"/>
    <w:rsid w:val="00366E0F"/>
    <w:rsid w:val="00370190"/>
    <w:rsid w:val="00371DD7"/>
    <w:rsid w:val="00373669"/>
    <w:rsid w:val="00375C50"/>
    <w:rsid w:val="003761AC"/>
    <w:rsid w:val="00376FD6"/>
    <w:rsid w:val="00380687"/>
    <w:rsid w:val="00381744"/>
    <w:rsid w:val="00381A72"/>
    <w:rsid w:val="00384104"/>
    <w:rsid w:val="00384676"/>
    <w:rsid w:val="0038500F"/>
    <w:rsid w:val="003854EE"/>
    <w:rsid w:val="00387281"/>
    <w:rsid w:val="003905D5"/>
    <w:rsid w:val="00390857"/>
    <w:rsid w:val="003912EE"/>
    <w:rsid w:val="00393AF4"/>
    <w:rsid w:val="00394723"/>
    <w:rsid w:val="003A0DC7"/>
    <w:rsid w:val="003A1554"/>
    <w:rsid w:val="003A4BF3"/>
    <w:rsid w:val="003A6927"/>
    <w:rsid w:val="003B094F"/>
    <w:rsid w:val="003B2FC5"/>
    <w:rsid w:val="003B3228"/>
    <w:rsid w:val="003B35BA"/>
    <w:rsid w:val="003B420D"/>
    <w:rsid w:val="003B7AED"/>
    <w:rsid w:val="003C49F2"/>
    <w:rsid w:val="003C4CB0"/>
    <w:rsid w:val="003C5D0D"/>
    <w:rsid w:val="003C6C16"/>
    <w:rsid w:val="003C6E3A"/>
    <w:rsid w:val="003C7126"/>
    <w:rsid w:val="003C7D56"/>
    <w:rsid w:val="003D0E56"/>
    <w:rsid w:val="003D1240"/>
    <w:rsid w:val="003D2A34"/>
    <w:rsid w:val="003D3E1F"/>
    <w:rsid w:val="003D66DF"/>
    <w:rsid w:val="003D6F42"/>
    <w:rsid w:val="003D794D"/>
    <w:rsid w:val="003E1CD4"/>
    <w:rsid w:val="003E2F1E"/>
    <w:rsid w:val="003E3058"/>
    <w:rsid w:val="003E57D1"/>
    <w:rsid w:val="003E5D39"/>
    <w:rsid w:val="003E6ED0"/>
    <w:rsid w:val="003E76A9"/>
    <w:rsid w:val="003F00AD"/>
    <w:rsid w:val="003F0809"/>
    <w:rsid w:val="003F102C"/>
    <w:rsid w:val="003F3F87"/>
    <w:rsid w:val="003F4FA4"/>
    <w:rsid w:val="003F5F85"/>
    <w:rsid w:val="003F65D5"/>
    <w:rsid w:val="003F6A8C"/>
    <w:rsid w:val="003F6F2A"/>
    <w:rsid w:val="003F755C"/>
    <w:rsid w:val="00400344"/>
    <w:rsid w:val="00400BA8"/>
    <w:rsid w:val="0040117F"/>
    <w:rsid w:val="0040123C"/>
    <w:rsid w:val="004027DE"/>
    <w:rsid w:val="00402C10"/>
    <w:rsid w:val="00402C92"/>
    <w:rsid w:val="004058EF"/>
    <w:rsid w:val="00405B2D"/>
    <w:rsid w:val="00406F01"/>
    <w:rsid w:val="004128DE"/>
    <w:rsid w:val="00414345"/>
    <w:rsid w:val="00416918"/>
    <w:rsid w:val="00416D50"/>
    <w:rsid w:val="00416FD5"/>
    <w:rsid w:val="004173B2"/>
    <w:rsid w:val="00417772"/>
    <w:rsid w:val="00420E6A"/>
    <w:rsid w:val="00421156"/>
    <w:rsid w:val="00421315"/>
    <w:rsid w:val="00422911"/>
    <w:rsid w:val="00422F25"/>
    <w:rsid w:val="00423889"/>
    <w:rsid w:val="00423DFE"/>
    <w:rsid w:val="00425A9E"/>
    <w:rsid w:val="00425E41"/>
    <w:rsid w:val="0042640E"/>
    <w:rsid w:val="00426D6B"/>
    <w:rsid w:val="00431D90"/>
    <w:rsid w:val="00431E6C"/>
    <w:rsid w:val="00433CE7"/>
    <w:rsid w:val="00435B11"/>
    <w:rsid w:val="00435BF7"/>
    <w:rsid w:val="00436DCD"/>
    <w:rsid w:val="00440E95"/>
    <w:rsid w:val="0044122C"/>
    <w:rsid w:val="00445F16"/>
    <w:rsid w:val="0045100E"/>
    <w:rsid w:val="0045231D"/>
    <w:rsid w:val="00452738"/>
    <w:rsid w:val="004544EC"/>
    <w:rsid w:val="00456076"/>
    <w:rsid w:val="00456091"/>
    <w:rsid w:val="0045742A"/>
    <w:rsid w:val="004579D9"/>
    <w:rsid w:val="0046181E"/>
    <w:rsid w:val="004623BB"/>
    <w:rsid w:val="00462460"/>
    <w:rsid w:val="0046307B"/>
    <w:rsid w:val="004631F2"/>
    <w:rsid w:val="00466321"/>
    <w:rsid w:val="00470D77"/>
    <w:rsid w:val="00472C8A"/>
    <w:rsid w:val="004733F3"/>
    <w:rsid w:val="00473FA7"/>
    <w:rsid w:val="00477C17"/>
    <w:rsid w:val="00480282"/>
    <w:rsid w:val="00484B9B"/>
    <w:rsid w:val="004855F6"/>
    <w:rsid w:val="00485944"/>
    <w:rsid w:val="0048661E"/>
    <w:rsid w:val="00486975"/>
    <w:rsid w:val="00487D62"/>
    <w:rsid w:val="00492B5A"/>
    <w:rsid w:val="00494670"/>
    <w:rsid w:val="004955D8"/>
    <w:rsid w:val="004963B4"/>
    <w:rsid w:val="0049703F"/>
    <w:rsid w:val="00497092"/>
    <w:rsid w:val="004A0611"/>
    <w:rsid w:val="004A3823"/>
    <w:rsid w:val="004A47F3"/>
    <w:rsid w:val="004A566B"/>
    <w:rsid w:val="004A5AA2"/>
    <w:rsid w:val="004A74A2"/>
    <w:rsid w:val="004A74E9"/>
    <w:rsid w:val="004B069C"/>
    <w:rsid w:val="004B07B0"/>
    <w:rsid w:val="004B1AB9"/>
    <w:rsid w:val="004B2201"/>
    <w:rsid w:val="004B3D56"/>
    <w:rsid w:val="004B429A"/>
    <w:rsid w:val="004B43EB"/>
    <w:rsid w:val="004B4E6A"/>
    <w:rsid w:val="004B5A0D"/>
    <w:rsid w:val="004C062A"/>
    <w:rsid w:val="004C0ABB"/>
    <w:rsid w:val="004C34A7"/>
    <w:rsid w:val="004C35A7"/>
    <w:rsid w:val="004C4BF9"/>
    <w:rsid w:val="004D2DD9"/>
    <w:rsid w:val="004D45BE"/>
    <w:rsid w:val="004D5C08"/>
    <w:rsid w:val="004D6728"/>
    <w:rsid w:val="004D6A4F"/>
    <w:rsid w:val="004D6BB5"/>
    <w:rsid w:val="004D733C"/>
    <w:rsid w:val="004E26C8"/>
    <w:rsid w:val="004E3CA0"/>
    <w:rsid w:val="004E4473"/>
    <w:rsid w:val="004E6946"/>
    <w:rsid w:val="004F045B"/>
    <w:rsid w:val="004F06A3"/>
    <w:rsid w:val="004F1AD8"/>
    <w:rsid w:val="004F356E"/>
    <w:rsid w:val="004F3662"/>
    <w:rsid w:val="004F437E"/>
    <w:rsid w:val="004F62B3"/>
    <w:rsid w:val="004F6FAD"/>
    <w:rsid w:val="004F7A8E"/>
    <w:rsid w:val="005039CB"/>
    <w:rsid w:val="00503F45"/>
    <w:rsid w:val="0050427C"/>
    <w:rsid w:val="0050452E"/>
    <w:rsid w:val="00504AE8"/>
    <w:rsid w:val="0050558F"/>
    <w:rsid w:val="00505A23"/>
    <w:rsid w:val="00505A3C"/>
    <w:rsid w:val="00506286"/>
    <w:rsid w:val="00507775"/>
    <w:rsid w:val="00507F17"/>
    <w:rsid w:val="00510813"/>
    <w:rsid w:val="00511990"/>
    <w:rsid w:val="00511BD9"/>
    <w:rsid w:val="00511DE0"/>
    <w:rsid w:val="00511E84"/>
    <w:rsid w:val="00513D74"/>
    <w:rsid w:val="00513F4F"/>
    <w:rsid w:val="00514870"/>
    <w:rsid w:val="00514915"/>
    <w:rsid w:val="00514B9B"/>
    <w:rsid w:val="00516598"/>
    <w:rsid w:val="00516904"/>
    <w:rsid w:val="00517309"/>
    <w:rsid w:val="00517F02"/>
    <w:rsid w:val="005214E3"/>
    <w:rsid w:val="005224B6"/>
    <w:rsid w:val="00522A79"/>
    <w:rsid w:val="005237FE"/>
    <w:rsid w:val="00524303"/>
    <w:rsid w:val="005246C9"/>
    <w:rsid w:val="005258A2"/>
    <w:rsid w:val="0052603D"/>
    <w:rsid w:val="005306C4"/>
    <w:rsid w:val="00532669"/>
    <w:rsid w:val="00532B4D"/>
    <w:rsid w:val="00536A06"/>
    <w:rsid w:val="00537268"/>
    <w:rsid w:val="005401AE"/>
    <w:rsid w:val="005402D8"/>
    <w:rsid w:val="00540546"/>
    <w:rsid w:val="00542E07"/>
    <w:rsid w:val="00543459"/>
    <w:rsid w:val="00543763"/>
    <w:rsid w:val="0054435E"/>
    <w:rsid w:val="00545424"/>
    <w:rsid w:val="00545BC7"/>
    <w:rsid w:val="00545C5C"/>
    <w:rsid w:val="00546495"/>
    <w:rsid w:val="00546DBB"/>
    <w:rsid w:val="00547731"/>
    <w:rsid w:val="00550F20"/>
    <w:rsid w:val="005529E0"/>
    <w:rsid w:val="00552A76"/>
    <w:rsid w:val="00553DEB"/>
    <w:rsid w:val="00554A7B"/>
    <w:rsid w:val="00554FD7"/>
    <w:rsid w:val="00555133"/>
    <w:rsid w:val="0055572C"/>
    <w:rsid w:val="00555A9B"/>
    <w:rsid w:val="00556CB0"/>
    <w:rsid w:val="005575D9"/>
    <w:rsid w:val="005575FB"/>
    <w:rsid w:val="0056106A"/>
    <w:rsid w:val="00563363"/>
    <w:rsid w:val="005633B5"/>
    <w:rsid w:val="00564E2D"/>
    <w:rsid w:val="0057041F"/>
    <w:rsid w:val="005708C0"/>
    <w:rsid w:val="005720AE"/>
    <w:rsid w:val="00572EC6"/>
    <w:rsid w:val="005746EB"/>
    <w:rsid w:val="005762D2"/>
    <w:rsid w:val="0057700F"/>
    <w:rsid w:val="00577519"/>
    <w:rsid w:val="005853A1"/>
    <w:rsid w:val="005853A3"/>
    <w:rsid w:val="00586619"/>
    <w:rsid w:val="005876CC"/>
    <w:rsid w:val="00592292"/>
    <w:rsid w:val="00594D77"/>
    <w:rsid w:val="005953C7"/>
    <w:rsid w:val="005969E4"/>
    <w:rsid w:val="00597199"/>
    <w:rsid w:val="005977CB"/>
    <w:rsid w:val="005A06B7"/>
    <w:rsid w:val="005A1759"/>
    <w:rsid w:val="005A1C52"/>
    <w:rsid w:val="005A23C1"/>
    <w:rsid w:val="005A5B0F"/>
    <w:rsid w:val="005A68A7"/>
    <w:rsid w:val="005B1104"/>
    <w:rsid w:val="005B1E16"/>
    <w:rsid w:val="005B1FF4"/>
    <w:rsid w:val="005B283B"/>
    <w:rsid w:val="005B442B"/>
    <w:rsid w:val="005B6E84"/>
    <w:rsid w:val="005B706B"/>
    <w:rsid w:val="005B7CDE"/>
    <w:rsid w:val="005B7FBB"/>
    <w:rsid w:val="005C37A9"/>
    <w:rsid w:val="005C5D83"/>
    <w:rsid w:val="005C6B07"/>
    <w:rsid w:val="005D1891"/>
    <w:rsid w:val="005D238F"/>
    <w:rsid w:val="005D2689"/>
    <w:rsid w:val="005D36AB"/>
    <w:rsid w:val="005D46B6"/>
    <w:rsid w:val="005E31D6"/>
    <w:rsid w:val="005E4683"/>
    <w:rsid w:val="005E52CE"/>
    <w:rsid w:val="005E6482"/>
    <w:rsid w:val="005E6A3D"/>
    <w:rsid w:val="005E7C8E"/>
    <w:rsid w:val="005F3CBB"/>
    <w:rsid w:val="005F5681"/>
    <w:rsid w:val="005F56EA"/>
    <w:rsid w:val="005F6407"/>
    <w:rsid w:val="005F7871"/>
    <w:rsid w:val="00604636"/>
    <w:rsid w:val="006050FC"/>
    <w:rsid w:val="00606449"/>
    <w:rsid w:val="00606D2C"/>
    <w:rsid w:val="006109FC"/>
    <w:rsid w:val="00610CEB"/>
    <w:rsid w:val="00611DD4"/>
    <w:rsid w:val="00612B00"/>
    <w:rsid w:val="0061585F"/>
    <w:rsid w:val="00615B2C"/>
    <w:rsid w:val="0061609D"/>
    <w:rsid w:val="0061668A"/>
    <w:rsid w:val="00617CC3"/>
    <w:rsid w:val="00621D62"/>
    <w:rsid w:val="0062331B"/>
    <w:rsid w:val="00625C59"/>
    <w:rsid w:val="006264CA"/>
    <w:rsid w:val="0062651D"/>
    <w:rsid w:val="00627CA6"/>
    <w:rsid w:val="00630216"/>
    <w:rsid w:val="00630CC3"/>
    <w:rsid w:val="006329DB"/>
    <w:rsid w:val="00632B50"/>
    <w:rsid w:val="00632E5C"/>
    <w:rsid w:val="00633684"/>
    <w:rsid w:val="0063533D"/>
    <w:rsid w:val="006361A0"/>
    <w:rsid w:val="0063661A"/>
    <w:rsid w:val="006377A6"/>
    <w:rsid w:val="00637A3D"/>
    <w:rsid w:val="006411EF"/>
    <w:rsid w:val="00641326"/>
    <w:rsid w:val="00643791"/>
    <w:rsid w:val="006437CE"/>
    <w:rsid w:val="0065289C"/>
    <w:rsid w:val="00652C11"/>
    <w:rsid w:val="00653CA0"/>
    <w:rsid w:val="006551B0"/>
    <w:rsid w:val="006578F3"/>
    <w:rsid w:val="0066028F"/>
    <w:rsid w:val="006604EC"/>
    <w:rsid w:val="00661AA2"/>
    <w:rsid w:val="00661E89"/>
    <w:rsid w:val="006706D6"/>
    <w:rsid w:val="00673796"/>
    <w:rsid w:val="00673860"/>
    <w:rsid w:val="0067446C"/>
    <w:rsid w:val="006748B8"/>
    <w:rsid w:val="00676C14"/>
    <w:rsid w:val="00677170"/>
    <w:rsid w:val="006775C3"/>
    <w:rsid w:val="006779D2"/>
    <w:rsid w:val="00681A9F"/>
    <w:rsid w:val="00682C84"/>
    <w:rsid w:val="00686644"/>
    <w:rsid w:val="00687E78"/>
    <w:rsid w:val="0069290A"/>
    <w:rsid w:val="0069775A"/>
    <w:rsid w:val="00697813"/>
    <w:rsid w:val="006A1E40"/>
    <w:rsid w:val="006A3EE8"/>
    <w:rsid w:val="006A5E20"/>
    <w:rsid w:val="006A72BF"/>
    <w:rsid w:val="006A77D0"/>
    <w:rsid w:val="006B0344"/>
    <w:rsid w:val="006B03F2"/>
    <w:rsid w:val="006B0EA5"/>
    <w:rsid w:val="006B1053"/>
    <w:rsid w:val="006B1ABD"/>
    <w:rsid w:val="006B1C10"/>
    <w:rsid w:val="006B37DC"/>
    <w:rsid w:val="006B4F68"/>
    <w:rsid w:val="006B6F38"/>
    <w:rsid w:val="006C0592"/>
    <w:rsid w:val="006C0EEE"/>
    <w:rsid w:val="006C272E"/>
    <w:rsid w:val="006C30C9"/>
    <w:rsid w:val="006C3482"/>
    <w:rsid w:val="006C3961"/>
    <w:rsid w:val="006C5479"/>
    <w:rsid w:val="006C5FF6"/>
    <w:rsid w:val="006C69EC"/>
    <w:rsid w:val="006C7977"/>
    <w:rsid w:val="006D13B5"/>
    <w:rsid w:val="006D526B"/>
    <w:rsid w:val="006E03E0"/>
    <w:rsid w:val="006E12FF"/>
    <w:rsid w:val="006E19C8"/>
    <w:rsid w:val="006E3303"/>
    <w:rsid w:val="006E4E2C"/>
    <w:rsid w:val="006E607E"/>
    <w:rsid w:val="006F00B6"/>
    <w:rsid w:val="006F2685"/>
    <w:rsid w:val="006F3AD7"/>
    <w:rsid w:val="006F57F6"/>
    <w:rsid w:val="006F7E29"/>
    <w:rsid w:val="00700298"/>
    <w:rsid w:val="00700884"/>
    <w:rsid w:val="00701645"/>
    <w:rsid w:val="00702576"/>
    <w:rsid w:val="00702C1D"/>
    <w:rsid w:val="00703208"/>
    <w:rsid w:val="00705C35"/>
    <w:rsid w:val="007065C8"/>
    <w:rsid w:val="00706816"/>
    <w:rsid w:val="00706C5D"/>
    <w:rsid w:val="007075E0"/>
    <w:rsid w:val="00710039"/>
    <w:rsid w:val="00713DBC"/>
    <w:rsid w:val="00713FCF"/>
    <w:rsid w:val="0071667F"/>
    <w:rsid w:val="00717D02"/>
    <w:rsid w:val="007216A4"/>
    <w:rsid w:val="00722A57"/>
    <w:rsid w:val="00725CBB"/>
    <w:rsid w:val="00726843"/>
    <w:rsid w:val="007276BB"/>
    <w:rsid w:val="007311A1"/>
    <w:rsid w:val="00731EA2"/>
    <w:rsid w:val="00732922"/>
    <w:rsid w:val="0074041B"/>
    <w:rsid w:val="007414CF"/>
    <w:rsid w:val="00746F9C"/>
    <w:rsid w:val="00747734"/>
    <w:rsid w:val="00750FC3"/>
    <w:rsid w:val="0075162E"/>
    <w:rsid w:val="00751C11"/>
    <w:rsid w:val="007521A3"/>
    <w:rsid w:val="007522DE"/>
    <w:rsid w:val="0075236E"/>
    <w:rsid w:val="00752CA9"/>
    <w:rsid w:val="00754034"/>
    <w:rsid w:val="00756556"/>
    <w:rsid w:val="00756BF0"/>
    <w:rsid w:val="00756F75"/>
    <w:rsid w:val="0076119C"/>
    <w:rsid w:val="007613C3"/>
    <w:rsid w:val="007616D8"/>
    <w:rsid w:val="007618C4"/>
    <w:rsid w:val="007620FB"/>
    <w:rsid w:val="0076392A"/>
    <w:rsid w:val="00764971"/>
    <w:rsid w:val="00764E87"/>
    <w:rsid w:val="00766C43"/>
    <w:rsid w:val="00767425"/>
    <w:rsid w:val="00767980"/>
    <w:rsid w:val="00770B19"/>
    <w:rsid w:val="00774217"/>
    <w:rsid w:val="0077463F"/>
    <w:rsid w:val="00775A4D"/>
    <w:rsid w:val="007773A9"/>
    <w:rsid w:val="007778D1"/>
    <w:rsid w:val="00777CEE"/>
    <w:rsid w:val="00780039"/>
    <w:rsid w:val="00781587"/>
    <w:rsid w:val="0078174F"/>
    <w:rsid w:val="00781F9F"/>
    <w:rsid w:val="007821E4"/>
    <w:rsid w:val="007822EF"/>
    <w:rsid w:val="007836EA"/>
    <w:rsid w:val="00784CDA"/>
    <w:rsid w:val="007850B9"/>
    <w:rsid w:val="00785616"/>
    <w:rsid w:val="00785BA6"/>
    <w:rsid w:val="00785FC9"/>
    <w:rsid w:val="007906C4"/>
    <w:rsid w:val="0079295C"/>
    <w:rsid w:val="007940EA"/>
    <w:rsid w:val="007967E8"/>
    <w:rsid w:val="007969B3"/>
    <w:rsid w:val="00797D63"/>
    <w:rsid w:val="00797E2F"/>
    <w:rsid w:val="007A2170"/>
    <w:rsid w:val="007A22BF"/>
    <w:rsid w:val="007A251A"/>
    <w:rsid w:val="007A2A1D"/>
    <w:rsid w:val="007A3323"/>
    <w:rsid w:val="007A7A09"/>
    <w:rsid w:val="007B0B31"/>
    <w:rsid w:val="007B396A"/>
    <w:rsid w:val="007B44BA"/>
    <w:rsid w:val="007B72B8"/>
    <w:rsid w:val="007B7A58"/>
    <w:rsid w:val="007C04C8"/>
    <w:rsid w:val="007C146A"/>
    <w:rsid w:val="007C21B5"/>
    <w:rsid w:val="007C2C4A"/>
    <w:rsid w:val="007C3028"/>
    <w:rsid w:val="007C619B"/>
    <w:rsid w:val="007C6604"/>
    <w:rsid w:val="007D3887"/>
    <w:rsid w:val="007D686A"/>
    <w:rsid w:val="007D6A9C"/>
    <w:rsid w:val="007D77B5"/>
    <w:rsid w:val="007E099F"/>
    <w:rsid w:val="007E1AC2"/>
    <w:rsid w:val="007E2007"/>
    <w:rsid w:val="007E2D75"/>
    <w:rsid w:val="007E4BD2"/>
    <w:rsid w:val="007E6B17"/>
    <w:rsid w:val="007E70C2"/>
    <w:rsid w:val="007E7C50"/>
    <w:rsid w:val="007F7452"/>
    <w:rsid w:val="007F7474"/>
    <w:rsid w:val="00801393"/>
    <w:rsid w:val="00802F88"/>
    <w:rsid w:val="00805883"/>
    <w:rsid w:val="0081293E"/>
    <w:rsid w:val="00812F75"/>
    <w:rsid w:val="00815084"/>
    <w:rsid w:val="00815465"/>
    <w:rsid w:val="00815E18"/>
    <w:rsid w:val="00817025"/>
    <w:rsid w:val="00817E9A"/>
    <w:rsid w:val="008215D6"/>
    <w:rsid w:val="0082162B"/>
    <w:rsid w:val="00823925"/>
    <w:rsid w:val="00824D7B"/>
    <w:rsid w:val="0082746E"/>
    <w:rsid w:val="008306BD"/>
    <w:rsid w:val="00831A80"/>
    <w:rsid w:val="00831DA3"/>
    <w:rsid w:val="00832544"/>
    <w:rsid w:val="00833743"/>
    <w:rsid w:val="008340A4"/>
    <w:rsid w:val="00834A1E"/>
    <w:rsid w:val="00835C5F"/>
    <w:rsid w:val="00835E51"/>
    <w:rsid w:val="0083650E"/>
    <w:rsid w:val="008377A7"/>
    <w:rsid w:val="00840094"/>
    <w:rsid w:val="0084269A"/>
    <w:rsid w:val="00844CED"/>
    <w:rsid w:val="00844D7D"/>
    <w:rsid w:val="008459FB"/>
    <w:rsid w:val="00850F03"/>
    <w:rsid w:val="00851D6E"/>
    <w:rsid w:val="00851E7E"/>
    <w:rsid w:val="0085262B"/>
    <w:rsid w:val="00853636"/>
    <w:rsid w:val="008542E3"/>
    <w:rsid w:val="00854F78"/>
    <w:rsid w:val="0085538D"/>
    <w:rsid w:val="00855826"/>
    <w:rsid w:val="00860660"/>
    <w:rsid w:val="00861A7D"/>
    <w:rsid w:val="00862C4E"/>
    <w:rsid w:val="008638DD"/>
    <w:rsid w:val="0086475C"/>
    <w:rsid w:val="00865329"/>
    <w:rsid w:val="00865A75"/>
    <w:rsid w:val="008676D3"/>
    <w:rsid w:val="00867806"/>
    <w:rsid w:val="00870C82"/>
    <w:rsid w:val="0087135F"/>
    <w:rsid w:val="00871C61"/>
    <w:rsid w:val="00872054"/>
    <w:rsid w:val="008720FE"/>
    <w:rsid w:val="00872D94"/>
    <w:rsid w:val="00873CA8"/>
    <w:rsid w:val="0087459F"/>
    <w:rsid w:val="00875BCF"/>
    <w:rsid w:val="00876A9F"/>
    <w:rsid w:val="00880364"/>
    <w:rsid w:val="008805B7"/>
    <w:rsid w:val="00880CDD"/>
    <w:rsid w:val="00881A9C"/>
    <w:rsid w:val="00891592"/>
    <w:rsid w:val="00891E9E"/>
    <w:rsid w:val="008927CF"/>
    <w:rsid w:val="00892D5E"/>
    <w:rsid w:val="00893F2C"/>
    <w:rsid w:val="008949E5"/>
    <w:rsid w:val="00894B15"/>
    <w:rsid w:val="008956E9"/>
    <w:rsid w:val="00895AA8"/>
    <w:rsid w:val="008966AD"/>
    <w:rsid w:val="008967FC"/>
    <w:rsid w:val="0089720B"/>
    <w:rsid w:val="00897571"/>
    <w:rsid w:val="008A2F68"/>
    <w:rsid w:val="008A4514"/>
    <w:rsid w:val="008A68CC"/>
    <w:rsid w:val="008B3BD2"/>
    <w:rsid w:val="008B4256"/>
    <w:rsid w:val="008B4FA6"/>
    <w:rsid w:val="008B5282"/>
    <w:rsid w:val="008B6394"/>
    <w:rsid w:val="008B7C17"/>
    <w:rsid w:val="008B7D36"/>
    <w:rsid w:val="008C0815"/>
    <w:rsid w:val="008C11D9"/>
    <w:rsid w:val="008C2D01"/>
    <w:rsid w:val="008C40E6"/>
    <w:rsid w:val="008C4C9A"/>
    <w:rsid w:val="008C5ADB"/>
    <w:rsid w:val="008C63A0"/>
    <w:rsid w:val="008C7181"/>
    <w:rsid w:val="008D03DA"/>
    <w:rsid w:val="008D0789"/>
    <w:rsid w:val="008D0F7A"/>
    <w:rsid w:val="008D5841"/>
    <w:rsid w:val="008D68E4"/>
    <w:rsid w:val="008E0506"/>
    <w:rsid w:val="008E0CFF"/>
    <w:rsid w:val="008E0FC1"/>
    <w:rsid w:val="008E1C10"/>
    <w:rsid w:val="008E296D"/>
    <w:rsid w:val="008E2DCD"/>
    <w:rsid w:val="008E3F18"/>
    <w:rsid w:val="008E5D6B"/>
    <w:rsid w:val="008E76F0"/>
    <w:rsid w:val="008E7D11"/>
    <w:rsid w:val="008F0B07"/>
    <w:rsid w:val="008F15FE"/>
    <w:rsid w:val="008F224F"/>
    <w:rsid w:val="008F2C45"/>
    <w:rsid w:val="008F2D29"/>
    <w:rsid w:val="008F2F33"/>
    <w:rsid w:val="008F479D"/>
    <w:rsid w:val="008F5187"/>
    <w:rsid w:val="008F5583"/>
    <w:rsid w:val="008F59FF"/>
    <w:rsid w:val="008F5ADE"/>
    <w:rsid w:val="008F60D8"/>
    <w:rsid w:val="00901243"/>
    <w:rsid w:val="00901F94"/>
    <w:rsid w:val="00902519"/>
    <w:rsid w:val="00902727"/>
    <w:rsid w:val="0090312B"/>
    <w:rsid w:val="00903979"/>
    <w:rsid w:val="00904132"/>
    <w:rsid w:val="009104B9"/>
    <w:rsid w:val="0091061B"/>
    <w:rsid w:val="0091138A"/>
    <w:rsid w:val="00911B98"/>
    <w:rsid w:val="0091218C"/>
    <w:rsid w:val="0091272C"/>
    <w:rsid w:val="00912CF6"/>
    <w:rsid w:val="0091481B"/>
    <w:rsid w:val="00915E60"/>
    <w:rsid w:val="009165EA"/>
    <w:rsid w:val="0091736D"/>
    <w:rsid w:val="00917B2E"/>
    <w:rsid w:val="0092087A"/>
    <w:rsid w:val="009222D6"/>
    <w:rsid w:val="00926698"/>
    <w:rsid w:val="0093037A"/>
    <w:rsid w:val="009304BF"/>
    <w:rsid w:val="00931D32"/>
    <w:rsid w:val="009330D6"/>
    <w:rsid w:val="00936549"/>
    <w:rsid w:val="0094154D"/>
    <w:rsid w:val="0094224F"/>
    <w:rsid w:val="00943418"/>
    <w:rsid w:val="00943AA8"/>
    <w:rsid w:val="00943DD4"/>
    <w:rsid w:val="0094426B"/>
    <w:rsid w:val="0095155F"/>
    <w:rsid w:val="009525BC"/>
    <w:rsid w:val="0095280A"/>
    <w:rsid w:val="00953016"/>
    <w:rsid w:val="00953568"/>
    <w:rsid w:val="009535D7"/>
    <w:rsid w:val="0095420F"/>
    <w:rsid w:val="00954429"/>
    <w:rsid w:val="00955313"/>
    <w:rsid w:val="00955C63"/>
    <w:rsid w:val="009563CE"/>
    <w:rsid w:val="009604AC"/>
    <w:rsid w:val="00963D59"/>
    <w:rsid w:val="00965AE6"/>
    <w:rsid w:val="0096757A"/>
    <w:rsid w:val="00971BA8"/>
    <w:rsid w:val="00972DE2"/>
    <w:rsid w:val="00973DDD"/>
    <w:rsid w:val="00974BCB"/>
    <w:rsid w:val="00974DFA"/>
    <w:rsid w:val="00975983"/>
    <w:rsid w:val="00976328"/>
    <w:rsid w:val="0097680D"/>
    <w:rsid w:val="0097690C"/>
    <w:rsid w:val="00977937"/>
    <w:rsid w:val="0097794C"/>
    <w:rsid w:val="009779F7"/>
    <w:rsid w:val="0098076D"/>
    <w:rsid w:val="00980AF1"/>
    <w:rsid w:val="00982438"/>
    <w:rsid w:val="00982E73"/>
    <w:rsid w:val="00983B60"/>
    <w:rsid w:val="0098404C"/>
    <w:rsid w:val="009849E8"/>
    <w:rsid w:val="00985283"/>
    <w:rsid w:val="00985745"/>
    <w:rsid w:val="00986DDD"/>
    <w:rsid w:val="0098780A"/>
    <w:rsid w:val="00987E00"/>
    <w:rsid w:val="00992221"/>
    <w:rsid w:val="00993AF4"/>
    <w:rsid w:val="009942CA"/>
    <w:rsid w:val="00994A7F"/>
    <w:rsid w:val="00995992"/>
    <w:rsid w:val="0099797D"/>
    <w:rsid w:val="00997B5B"/>
    <w:rsid w:val="009A0199"/>
    <w:rsid w:val="009A03E5"/>
    <w:rsid w:val="009A0F3B"/>
    <w:rsid w:val="009A1BB4"/>
    <w:rsid w:val="009A2628"/>
    <w:rsid w:val="009A3200"/>
    <w:rsid w:val="009A4005"/>
    <w:rsid w:val="009A5FDA"/>
    <w:rsid w:val="009A692C"/>
    <w:rsid w:val="009B0897"/>
    <w:rsid w:val="009B0AE9"/>
    <w:rsid w:val="009B2287"/>
    <w:rsid w:val="009B3739"/>
    <w:rsid w:val="009B4B1C"/>
    <w:rsid w:val="009B5060"/>
    <w:rsid w:val="009B67EF"/>
    <w:rsid w:val="009B6E4D"/>
    <w:rsid w:val="009B6EAC"/>
    <w:rsid w:val="009B7BD9"/>
    <w:rsid w:val="009C125E"/>
    <w:rsid w:val="009C31F2"/>
    <w:rsid w:val="009C34CD"/>
    <w:rsid w:val="009C4F55"/>
    <w:rsid w:val="009C55FE"/>
    <w:rsid w:val="009C58AC"/>
    <w:rsid w:val="009C6191"/>
    <w:rsid w:val="009C65B4"/>
    <w:rsid w:val="009C7DD5"/>
    <w:rsid w:val="009D0457"/>
    <w:rsid w:val="009D0A54"/>
    <w:rsid w:val="009D7BAE"/>
    <w:rsid w:val="009E1967"/>
    <w:rsid w:val="009E201F"/>
    <w:rsid w:val="009E227D"/>
    <w:rsid w:val="009E400E"/>
    <w:rsid w:val="009E5019"/>
    <w:rsid w:val="009E50CD"/>
    <w:rsid w:val="009E51C9"/>
    <w:rsid w:val="009F2F67"/>
    <w:rsid w:val="009F30DA"/>
    <w:rsid w:val="009F339B"/>
    <w:rsid w:val="009F5E38"/>
    <w:rsid w:val="00A01CE6"/>
    <w:rsid w:val="00A04F1B"/>
    <w:rsid w:val="00A0501B"/>
    <w:rsid w:val="00A06102"/>
    <w:rsid w:val="00A06981"/>
    <w:rsid w:val="00A07995"/>
    <w:rsid w:val="00A131E8"/>
    <w:rsid w:val="00A14947"/>
    <w:rsid w:val="00A16F7F"/>
    <w:rsid w:val="00A227D0"/>
    <w:rsid w:val="00A25A71"/>
    <w:rsid w:val="00A267D4"/>
    <w:rsid w:val="00A26B2C"/>
    <w:rsid w:val="00A274FA"/>
    <w:rsid w:val="00A30766"/>
    <w:rsid w:val="00A30CFB"/>
    <w:rsid w:val="00A31A7F"/>
    <w:rsid w:val="00A32A83"/>
    <w:rsid w:val="00A33B46"/>
    <w:rsid w:val="00A347B1"/>
    <w:rsid w:val="00A368DB"/>
    <w:rsid w:val="00A3737C"/>
    <w:rsid w:val="00A3743C"/>
    <w:rsid w:val="00A410BF"/>
    <w:rsid w:val="00A422F4"/>
    <w:rsid w:val="00A42343"/>
    <w:rsid w:val="00A423AA"/>
    <w:rsid w:val="00A437E0"/>
    <w:rsid w:val="00A44ED6"/>
    <w:rsid w:val="00A453A0"/>
    <w:rsid w:val="00A45B8C"/>
    <w:rsid w:val="00A46250"/>
    <w:rsid w:val="00A47778"/>
    <w:rsid w:val="00A52056"/>
    <w:rsid w:val="00A52AF5"/>
    <w:rsid w:val="00A53EC6"/>
    <w:rsid w:val="00A54015"/>
    <w:rsid w:val="00A54D7A"/>
    <w:rsid w:val="00A55222"/>
    <w:rsid w:val="00A55C0F"/>
    <w:rsid w:val="00A5631F"/>
    <w:rsid w:val="00A57CB2"/>
    <w:rsid w:val="00A601F0"/>
    <w:rsid w:val="00A61A9A"/>
    <w:rsid w:val="00A629CA"/>
    <w:rsid w:val="00A62C33"/>
    <w:rsid w:val="00A63807"/>
    <w:rsid w:val="00A638D0"/>
    <w:rsid w:val="00A64415"/>
    <w:rsid w:val="00A64BD1"/>
    <w:rsid w:val="00A6534B"/>
    <w:rsid w:val="00A67685"/>
    <w:rsid w:val="00A67B1C"/>
    <w:rsid w:val="00A71ACD"/>
    <w:rsid w:val="00A72ADB"/>
    <w:rsid w:val="00A72B20"/>
    <w:rsid w:val="00A7521F"/>
    <w:rsid w:val="00A7618A"/>
    <w:rsid w:val="00A761D5"/>
    <w:rsid w:val="00A76F4A"/>
    <w:rsid w:val="00A76FC5"/>
    <w:rsid w:val="00A80492"/>
    <w:rsid w:val="00A811FF"/>
    <w:rsid w:val="00A8248D"/>
    <w:rsid w:val="00A83953"/>
    <w:rsid w:val="00A83967"/>
    <w:rsid w:val="00A83BEF"/>
    <w:rsid w:val="00A8417E"/>
    <w:rsid w:val="00A85655"/>
    <w:rsid w:val="00A86143"/>
    <w:rsid w:val="00A8713F"/>
    <w:rsid w:val="00A90BA1"/>
    <w:rsid w:val="00A9229C"/>
    <w:rsid w:val="00A929C0"/>
    <w:rsid w:val="00A9385E"/>
    <w:rsid w:val="00A949C7"/>
    <w:rsid w:val="00A95503"/>
    <w:rsid w:val="00A95CF7"/>
    <w:rsid w:val="00A96A46"/>
    <w:rsid w:val="00A97A9A"/>
    <w:rsid w:val="00A97F86"/>
    <w:rsid w:val="00A97FE3"/>
    <w:rsid w:val="00AA0671"/>
    <w:rsid w:val="00AA09CC"/>
    <w:rsid w:val="00AA0BEE"/>
    <w:rsid w:val="00AA15BB"/>
    <w:rsid w:val="00AA2531"/>
    <w:rsid w:val="00AA440A"/>
    <w:rsid w:val="00AA517D"/>
    <w:rsid w:val="00AA56AB"/>
    <w:rsid w:val="00AA7940"/>
    <w:rsid w:val="00AB156D"/>
    <w:rsid w:val="00AB1E09"/>
    <w:rsid w:val="00AB3652"/>
    <w:rsid w:val="00AB4064"/>
    <w:rsid w:val="00AB5330"/>
    <w:rsid w:val="00AB7747"/>
    <w:rsid w:val="00AC0AF2"/>
    <w:rsid w:val="00AC14CE"/>
    <w:rsid w:val="00AC2A56"/>
    <w:rsid w:val="00AC5017"/>
    <w:rsid w:val="00AC7977"/>
    <w:rsid w:val="00AD055E"/>
    <w:rsid w:val="00AD47A7"/>
    <w:rsid w:val="00AD5D86"/>
    <w:rsid w:val="00AE296A"/>
    <w:rsid w:val="00AE3B13"/>
    <w:rsid w:val="00AE792C"/>
    <w:rsid w:val="00AE7B22"/>
    <w:rsid w:val="00AF0CBF"/>
    <w:rsid w:val="00AF257F"/>
    <w:rsid w:val="00AF33CF"/>
    <w:rsid w:val="00AF4D50"/>
    <w:rsid w:val="00AF51DE"/>
    <w:rsid w:val="00AF557E"/>
    <w:rsid w:val="00AF6179"/>
    <w:rsid w:val="00AF6CED"/>
    <w:rsid w:val="00B001F8"/>
    <w:rsid w:val="00B00F09"/>
    <w:rsid w:val="00B0221F"/>
    <w:rsid w:val="00B02D5E"/>
    <w:rsid w:val="00B05E61"/>
    <w:rsid w:val="00B063E4"/>
    <w:rsid w:val="00B07EF7"/>
    <w:rsid w:val="00B10772"/>
    <w:rsid w:val="00B113B7"/>
    <w:rsid w:val="00B1295A"/>
    <w:rsid w:val="00B12A92"/>
    <w:rsid w:val="00B143EA"/>
    <w:rsid w:val="00B156AF"/>
    <w:rsid w:val="00B158C1"/>
    <w:rsid w:val="00B15A7A"/>
    <w:rsid w:val="00B20A45"/>
    <w:rsid w:val="00B21545"/>
    <w:rsid w:val="00B21A52"/>
    <w:rsid w:val="00B221B7"/>
    <w:rsid w:val="00B22C0B"/>
    <w:rsid w:val="00B22C5C"/>
    <w:rsid w:val="00B238C1"/>
    <w:rsid w:val="00B243DE"/>
    <w:rsid w:val="00B24AF0"/>
    <w:rsid w:val="00B24F30"/>
    <w:rsid w:val="00B25D1B"/>
    <w:rsid w:val="00B276A8"/>
    <w:rsid w:val="00B30917"/>
    <w:rsid w:val="00B31ABF"/>
    <w:rsid w:val="00B32F39"/>
    <w:rsid w:val="00B33A50"/>
    <w:rsid w:val="00B33BE3"/>
    <w:rsid w:val="00B3452D"/>
    <w:rsid w:val="00B34661"/>
    <w:rsid w:val="00B361D7"/>
    <w:rsid w:val="00B37BFE"/>
    <w:rsid w:val="00B40015"/>
    <w:rsid w:val="00B40066"/>
    <w:rsid w:val="00B402DC"/>
    <w:rsid w:val="00B40A9E"/>
    <w:rsid w:val="00B41A33"/>
    <w:rsid w:val="00B442A0"/>
    <w:rsid w:val="00B44567"/>
    <w:rsid w:val="00B4493E"/>
    <w:rsid w:val="00B44CA6"/>
    <w:rsid w:val="00B50A78"/>
    <w:rsid w:val="00B50EA6"/>
    <w:rsid w:val="00B52DF4"/>
    <w:rsid w:val="00B53B5D"/>
    <w:rsid w:val="00B561F3"/>
    <w:rsid w:val="00B6055E"/>
    <w:rsid w:val="00B60F43"/>
    <w:rsid w:val="00B61356"/>
    <w:rsid w:val="00B615DE"/>
    <w:rsid w:val="00B6317D"/>
    <w:rsid w:val="00B656A9"/>
    <w:rsid w:val="00B66105"/>
    <w:rsid w:val="00B66E3E"/>
    <w:rsid w:val="00B721FD"/>
    <w:rsid w:val="00B7356A"/>
    <w:rsid w:val="00B737D0"/>
    <w:rsid w:val="00B76474"/>
    <w:rsid w:val="00B7723F"/>
    <w:rsid w:val="00B77C26"/>
    <w:rsid w:val="00B77C74"/>
    <w:rsid w:val="00B801AE"/>
    <w:rsid w:val="00B80534"/>
    <w:rsid w:val="00B808A8"/>
    <w:rsid w:val="00B82774"/>
    <w:rsid w:val="00B8433C"/>
    <w:rsid w:val="00B857F5"/>
    <w:rsid w:val="00B8704F"/>
    <w:rsid w:val="00B87491"/>
    <w:rsid w:val="00B91524"/>
    <w:rsid w:val="00B91591"/>
    <w:rsid w:val="00B949C2"/>
    <w:rsid w:val="00B95EE2"/>
    <w:rsid w:val="00B971D9"/>
    <w:rsid w:val="00BA1CC7"/>
    <w:rsid w:val="00BA231C"/>
    <w:rsid w:val="00BA29E9"/>
    <w:rsid w:val="00BA3998"/>
    <w:rsid w:val="00BA48F4"/>
    <w:rsid w:val="00BA5FD1"/>
    <w:rsid w:val="00BA7142"/>
    <w:rsid w:val="00BA7202"/>
    <w:rsid w:val="00BA7CE5"/>
    <w:rsid w:val="00BB0222"/>
    <w:rsid w:val="00BB1DEB"/>
    <w:rsid w:val="00BB237C"/>
    <w:rsid w:val="00BB2408"/>
    <w:rsid w:val="00BB3A22"/>
    <w:rsid w:val="00BB41A3"/>
    <w:rsid w:val="00BB4DA3"/>
    <w:rsid w:val="00BB5323"/>
    <w:rsid w:val="00BC0039"/>
    <w:rsid w:val="00BC047E"/>
    <w:rsid w:val="00BC04F0"/>
    <w:rsid w:val="00BC053D"/>
    <w:rsid w:val="00BC07DC"/>
    <w:rsid w:val="00BC0BDF"/>
    <w:rsid w:val="00BC1E92"/>
    <w:rsid w:val="00BC2941"/>
    <w:rsid w:val="00BC32DC"/>
    <w:rsid w:val="00BC3379"/>
    <w:rsid w:val="00BC35B6"/>
    <w:rsid w:val="00BC43D3"/>
    <w:rsid w:val="00BC4E22"/>
    <w:rsid w:val="00BC517C"/>
    <w:rsid w:val="00BC57AD"/>
    <w:rsid w:val="00BD004E"/>
    <w:rsid w:val="00BD1B51"/>
    <w:rsid w:val="00BD207A"/>
    <w:rsid w:val="00BD27B6"/>
    <w:rsid w:val="00BD4596"/>
    <w:rsid w:val="00BD598B"/>
    <w:rsid w:val="00BD763D"/>
    <w:rsid w:val="00BD7931"/>
    <w:rsid w:val="00BE1405"/>
    <w:rsid w:val="00BE2263"/>
    <w:rsid w:val="00BE312D"/>
    <w:rsid w:val="00BE4D31"/>
    <w:rsid w:val="00BE6E83"/>
    <w:rsid w:val="00BE6EFF"/>
    <w:rsid w:val="00BE73BF"/>
    <w:rsid w:val="00BF035E"/>
    <w:rsid w:val="00BF0E3D"/>
    <w:rsid w:val="00BF17B8"/>
    <w:rsid w:val="00BF1C20"/>
    <w:rsid w:val="00BF3AA5"/>
    <w:rsid w:val="00BF3D22"/>
    <w:rsid w:val="00BF5B59"/>
    <w:rsid w:val="00BF6544"/>
    <w:rsid w:val="00BF71FF"/>
    <w:rsid w:val="00BF75B5"/>
    <w:rsid w:val="00C01A67"/>
    <w:rsid w:val="00C02B12"/>
    <w:rsid w:val="00C05801"/>
    <w:rsid w:val="00C05B29"/>
    <w:rsid w:val="00C07317"/>
    <w:rsid w:val="00C10149"/>
    <w:rsid w:val="00C10578"/>
    <w:rsid w:val="00C135BC"/>
    <w:rsid w:val="00C15C63"/>
    <w:rsid w:val="00C15C95"/>
    <w:rsid w:val="00C172AF"/>
    <w:rsid w:val="00C21186"/>
    <w:rsid w:val="00C21ED8"/>
    <w:rsid w:val="00C23A29"/>
    <w:rsid w:val="00C2596A"/>
    <w:rsid w:val="00C25F0F"/>
    <w:rsid w:val="00C267F1"/>
    <w:rsid w:val="00C26851"/>
    <w:rsid w:val="00C27537"/>
    <w:rsid w:val="00C300D1"/>
    <w:rsid w:val="00C30649"/>
    <w:rsid w:val="00C31B0A"/>
    <w:rsid w:val="00C328FE"/>
    <w:rsid w:val="00C32FB6"/>
    <w:rsid w:val="00C33507"/>
    <w:rsid w:val="00C336EE"/>
    <w:rsid w:val="00C367F4"/>
    <w:rsid w:val="00C3748F"/>
    <w:rsid w:val="00C37839"/>
    <w:rsid w:val="00C408AF"/>
    <w:rsid w:val="00C4409D"/>
    <w:rsid w:val="00C44E72"/>
    <w:rsid w:val="00C45A06"/>
    <w:rsid w:val="00C45A08"/>
    <w:rsid w:val="00C4737F"/>
    <w:rsid w:val="00C47E5B"/>
    <w:rsid w:val="00C50A12"/>
    <w:rsid w:val="00C51BAF"/>
    <w:rsid w:val="00C523D5"/>
    <w:rsid w:val="00C52780"/>
    <w:rsid w:val="00C53B04"/>
    <w:rsid w:val="00C55E88"/>
    <w:rsid w:val="00C56755"/>
    <w:rsid w:val="00C56CD7"/>
    <w:rsid w:val="00C56F97"/>
    <w:rsid w:val="00C61E4B"/>
    <w:rsid w:val="00C64233"/>
    <w:rsid w:val="00C64BFF"/>
    <w:rsid w:val="00C666A2"/>
    <w:rsid w:val="00C66BC5"/>
    <w:rsid w:val="00C67146"/>
    <w:rsid w:val="00C67BB2"/>
    <w:rsid w:val="00C67BE5"/>
    <w:rsid w:val="00C67C39"/>
    <w:rsid w:val="00C67FBC"/>
    <w:rsid w:val="00C704E9"/>
    <w:rsid w:val="00C7321E"/>
    <w:rsid w:val="00C73709"/>
    <w:rsid w:val="00C747DA"/>
    <w:rsid w:val="00C74DB9"/>
    <w:rsid w:val="00C7536A"/>
    <w:rsid w:val="00C763C9"/>
    <w:rsid w:val="00C768F4"/>
    <w:rsid w:val="00C768F5"/>
    <w:rsid w:val="00C80057"/>
    <w:rsid w:val="00C80299"/>
    <w:rsid w:val="00C80C1B"/>
    <w:rsid w:val="00C810BA"/>
    <w:rsid w:val="00C818FB"/>
    <w:rsid w:val="00C82232"/>
    <w:rsid w:val="00C82913"/>
    <w:rsid w:val="00C83E78"/>
    <w:rsid w:val="00C843B9"/>
    <w:rsid w:val="00C849D6"/>
    <w:rsid w:val="00C85093"/>
    <w:rsid w:val="00C855F8"/>
    <w:rsid w:val="00C90AE3"/>
    <w:rsid w:val="00C90FEC"/>
    <w:rsid w:val="00C92336"/>
    <w:rsid w:val="00C952D5"/>
    <w:rsid w:val="00C972B1"/>
    <w:rsid w:val="00CA0B8C"/>
    <w:rsid w:val="00CA2CCE"/>
    <w:rsid w:val="00CA36DA"/>
    <w:rsid w:val="00CA3D7E"/>
    <w:rsid w:val="00CA43FD"/>
    <w:rsid w:val="00CA4A53"/>
    <w:rsid w:val="00CA5AD5"/>
    <w:rsid w:val="00CA7EF8"/>
    <w:rsid w:val="00CB1A02"/>
    <w:rsid w:val="00CB6BB2"/>
    <w:rsid w:val="00CB6D19"/>
    <w:rsid w:val="00CC1469"/>
    <w:rsid w:val="00CC16F2"/>
    <w:rsid w:val="00CC242C"/>
    <w:rsid w:val="00CC365D"/>
    <w:rsid w:val="00CC456D"/>
    <w:rsid w:val="00CC489B"/>
    <w:rsid w:val="00CC71EF"/>
    <w:rsid w:val="00CD091D"/>
    <w:rsid w:val="00CD0AE5"/>
    <w:rsid w:val="00CD104F"/>
    <w:rsid w:val="00CD16A7"/>
    <w:rsid w:val="00CD2BCD"/>
    <w:rsid w:val="00CD31F7"/>
    <w:rsid w:val="00CD3A4C"/>
    <w:rsid w:val="00CE022F"/>
    <w:rsid w:val="00CE10E9"/>
    <w:rsid w:val="00CE1328"/>
    <w:rsid w:val="00CE2612"/>
    <w:rsid w:val="00CE2910"/>
    <w:rsid w:val="00CE2BA6"/>
    <w:rsid w:val="00CE2C3E"/>
    <w:rsid w:val="00CE3F53"/>
    <w:rsid w:val="00CE4C30"/>
    <w:rsid w:val="00CE5393"/>
    <w:rsid w:val="00CE5C7B"/>
    <w:rsid w:val="00CE5F1A"/>
    <w:rsid w:val="00CE65D8"/>
    <w:rsid w:val="00CE70EE"/>
    <w:rsid w:val="00CE789E"/>
    <w:rsid w:val="00CF0010"/>
    <w:rsid w:val="00CF36BE"/>
    <w:rsid w:val="00CF38F2"/>
    <w:rsid w:val="00CF5AFA"/>
    <w:rsid w:val="00CF6000"/>
    <w:rsid w:val="00CF668A"/>
    <w:rsid w:val="00CF690C"/>
    <w:rsid w:val="00CF73A1"/>
    <w:rsid w:val="00D003F3"/>
    <w:rsid w:val="00D00861"/>
    <w:rsid w:val="00D02A9D"/>
    <w:rsid w:val="00D0309E"/>
    <w:rsid w:val="00D0364F"/>
    <w:rsid w:val="00D06834"/>
    <w:rsid w:val="00D06AF5"/>
    <w:rsid w:val="00D12017"/>
    <w:rsid w:val="00D14E60"/>
    <w:rsid w:val="00D16454"/>
    <w:rsid w:val="00D2080B"/>
    <w:rsid w:val="00D21A08"/>
    <w:rsid w:val="00D26A83"/>
    <w:rsid w:val="00D272C6"/>
    <w:rsid w:val="00D273D3"/>
    <w:rsid w:val="00D308ED"/>
    <w:rsid w:val="00D30F3E"/>
    <w:rsid w:val="00D312A6"/>
    <w:rsid w:val="00D33B22"/>
    <w:rsid w:val="00D35B9C"/>
    <w:rsid w:val="00D36D86"/>
    <w:rsid w:val="00D428AA"/>
    <w:rsid w:val="00D44841"/>
    <w:rsid w:val="00D45623"/>
    <w:rsid w:val="00D50A34"/>
    <w:rsid w:val="00D5169D"/>
    <w:rsid w:val="00D5342D"/>
    <w:rsid w:val="00D53EFA"/>
    <w:rsid w:val="00D54517"/>
    <w:rsid w:val="00D5466E"/>
    <w:rsid w:val="00D553A8"/>
    <w:rsid w:val="00D5605E"/>
    <w:rsid w:val="00D56945"/>
    <w:rsid w:val="00D57581"/>
    <w:rsid w:val="00D60AD3"/>
    <w:rsid w:val="00D6179F"/>
    <w:rsid w:val="00D62E8E"/>
    <w:rsid w:val="00D65D15"/>
    <w:rsid w:val="00D66EE6"/>
    <w:rsid w:val="00D7072B"/>
    <w:rsid w:val="00D73DF4"/>
    <w:rsid w:val="00D755D2"/>
    <w:rsid w:val="00D75E58"/>
    <w:rsid w:val="00D764C5"/>
    <w:rsid w:val="00D76A5F"/>
    <w:rsid w:val="00D802F1"/>
    <w:rsid w:val="00D80831"/>
    <w:rsid w:val="00D813D0"/>
    <w:rsid w:val="00D847EB"/>
    <w:rsid w:val="00D860C1"/>
    <w:rsid w:val="00D87446"/>
    <w:rsid w:val="00D87EFF"/>
    <w:rsid w:val="00D92265"/>
    <w:rsid w:val="00D934E9"/>
    <w:rsid w:val="00D942D6"/>
    <w:rsid w:val="00D94A7C"/>
    <w:rsid w:val="00D95896"/>
    <w:rsid w:val="00D95CCC"/>
    <w:rsid w:val="00D96A59"/>
    <w:rsid w:val="00D9752D"/>
    <w:rsid w:val="00D97621"/>
    <w:rsid w:val="00D9778D"/>
    <w:rsid w:val="00D97AC4"/>
    <w:rsid w:val="00D97E30"/>
    <w:rsid w:val="00DA059F"/>
    <w:rsid w:val="00DA2FD4"/>
    <w:rsid w:val="00DA3CBE"/>
    <w:rsid w:val="00DA4AD6"/>
    <w:rsid w:val="00DA5A4F"/>
    <w:rsid w:val="00DB1E1C"/>
    <w:rsid w:val="00DB2983"/>
    <w:rsid w:val="00DB2C05"/>
    <w:rsid w:val="00DB597F"/>
    <w:rsid w:val="00DB62A2"/>
    <w:rsid w:val="00DC0617"/>
    <w:rsid w:val="00DC071D"/>
    <w:rsid w:val="00DC1257"/>
    <w:rsid w:val="00DC1461"/>
    <w:rsid w:val="00DC2447"/>
    <w:rsid w:val="00DC3DC0"/>
    <w:rsid w:val="00DC4930"/>
    <w:rsid w:val="00DC5837"/>
    <w:rsid w:val="00DC5B2B"/>
    <w:rsid w:val="00DD1A5B"/>
    <w:rsid w:val="00DD1E7F"/>
    <w:rsid w:val="00DD2427"/>
    <w:rsid w:val="00DD276C"/>
    <w:rsid w:val="00DD318D"/>
    <w:rsid w:val="00DD562D"/>
    <w:rsid w:val="00DD57EF"/>
    <w:rsid w:val="00DD65C9"/>
    <w:rsid w:val="00DE0383"/>
    <w:rsid w:val="00DE175C"/>
    <w:rsid w:val="00DE1F39"/>
    <w:rsid w:val="00DE2FFE"/>
    <w:rsid w:val="00DE3620"/>
    <w:rsid w:val="00DE3D10"/>
    <w:rsid w:val="00DE4E58"/>
    <w:rsid w:val="00DE6B18"/>
    <w:rsid w:val="00DE778B"/>
    <w:rsid w:val="00DF035E"/>
    <w:rsid w:val="00DF2E12"/>
    <w:rsid w:val="00DF2F2E"/>
    <w:rsid w:val="00DF3C56"/>
    <w:rsid w:val="00DF41F2"/>
    <w:rsid w:val="00DF514A"/>
    <w:rsid w:val="00DF6690"/>
    <w:rsid w:val="00DF6804"/>
    <w:rsid w:val="00E002B4"/>
    <w:rsid w:val="00E0358D"/>
    <w:rsid w:val="00E04323"/>
    <w:rsid w:val="00E070A2"/>
    <w:rsid w:val="00E12104"/>
    <w:rsid w:val="00E138F0"/>
    <w:rsid w:val="00E13A35"/>
    <w:rsid w:val="00E15390"/>
    <w:rsid w:val="00E169AB"/>
    <w:rsid w:val="00E16ABE"/>
    <w:rsid w:val="00E17014"/>
    <w:rsid w:val="00E176B3"/>
    <w:rsid w:val="00E177B2"/>
    <w:rsid w:val="00E220D8"/>
    <w:rsid w:val="00E2656A"/>
    <w:rsid w:val="00E279AB"/>
    <w:rsid w:val="00E3027B"/>
    <w:rsid w:val="00E30DE4"/>
    <w:rsid w:val="00E31980"/>
    <w:rsid w:val="00E32611"/>
    <w:rsid w:val="00E33C4C"/>
    <w:rsid w:val="00E34AF2"/>
    <w:rsid w:val="00E34F78"/>
    <w:rsid w:val="00E374D4"/>
    <w:rsid w:val="00E37892"/>
    <w:rsid w:val="00E40036"/>
    <w:rsid w:val="00E407CC"/>
    <w:rsid w:val="00E411EE"/>
    <w:rsid w:val="00E412D0"/>
    <w:rsid w:val="00E42718"/>
    <w:rsid w:val="00E4318A"/>
    <w:rsid w:val="00E43E61"/>
    <w:rsid w:val="00E44E61"/>
    <w:rsid w:val="00E47840"/>
    <w:rsid w:val="00E47916"/>
    <w:rsid w:val="00E47A88"/>
    <w:rsid w:val="00E50F30"/>
    <w:rsid w:val="00E515DC"/>
    <w:rsid w:val="00E5163C"/>
    <w:rsid w:val="00E52F4C"/>
    <w:rsid w:val="00E54984"/>
    <w:rsid w:val="00E56322"/>
    <w:rsid w:val="00E60982"/>
    <w:rsid w:val="00E62C62"/>
    <w:rsid w:val="00E64316"/>
    <w:rsid w:val="00E654C1"/>
    <w:rsid w:val="00E65D97"/>
    <w:rsid w:val="00E65E23"/>
    <w:rsid w:val="00E66648"/>
    <w:rsid w:val="00E67425"/>
    <w:rsid w:val="00E67FA5"/>
    <w:rsid w:val="00E70B58"/>
    <w:rsid w:val="00E72A5A"/>
    <w:rsid w:val="00E73354"/>
    <w:rsid w:val="00E73B16"/>
    <w:rsid w:val="00E74D3C"/>
    <w:rsid w:val="00E76DF8"/>
    <w:rsid w:val="00E8001E"/>
    <w:rsid w:val="00E86356"/>
    <w:rsid w:val="00E86BC3"/>
    <w:rsid w:val="00E8764F"/>
    <w:rsid w:val="00E87D27"/>
    <w:rsid w:val="00E9242D"/>
    <w:rsid w:val="00E9371F"/>
    <w:rsid w:val="00E9372C"/>
    <w:rsid w:val="00E96C66"/>
    <w:rsid w:val="00E970DF"/>
    <w:rsid w:val="00EA12AE"/>
    <w:rsid w:val="00EA27F2"/>
    <w:rsid w:val="00EA41D0"/>
    <w:rsid w:val="00EA5252"/>
    <w:rsid w:val="00EA7832"/>
    <w:rsid w:val="00EA7DC9"/>
    <w:rsid w:val="00EA7F7C"/>
    <w:rsid w:val="00EB0FC9"/>
    <w:rsid w:val="00EB1213"/>
    <w:rsid w:val="00EB468E"/>
    <w:rsid w:val="00EB5255"/>
    <w:rsid w:val="00EB59C5"/>
    <w:rsid w:val="00EB5C47"/>
    <w:rsid w:val="00EB7920"/>
    <w:rsid w:val="00EC10E2"/>
    <w:rsid w:val="00EC10F5"/>
    <w:rsid w:val="00EC17D3"/>
    <w:rsid w:val="00EC1C07"/>
    <w:rsid w:val="00EC2E02"/>
    <w:rsid w:val="00EC6402"/>
    <w:rsid w:val="00ED0539"/>
    <w:rsid w:val="00ED0639"/>
    <w:rsid w:val="00ED159A"/>
    <w:rsid w:val="00ED1C78"/>
    <w:rsid w:val="00ED1EEB"/>
    <w:rsid w:val="00ED73F1"/>
    <w:rsid w:val="00EE0EC7"/>
    <w:rsid w:val="00EE21D8"/>
    <w:rsid w:val="00EE55F7"/>
    <w:rsid w:val="00EE77F0"/>
    <w:rsid w:val="00EF21E2"/>
    <w:rsid w:val="00EF362C"/>
    <w:rsid w:val="00EF4755"/>
    <w:rsid w:val="00EF5B99"/>
    <w:rsid w:val="00EF7135"/>
    <w:rsid w:val="00F001F1"/>
    <w:rsid w:val="00F01371"/>
    <w:rsid w:val="00F01A27"/>
    <w:rsid w:val="00F0215E"/>
    <w:rsid w:val="00F027DB"/>
    <w:rsid w:val="00F03447"/>
    <w:rsid w:val="00F05D9C"/>
    <w:rsid w:val="00F05F06"/>
    <w:rsid w:val="00F065BE"/>
    <w:rsid w:val="00F10212"/>
    <w:rsid w:val="00F109E1"/>
    <w:rsid w:val="00F1271B"/>
    <w:rsid w:val="00F12D28"/>
    <w:rsid w:val="00F12DEE"/>
    <w:rsid w:val="00F1341E"/>
    <w:rsid w:val="00F13B76"/>
    <w:rsid w:val="00F14A7A"/>
    <w:rsid w:val="00F1750B"/>
    <w:rsid w:val="00F1779D"/>
    <w:rsid w:val="00F179DD"/>
    <w:rsid w:val="00F17D2C"/>
    <w:rsid w:val="00F17F06"/>
    <w:rsid w:val="00F2019B"/>
    <w:rsid w:val="00F22985"/>
    <w:rsid w:val="00F23C92"/>
    <w:rsid w:val="00F24AE7"/>
    <w:rsid w:val="00F2535B"/>
    <w:rsid w:val="00F26559"/>
    <w:rsid w:val="00F27FE9"/>
    <w:rsid w:val="00F30722"/>
    <w:rsid w:val="00F30E3A"/>
    <w:rsid w:val="00F31436"/>
    <w:rsid w:val="00F322D6"/>
    <w:rsid w:val="00F32C5A"/>
    <w:rsid w:val="00F33038"/>
    <w:rsid w:val="00F3383E"/>
    <w:rsid w:val="00F37CE6"/>
    <w:rsid w:val="00F37FB4"/>
    <w:rsid w:val="00F42546"/>
    <w:rsid w:val="00F4267B"/>
    <w:rsid w:val="00F42C71"/>
    <w:rsid w:val="00F439FE"/>
    <w:rsid w:val="00F465A7"/>
    <w:rsid w:val="00F47C47"/>
    <w:rsid w:val="00F5027D"/>
    <w:rsid w:val="00F50535"/>
    <w:rsid w:val="00F50B7C"/>
    <w:rsid w:val="00F517EA"/>
    <w:rsid w:val="00F53571"/>
    <w:rsid w:val="00F53EB6"/>
    <w:rsid w:val="00F54740"/>
    <w:rsid w:val="00F550E6"/>
    <w:rsid w:val="00F554F6"/>
    <w:rsid w:val="00F55DAF"/>
    <w:rsid w:val="00F60BC0"/>
    <w:rsid w:val="00F6395C"/>
    <w:rsid w:val="00F6496B"/>
    <w:rsid w:val="00F67056"/>
    <w:rsid w:val="00F674D3"/>
    <w:rsid w:val="00F67A00"/>
    <w:rsid w:val="00F72071"/>
    <w:rsid w:val="00F74345"/>
    <w:rsid w:val="00F76BDB"/>
    <w:rsid w:val="00F77708"/>
    <w:rsid w:val="00F77D4C"/>
    <w:rsid w:val="00F80671"/>
    <w:rsid w:val="00F808A6"/>
    <w:rsid w:val="00F80A0A"/>
    <w:rsid w:val="00F80AB0"/>
    <w:rsid w:val="00F80C30"/>
    <w:rsid w:val="00F81C30"/>
    <w:rsid w:val="00F8295C"/>
    <w:rsid w:val="00F82B19"/>
    <w:rsid w:val="00F83342"/>
    <w:rsid w:val="00F837B3"/>
    <w:rsid w:val="00F90D92"/>
    <w:rsid w:val="00F90F7B"/>
    <w:rsid w:val="00F9212D"/>
    <w:rsid w:val="00F925C3"/>
    <w:rsid w:val="00F929B8"/>
    <w:rsid w:val="00F942A6"/>
    <w:rsid w:val="00F95D29"/>
    <w:rsid w:val="00F95E06"/>
    <w:rsid w:val="00F965DA"/>
    <w:rsid w:val="00F96F8E"/>
    <w:rsid w:val="00FA0EAF"/>
    <w:rsid w:val="00FA3DF9"/>
    <w:rsid w:val="00FA406A"/>
    <w:rsid w:val="00FA418D"/>
    <w:rsid w:val="00FA5190"/>
    <w:rsid w:val="00FA5863"/>
    <w:rsid w:val="00FA649D"/>
    <w:rsid w:val="00FA741A"/>
    <w:rsid w:val="00FA7999"/>
    <w:rsid w:val="00FA7CBE"/>
    <w:rsid w:val="00FB503A"/>
    <w:rsid w:val="00FB516C"/>
    <w:rsid w:val="00FC17C8"/>
    <w:rsid w:val="00FC1A73"/>
    <w:rsid w:val="00FC1DF5"/>
    <w:rsid w:val="00FC22BF"/>
    <w:rsid w:val="00FC3493"/>
    <w:rsid w:val="00FD0236"/>
    <w:rsid w:val="00FD02AB"/>
    <w:rsid w:val="00FD098E"/>
    <w:rsid w:val="00FD18F4"/>
    <w:rsid w:val="00FD54DB"/>
    <w:rsid w:val="00FD619F"/>
    <w:rsid w:val="00FD6BCE"/>
    <w:rsid w:val="00FD78C1"/>
    <w:rsid w:val="00FE0E54"/>
    <w:rsid w:val="00FE1987"/>
    <w:rsid w:val="00FE2B24"/>
    <w:rsid w:val="00FE3298"/>
    <w:rsid w:val="00FE4371"/>
    <w:rsid w:val="00FE4CB2"/>
    <w:rsid w:val="00FE4CDF"/>
    <w:rsid w:val="00FE65C6"/>
    <w:rsid w:val="00FE6AA1"/>
    <w:rsid w:val="00FF1918"/>
    <w:rsid w:val="00FF34EC"/>
    <w:rsid w:val="00FF4516"/>
    <w:rsid w:val="00FF4AA2"/>
    <w:rsid w:val="00FF62AA"/>
    <w:rsid w:val="01290F7E"/>
    <w:rsid w:val="015D1E09"/>
    <w:rsid w:val="01CD7566"/>
    <w:rsid w:val="02697903"/>
    <w:rsid w:val="02F96569"/>
    <w:rsid w:val="03EA7B21"/>
    <w:rsid w:val="05D2339D"/>
    <w:rsid w:val="05F83EAE"/>
    <w:rsid w:val="063E7D85"/>
    <w:rsid w:val="07293586"/>
    <w:rsid w:val="07295285"/>
    <w:rsid w:val="07636392"/>
    <w:rsid w:val="07770C56"/>
    <w:rsid w:val="07FB4F7A"/>
    <w:rsid w:val="092217DD"/>
    <w:rsid w:val="093A7294"/>
    <w:rsid w:val="0A263993"/>
    <w:rsid w:val="0A2D3AC2"/>
    <w:rsid w:val="0AA755DF"/>
    <w:rsid w:val="0B120D44"/>
    <w:rsid w:val="0BD27BF6"/>
    <w:rsid w:val="0C3B3C7D"/>
    <w:rsid w:val="0C3F545A"/>
    <w:rsid w:val="0CAB2EAE"/>
    <w:rsid w:val="0D621C7D"/>
    <w:rsid w:val="0DA01D29"/>
    <w:rsid w:val="0E257D00"/>
    <w:rsid w:val="0E73034D"/>
    <w:rsid w:val="0E847BF6"/>
    <w:rsid w:val="0F13775A"/>
    <w:rsid w:val="0F5F45FE"/>
    <w:rsid w:val="0F8325B6"/>
    <w:rsid w:val="0F9A112B"/>
    <w:rsid w:val="1038606B"/>
    <w:rsid w:val="106D2F64"/>
    <w:rsid w:val="10B63710"/>
    <w:rsid w:val="10F10820"/>
    <w:rsid w:val="111C2F7A"/>
    <w:rsid w:val="11665CA1"/>
    <w:rsid w:val="13951726"/>
    <w:rsid w:val="139D7789"/>
    <w:rsid w:val="141836DA"/>
    <w:rsid w:val="14396509"/>
    <w:rsid w:val="14DD2C3C"/>
    <w:rsid w:val="16087E1D"/>
    <w:rsid w:val="16173EE6"/>
    <w:rsid w:val="162B4B2F"/>
    <w:rsid w:val="17701D14"/>
    <w:rsid w:val="17735226"/>
    <w:rsid w:val="189F624C"/>
    <w:rsid w:val="18DF6487"/>
    <w:rsid w:val="19FD4A34"/>
    <w:rsid w:val="1A1C66C0"/>
    <w:rsid w:val="1A42393B"/>
    <w:rsid w:val="1A807C8B"/>
    <w:rsid w:val="1AAD45DE"/>
    <w:rsid w:val="1AE03F3F"/>
    <w:rsid w:val="1B046F80"/>
    <w:rsid w:val="1B3267B5"/>
    <w:rsid w:val="1B40161D"/>
    <w:rsid w:val="1B441859"/>
    <w:rsid w:val="1B6606B1"/>
    <w:rsid w:val="1C5E7925"/>
    <w:rsid w:val="1CFD070F"/>
    <w:rsid w:val="1D0241A0"/>
    <w:rsid w:val="1D147360"/>
    <w:rsid w:val="1D5F6196"/>
    <w:rsid w:val="1D6132A5"/>
    <w:rsid w:val="1D8E56D5"/>
    <w:rsid w:val="1E7A43DA"/>
    <w:rsid w:val="1F120D17"/>
    <w:rsid w:val="1FE7539E"/>
    <w:rsid w:val="20384412"/>
    <w:rsid w:val="20671BE0"/>
    <w:rsid w:val="20963CB8"/>
    <w:rsid w:val="20A81A1B"/>
    <w:rsid w:val="20B07FB6"/>
    <w:rsid w:val="20B646FB"/>
    <w:rsid w:val="213B74B1"/>
    <w:rsid w:val="215A2310"/>
    <w:rsid w:val="21DE318A"/>
    <w:rsid w:val="21E75FE4"/>
    <w:rsid w:val="21EF5B80"/>
    <w:rsid w:val="22576990"/>
    <w:rsid w:val="22F47480"/>
    <w:rsid w:val="23DE1C48"/>
    <w:rsid w:val="240210CD"/>
    <w:rsid w:val="249A6287"/>
    <w:rsid w:val="24BF09F7"/>
    <w:rsid w:val="252D53FE"/>
    <w:rsid w:val="25EC2D81"/>
    <w:rsid w:val="277057A2"/>
    <w:rsid w:val="2838132E"/>
    <w:rsid w:val="28A95289"/>
    <w:rsid w:val="29206EB8"/>
    <w:rsid w:val="29595666"/>
    <w:rsid w:val="29874881"/>
    <w:rsid w:val="29E325E0"/>
    <w:rsid w:val="2A452503"/>
    <w:rsid w:val="2AF53506"/>
    <w:rsid w:val="2BA936A8"/>
    <w:rsid w:val="2C315A5A"/>
    <w:rsid w:val="2C4B1C25"/>
    <w:rsid w:val="2CEB1350"/>
    <w:rsid w:val="2D9E56F5"/>
    <w:rsid w:val="2DCE7471"/>
    <w:rsid w:val="2E667F96"/>
    <w:rsid w:val="2E8226AB"/>
    <w:rsid w:val="2F8B7FD8"/>
    <w:rsid w:val="2F9A4C35"/>
    <w:rsid w:val="2FAB6D35"/>
    <w:rsid w:val="2FD065E6"/>
    <w:rsid w:val="2FD96870"/>
    <w:rsid w:val="303A3C0D"/>
    <w:rsid w:val="30580BC9"/>
    <w:rsid w:val="30874C00"/>
    <w:rsid w:val="311E2ED7"/>
    <w:rsid w:val="315619EE"/>
    <w:rsid w:val="315C449C"/>
    <w:rsid w:val="31B82709"/>
    <w:rsid w:val="31D05482"/>
    <w:rsid w:val="32400B34"/>
    <w:rsid w:val="329E6876"/>
    <w:rsid w:val="333015F2"/>
    <w:rsid w:val="33473F91"/>
    <w:rsid w:val="334B6320"/>
    <w:rsid w:val="33D934D4"/>
    <w:rsid w:val="33FE2F6A"/>
    <w:rsid w:val="340E07E5"/>
    <w:rsid w:val="34235BF7"/>
    <w:rsid w:val="35062FB7"/>
    <w:rsid w:val="353E7B6B"/>
    <w:rsid w:val="3564526A"/>
    <w:rsid w:val="358C5FA8"/>
    <w:rsid w:val="35C15DF1"/>
    <w:rsid w:val="35F679D1"/>
    <w:rsid w:val="36074A7F"/>
    <w:rsid w:val="36923549"/>
    <w:rsid w:val="36B75FBF"/>
    <w:rsid w:val="36BD0C45"/>
    <w:rsid w:val="37E00298"/>
    <w:rsid w:val="38B302F9"/>
    <w:rsid w:val="38F12CD3"/>
    <w:rsid w:val="38F94775"/>
    <w:rsid w:val="392971ED"/>
    <w:rsid w:val="39325651"/>
    <w:rsid w:val="3989607A"/>
    <w:rsid w:val="39A76873"/>
    <w:rsid w:val="3A872856"/>
    <w:rsid w:val="3AF80E9B"/>
    <w:rsid w:val="3B3763D1"/>
    <w:rsid w:val="3BC6122E"/>
    <w:rsid w:val="3C2F6E1E"/>
    <w:rsid w:val="3C3B3206"/>
    <w:rsid w:val="3C4F64BA"/>
    <w:rsid w:val="3CDA245A"/>
    <w:rsid w:val="3CE75BCF"/>
    <w:rsid w:val="3D180B2E"/>
    <w:rsid w:val="3D1E06B7"/>
    <w:rsid w:val="3EDA0523"/>
    <w:rsid w:val="3F107DFB"/>
    <w:rsid w:val="3F746BA2"/>
    <w:rsid w:val="407A6407"/>
    <w:rsid w:val="4200449D"/>
    <w:rsid w:val="423A3BCC"/>
    <w:rsid w:val="424E57D2"/>
    <w:rsid w:val="42B26C49"/>
    <w:rsid w:val="433A6FE6"/>
    <w:rsid w:val="43465E55"/>
    <w:rsid w:val="43480868"/>
    <w:rsid w:val="4350713C"/>
    <w:rsid w:val="4363143A"/>
    <w:rsid w:val="436653E0"/>
    <w:rsid w:val="43C4431A"/>
    <w:rsid w:val="44B951CC"/>
    <w:rsid w:val="44CD14E0"/>
    <w:rsid w:val="44F20B0B"/>
    <w:rsid w:val="452E5F4C"/>
    <w:rsid w:val="45612018"/>
    <w:rsid w:val="458946E9"/>
    <w:rsid w:val="45A47C0E"/>
    <w:rsid w:val="45C52A7B"/>
    <w:rsid w:val="46577FD6"/>
    <w:rsid w:val="4677113D"/>
    <w:rsid w:val="46D955A7"/>
    <w:rsid w:val="47133957"/>
    <w:rsid w:val="474C403D"/>
    <w:rsid w:val="47A07E0C"/>
    <w:rsid w:val="4870272E"/>
    <w:rsid w:val="48CC6426"/>
    <w:rsid w:val="48DB5895"/>
    <w:rsid w:val="49CF3448"/>
    <w:rsid w:val="49DC7715"/>
    <w:rsid w:val="4A023139"/>
    <w:rsid w:val="4A7B576F"/>
    <w:rsid w:val="4AF561A9"/>
    <w:rsid w:val="4B0D2264"/>
    <w:rsid w:val="4C4A0649"/>
    <w:rsid w:val="4C7E5ECA"/>
    <w:rsid w:val="4C876AA5"/>
    <w:rsid w:val="4CDF1BF4"/>
    <w:rsid w:val="4D0E00FB"/>
    <w:rsid w:val="4D176606"/>
    <w:rsid w:val="4DA514FE"/>
    <w:rsid w:val="4DEC4FB0"/>
    <w:rsid w:val="4E075D8A"/>
    <w:rsid w:val="4EC00FAD"/>
    <w:rsid w:val="4EC62601"/>
    <w:rsid w:val="4F6D3466"/>
    <w:rsid w:val="4F9843DC"/>
    <w:rsid w:val="4FC62A8C"/>
    <w:rsid w:val="4FE20F0D"/>
    <w:rsid w:val="4FE51552"/>
    <w:rsid w:val="50504C4B"/>
    <w:rsid w:val="509C6E7C"/>
    <w:rsid w:val="5162104E"/>
    <w:rsid w:val="5247570D"/>
    <w:rsid w:val="53A039CC"/>
    <w:rsid w:val="53A1505A"/>
    <w:rsid w:val="54063E08"/>
    <w:rsid w:val="5429670F"/>
    <w:rsid w:val="542D3AC7"/>
    <w:rsid w:val="543437E8"/>
    <w:rsid w:val="54C45A17"/>
    <w:rsid w:val="54F73313"/>
    <w:rsid w:val="54F80955"/>
    <w:rsid w:val="555170A7"/>
    <w:rsid w:val="5587536D"/>
    <w:rsid w:val="559B174B"/>
    <w:rsid w:val="55CE0CF4"/>
    <w:rsid w:val="56B22A9C"/>
    <w:rsid w:val="57B72A76"/>
    <w:rsid w:val="57C3426C"/>
    <w:rsid w:val="57CE1F93"/>
    <w:rsid w:val="588743D1"/>
    <w:rsid w:val="5887701A"/>
    <w:rsid w:val="599A5392"/>
    <w:rsid w:val="59C0439F"/>
    <w:rsid w:val="5ABE2233"/>
    <w:rsid w:val="5B445318"/>
    <w:rsid w:val="5BA0378F"/>
    <w:rsid w:val="5BB64468"/>
    <w:rsid w:val="5BDF5D95"/>
    <w:rsid w:val="5BFE7528"/>
    <w:rsid w:val="5D5E3A5B"/>
    <w:rsid w:val="5D9B5E41"/>
    <w:rsid w:val="5E2467F1"/>
    <w:rsid w:val="5F1A2B43"/>
    <w:rsid w:val="5FB837BB"/>
    <w:rsid w:val="5FC83878"/>
    <w:rsid w:val="604B1B9B"/>
    <w:rsid w:val="604C5B01"/>
    <w:rsid w:val="60CC405A"/>
    <w:rsid w:val="61E215D8"/>
    <w:rsid w:val="621B3775"/>
    <w:rsid w:val="62364782"/>
    <w:rsid w:val="626014F0"/>
    <w:rsid w:val="62735DD1"/>
    <w:rsid w:val="63787A48"/>
    <w:rsid w:val="6394356A"/>
    <w:rsid w:val="63B76FCF"/>
    <w:rsid w:val="63C61B2C"/>
    <w:rsid w:val="63D40BE9"/>
    <w:rsid w:val="64102431"/>
    <w:rsid w:val="642503DD"/>
    <w:rsid w:val="64265F03"/>
    <w:rsid w:val="649E7166"/>
    <w:rsid w:val="64A5243A"/>
    <w:rsid w:val="64F531DE"/>
    <w:rsid w:val="65373578"/>
    <w:rsid w:val="671F124A"/>
    <w:rsid w:val="677A33C6"/>
    <w:rsid w:val="681F6961"/>
    <w:rsid w:val="68610A2F"/>
    <w:rsid w:val="68805514"/>
    <w:rsid w:val="68C45B0F"/>
    <w:rsid w:val="69316E2F"/>
    <w:rsid w:val="694E2071"/>
    <w:rsid w:val="69766163"/>
    <w:rsid w:val="697A3B33"/>
    <w:rsid w:val="69D44760"/>
    <w:rsid w:val="6A2B7DCF"/>
    <w:rsid w:val="6A40750E"/>
    <w:rsid w:val="6A520EC7"/>
    <w:rsid w:val="6AF87E20"/>
    <w:rsid w:val="6B0506D2"/>
    <w:rsid w:val="6B1D005F"/>
    <w:rsid w:val="6B322639"/>
    <w:rsid w:val="6C2641E2"/>
    <w:rsid w:val="6C636C38"/>
    <w:rsid w:val="6D5F0386"/>
    <w:rsid w:val="6DB34098"/>
    <w:rsid w:val="6DB545B6"/>
    <w:rsid w:val="6DE02FB4"/>
    <w:rsid w:val="6E514CED"/>
    <w:rsid w:val="6EB563D5"/>
    <w:rsid w:val="6ED92677"/>
    <w:rsid w:val="6F225983"/>
    <w:rsid w:val="6FFC5590"/>
    <w:rsid w:val="706D1DD0"/>
    <w:rsid w:val="70856B87"/>
    <w:rsid w:val="70D527EE"/>
    <w:rsid w:val="715B5300"/>
    <w:rsid w:val="71CC00E9"/>
    <w:rsid w:val="71D27F8A"/>
    <w:rsid w:val="72553024"/>
    <w:rsid w:val="727837E4"/>
    <w:rsid w:val="72F472B9"/>
    <w:rsid w:val="73122968"/>
    <w:rsid w:val="731F5D5E"/>
    <w:rsid w:val="73C51AD5"/>
    <w:rsid w:val="741E793C"/>
    <w:rsid w:val="745E3944"/>
    <w:rsid w:val="74A215D5"/>
    <w:rsid w:val="75694E60"/>
    <w:rsid w:val="7635099D"/>
    <w:rsid w:val="76DE089F"/>
    <w:rsid w:val="770B4D24"/>
    <w:rsid w:val="77156DEB"/>
    <w:rsid w:val="77536BB7"/>
    <w:rsid w:val="77762421"/>
    <w:rsid w:val="77B56B1F"/>
    <w:rsid w:val="780F09F4"/>
    <w:rsid w:val="78A90480"/>
    <w:rsid w:val="7A364017"/>
    <w:rsid w:val="7A8265E1"/>
    <w:rsid w:val="7B5754EB"/>
    <w:rsid w:val="7B686D42"/>
    <w:rsid w:val="7B6D083B"/>
    <w:rsid w:val="7B841746"/>
    <w:rsid w:val="7BE303F2"/>
    <w:rsid w:val="7C6C5AC7"/>
    <w:rsid w:val="7C965F62"/>
    <w:rsid w:val="7CC6544B"/>
    <w:rsid w:val="7D0239FF"/>
    <w:rsid w:val="7D5E40CD"/>
    <w:rsid w:val="7DCD56F2"/>
    <w:rsid w:val="7E5C597B"/>
    <w:rsid w:val="7E68554C"/>
    <w:rsid w:val="7F001CE7"/>
    <w:rsid w:val="7F284165"/>
    <w:rsid w:val="7FB34697"/>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iPriority="0" w:name="heading 3" w:locked="1"/>
    <w:lsdException w:qFormat="1"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39" w:semiHidden="0" w:name="toc 1" w:locked="1"/>
    <w:lsdException w:qFormat="1" w:unhideWhenUsed="0" w:uiPriority="39"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99"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unhideWhenUsed="0" w:uiPriority="0" w:semiHidden="0" w:name="Body Text First Indent 2" w:locked="1"/>
    <w:lsdException w:unhideWhenUsed="0" w:uiPriority="0" w:semiHidden="0" w:name="Note Heading" w:locked="1"/>
    <w:lsdException w:qFormat="1" w:unhideWhenUsed="0" w:uiPriority="0" w:semiHidden="0" w:name="Body Text 2" w:locked="1"/>
    <w:lsdException w:unhideWhenUsed="0" w:uiPriority="0" w:semiHidden="0" w:name="Body Text 3" w:locked="1"/>
    <w:lsdException w:unhideWhenUsed="0" w:uiPriority="0" w:semiHidden="0" w:name="Body Text Indent 2" w:locked="1"/>
    <w:lsdException w:unhideWhenUsed="0" w:uiPriority="0" w:semiHidden="0" w:name="Body Text Indent 3" w:locked="1"/>
    <w:lsdException w:unhideWhenUsed="0" w:uiPriority="0" w:semiHidden="0" w:name="Block Text" w:locked="1"/>
    <w:lsdException w:qFormat="1" w:uiPriority="99" w:semiHidden="0" w:name="Hyperlink" w:locked="1"/>
    <w:lsdException w:unhideWhenUsed="0" w:uiPriority="0" w:semiHidden="0" w:name="FollowedHyperlink" w:locked="1"/>
    <w:lsdException w:unhideWhenUsed="0" w:uiPriority="0" w:semiHidden="0" w:name="Strong" w:locked="1"/>
    <w:lsdException w:unhideWhenUsed="0" w:uiPriority="0" w:semiHidden="0" w:name="Emphasis" w:locked="1"/>
    <w:lsdException w:unhideWhenUsed="0" w:uiPriority="0" w:semiHidden="0" w:name="Document Map" w:locked="1"/>
    <w:lsdException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qFormat="1"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autoRedefine/>
    <w:qFormat/>
    <w:locked/>
    <w:uiPriority w:val="99"/>
    <w:pPr>
      <w:keepNext/>
      <w:overflowPunct w:val="0"/>
      <w:snapToGrid w:val="0"/>
      <w:spacing w:line="360" w:lineRule="auto"/>
      <w:outlineLvl w:val="0"/>
    </w:pPr>
    <w:rPr>
      <w:rFonts w:eastAsia="黑体"/>
      <w:b/>
      <w:bCs/>
      <w:color w:val="000000"/>
      <w:kern w:val="44"/>
      <w:sz w:val="28"/>
      <w:szCs w:val="30"/>
    </w:rPr>
  </w:style>
  <w:style w:type="paragraph" w:styleId="5">
    <w:name w:val="heading 2"/>
    <w:basedOn w:val="1"/>
    <w:next w:val="1"/>
    <w:link w:val="105"/>
    <w:autoRedefine/>
    <w:semiHidden/>
    <w:unhideWhenUsed/>
    <w:qFormat/>
    <w:locked/>
    <w:uiPriority w:val="0"/>
    <w:pPr>
      <w:keepNext/>
      <w:keepLines/>
      <w:spacing w:before="260" w:after="260" w:line="416" w:lineRule="auto"/>
      <w:outlineLvl w:val="1"/>
    </w:pPr>
    <w:rPr>
      <w:rFonts w:asciiTheme="majorHAnsi" w:hAnsiTheme="majorHAnsi" w:eastAsiaTheme="majorEastAsia" w:cstheme="majorBidi"/>
      <w:b/>
      <w:bCs/>
      <w:sz w:val="32"/>
      <w:szCs w:val="32"/>
    </w:rPr>
  </w:style>
  <w:style w:type="paragraph" w:styleId="6">
    <w:name w:val="heading 4"/>
    <w:basedOn w:val="1"/>
    <w:next w:val="1"/>
    <w:unhideWhenUsed/>
    <w:qFormat/>
    <w:locked/>
    <w:uiPriority w:val="0"/>
    <w:pPr>
      <w:keepNext/>
      <w:keepLines/>
      <w:spacing w:line="500" w:lineRule="exact"/>
      <w:ind w:firstLine="0" w:firstLineChars="0"/>
      <w:outlineLvl w:val="3"/>
    </w:pPr>
    <w:rPr>
      <w:rFonts w:eastAsia="黑体" w:cs="Times New Roman"/>
    </w:rPr>
  </w:style>
  <w:style w:type="character" w:default="1" w:styleId="21">
    <w:name w:val="Default Paragraph Font"/>
    <w:autoRedefine/>
    <w:semiHidden/>
    <w:unhideWhenUsed/>
    <w:qFormat/>
    <w:uiPriority w:val="1"/>
  </w:style>
  <w:style w:type="table" w:default="1" w:styleId="19">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w:basedOn w:val="3"/>
    <w:next w:val="1"/>
    <w:link w:val="65"/>
    <w:autoRedefine/>
    <w:qFormat/>
    <w:locked/>
    <w:uiPriority w:val="0"/>
    <w:pPr>
      <w:spacing w:after="120"/>
      <w:ind w:firstLine="420" w:firstLineChars="100"/>
    </w:pPr>
  </w:style>
  <w:style w:type="paragraph" w:styleId="3">
    <w:name w:val="Body Text"/>
    <w:basedOn w:val="1"/>
    <w:next w:val="1"/>
    <w:link w:val="36"/>
    <w:autoRedefine/>
    <w:qFormat/>
    <w:uiPriority w:val="0"/>
    <w:pPr>
      <w:widowControl/>
      <w:snapToGrid w:val="0"/>
      <w:spacing w:before="60" w:after="160" w:line="259" w:lineRule="auto"/>
      <w:ind w:right="113"/>
    </w:pPr>
    <w:rPr>
      <w:kern w:val="0"/>
      <w:sz w:val="18"/>
      <w:szCs w:val="20"/>
    </w:rPr>
  </w:style>
  <w:style w:type="paragraph" w:styleId="7">
    <w:name w:val="Normal Indent"/>
    <w:basedOn w:val="1"/>
    <w:autoRedefine/>
    <w:qFormat/>
    <w:locked/>
    <w:uiPriority w:val="0"/>
    <w:pPr>
      <w:ind w:firstLine="420" w:firstLineChars="200"/>
    </w:pPr>
  </w:style>
  <w:style w:type="paragraph" w:styleId="8">
    <w:name w:val="annotation text"/>
    <w:basedOn w:val="1"/>
    <w:link w:val="37"/>
    <w:autoRedefine/>
    <w:qFormat/>
    <w:uiPriority w:val="99"/>
    <w:pPr>
      <w:jc w:val="left"/>
    </w:pPr>
    <w:rPr>
      <w:kern w:val="0"/>
      <w:sz w:val="24"/>
      <w:szCs w:val="20"/>
    </w:rPr>
  </w:style>
  <w:style w:type="paragraph" w:styleId="9">
    <w:name w:val="Body Text Indent"/>
    <w:basedOn w:val="1"/>
    <w:link w:val="46"/>
    <w:autoRedefine/>
    <w:qFormat/>
    <w:uiPriority w:val="0"/>
    <w:pPr>
      <w:spacing w:after="120"/>
      <w:ind w:left="420" w:leftChars="200"/>
    </w:pPr>
    <w:rPr>
      <w:kern w:val="0"/>
      <w:sz w:val="24"/>
      <w:szCs w:val="20"/>
    </w:rPr>
  </w:style>
  <w:style w:type="paragraph" w:styleId="10">
    <w:name w:val="Date"/>
    <w:basedOn w:val="1"/>
    <w:next w:val="1"/>
    <w:link w:val="32"/>
    <w:autoRedefine/>
    <w:qFormat/>
    <w:uiPriority w:val="0"/>
    <w:pPr>
      <w:ind w:left="100" w:leftChars="2500"/>
    </w:pPr>
    <w:rPr>
      <w:kern w:val="0"/>
      <w:sz w:val="24"/>
      <w:szCs w:val="20"/>
    </w:rPr>
  </w:style>
  <w:style w:type="paragraph" w:styleId="11">
    <w:name w:val="Balloon Text"/>
    <w:basedOn w:val="1"/>
    <w:link w:val="42"/>
    <w:autoRedefine/>
    <w:semiHidden/>
    <w:qFormat/>
    <w:uiPriority w:val="0"/>
    <w:rPr>
      <w:kern w:val="0"/>
      <w:sz w:val="18"/>
      <w:szCs w:val="20"/>
    </w:rPr>
  </w:style>
  <w:style w:type="paragraph" w:styleId="12">
    <w:name w:val="footer"/>
    <w:basedOn w:val="1"/>
    <w:link w:val="31"/>
    <w:autoRedefine/>
    <w:qFormat/>
    <w:uiPriority w:val="99"/>
    <w:pPr>
      <w:tabs>
        <w:tab w:val="center" w:pos="4153"/>
        <w:tab w:val="right" w:pos="8306"/>
      </w:tabs>
      <w:snapToGrid w:val="0"/>
      <w:jc w:val="left"/>
    </w:pPr>
    <w:rPr>
      <w:kern w:val="0"/>
      <w:sz w:val="18"/>
      <w:szCs w:val="20"/>
    </w:rPr>
  </w:style>
  <w:style w:type="paragraph" w:styleId="13">
    <w:name w:val="header"/>
    <w:basedOn w:val="1"/>
    <w:link w:val="44"/>
    <w:autoRedefine/>
    <w:qFormat/>
    <w:uiPriority w:val="0"/>
    <w:pPr>
      <w:pBdr>
        <w:bottom w:val="single" w:color="auto" w:sz="6" w:space="1"/>
      </w:pBdr>
      <w:tabs>
        <w:tab w:val="center" w:pos="4153"/>
        <w:tab w:val="right" w:pos="8306"/>
      </w:tabs>
      <w:snapToGrid w:val="0"/>
      <w:jc w:val="center"/>
    </w:pPr>
    <w:rPr>
      <w:kern w:val="0"/>
      <w:sz w:val="18"/>
      <w:szCs w:val="20"/>
    </w:rPr>
  </w:style>
  <w:style w:type="paragraph" w:styleId="14">
    <w:name w:val="toc 1"/>
    <w:basedOn w:val="1"/>
    <w:next w:val="1"/>
    <w:autoRedefine/>
    <w:qFormat/>
    <w:locked/>
    <w:uiPriority w:val="39"/>
  </w:style>
  <w:style w:type="paragraph" w:styleId="15">
    <w:name w:val="toc 2"/>
    <w:basedOn w:val="1"/>
    <w:next w:val="1"/>
    <w:autoRedefine/>
    <w:qFormat/>
    <w:locked/>
    <w:uiPriority w:val="39"/>
    <w:pPr>
      <w:ind w:left="420" w:leftChars="200"/>
    </w:pPr>
  </w:style>
  <w:style w:type="paragraph" w:styleId="16">
    <w:name w:val="Body Text 2"/>
    <w:basedOn w:val="1"/>
    <w:link w:val="68"/>
    <w:autoRedefine/>
    <w:qFormat/>
    <w:locked/>
    <w:uiPriority w:val="0"/>
    <w:pPr>
      <w:spacing w:after="120" w:line="480" w:lineRule="auto"/>
      <w:ind w:firstLine="480" w:firstLineChars="200"/>
    </w:pPr>
  </w:style>
  <w:style w:type="paragraph" w:styleId="17">
    <w:name w:val="Normal (Web)"/>
    <w:basedOn w:val="1"/>
    <w:link w:val="34"/>
    <w:autoRedefine/>
    <w:qFormat/>
    <w:uiPriority w:val="0"/>
    <w:pPr>
      <w:widowControl/>
      <w:spacing w:before="100" w:beforeAutospacing="1" w:after="100" w:afterAutospacing="1"/>
      <w:jc w:val="left"/>
    </w:pPr>
    <w:rPr>
      <w:rFonts w:ascii="宋体" w:hAnsi="宋体"/>
      <w:kern w:val="0"/>
      <w:sz w:val="24"/>
      <w:szCs w:val="20"/>
    </w:rPr>
  </w:style>
  <w:style w:type="paragraph" w:styleId="18">
    <w:name w:val="annotation subject"/>
    <w:basedOn w:val="8"/>
    <w:next w:val="8"/>
    <w:link w:val="43"/>
    <w:autoRedefine/>
    <w:semiHidden/>
    <w:qFormat/>
    <w:uiPriority w:val="0"/>
    <w:rPr>
      <w:b/>
    </w:rPr>
  </w:style>
  <w:style w:type="table" w:styleId="20">
    <w:name w:val="Table Grid"/>
    <w:basedOn w:val="19"/>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page number"/>
    <w:basedOn w:val="21"/>
    <w:autoRedefine/>
    <w:qFormat/>
    <w:locked/>
    <w:uiPriority w:val="0"/>
  </w:style>
  <w:style w:type="character" w:styleId="23">
    <w:name w:val="Hyperlink"/>
    <w:basedOn w:val="21"/>
    <w:autoRedefine/>
    <w:unhideWhenUsed/>
    <w:qFormat/>
    <w:locked/>
    <w:uiPriority w:val="99"/>
    <w:rPr>
      <w:color w:val="0563C1" w:themeColor="hyperlink"/>
      <w:u w:val="single"/>
      <w14:textFill>
        <w14:solidFill>
          <w14:schemeClr w14:val="hlink"/>
        </w14:solidFill>
      </w14:textFill>
    </w:rPr>
  </w:style>
  <w:style w:type="character" w:styleId="24">
    <w:name w:val="annotation reference"/>
    <w:autoRedefine/>
    <w:semiHidden/>
    <w:qFormat/>
    <w:uiPriority w:val="0"/>
    <w:rPr>
      <w:sz w:val="21"/>
    </w:rPr>
  </w:style>
  <w:style w:type="character" w:styleId="25">
    <w:name w:val="HTML Cite"/>
    <w:autoRedefine/>
    <w:qFormat/>
    <w:locked/>
    <w:uiPriority w:val="0"/>
    <w:rPr>
      <w:rFonts w:ascii="Times New Roman" w:hAnsi="Times New Roman"/>
      <w:szCs w:val="20"/>
    </w:rPr>
  </w:style>
  <w:style w:type="paragraph" w:customStyle="1" w:styleId="26">
    <w:name w:val="li_正文"/>
    <w:basedOn w:val="1"/>
    <w:autoRedefine/>
    <w:qFormat/>
    <w:uiPriority w:val="0"/>
    <w:pPr>
      <w:widowControl w:val="0"/>
      <w:topLinePunct/>
      <w:adjustRightInd w:val="0"/>
      <w:snapToGrid w:val="0"/>
      <w:spacing w:line="360" w:lineRule="auto"/>
      <w:ind w:firstLine="700" w:firstLineChars="250"/>
      <w:textAlignment w:val="auto"/>
    </w:pPr>
    <w:rPr>
      <w:rFonts w:ascii="宋体" w:hAnsi="宋体"/>
      <w:sz w:val="28"/>
      <w:szCs w:val="28"/>
      <w:u w:val="none" w:color="auto"/>
    </w:rPr>
  </w:style>
  <w:style w:type="paragraph" w:customStyle="1" w:styleId="27">
    <w:name w:val="Normal (Web)1"/>
    <w:basedOn w:val="1"/>
    <w:next w:val="28"/>
    <w:qFormat/>
    <w:uiPriority w:val="0"/>
    <w:pPr>
      <w:widowControl/>
      <w:jc w:val="left"/>
    </w:pPr>
    <w:rPr>
      <w:rFonts w:ascii="宋体" w:hAnsi="Times New Roman" w:eastAsia="宋体" w:cs="Times New Roman"/>
      <w:kern w:val="0"/>
      <w:sz w:val="24"/>
      <w:szCs w:val="21"/>
    </w:rPr>
  </w:style>
  <w:style w:type="paragraph" w:customStyle="1" w:styleId="28">
    <w:name w:val="Date1"/>
    <w:basedOn w:val="1"/>
    <w:next w:val="1"/>
    <w:qFormat/>
    <w:uiPriority w:val="0"/>
    <w:pPr>
      <w:ind w:left="2500" w:leftChars="2500"/>
    </w:pPr>
    <w:rPr>
      <w:rFonts w:ascii="Times New Roman" w:hAnsi="Times New Roman" w:eastAsia="宋体" w:cs="Times New Roman"/>
    </w:rPr>
  </w:style>
  <w:style w:type="paragraph" w:customStyle="1" w:styleId="29">
    <w:name w:val="Default"/>
    <w:basedOn w:val="30"/>
    <w:next w:val="1"/>
    <w:autoRedefine/>
    <w:qFormat/>
    <w:uiPriority w:val="0"/>
    <w:pPr>
      <w:widowControl w:val="0"/>
      <w:autoSpaceDE w:val="0"/>
      <w:autoSpaceDN w:val="0"/>
      <w:adjustRightInd w:val="0"/>
      <w:spacing w:line="380" w:lineRule="exact"/>
      <w:jc w:val="center"/>
    </w:pPr>
    <w:rPr>
      <w:rFonts w:ascii="宋体" w:hAnsi="Times New Roman" w:eastAsia="宋体" w:cs="Times New Roman"/>
      <w:color w:val="000000"/>
      <w:sz w:val="24"/>
      <w:szCs w:val="24"/>
      <w:lang w:val="en-US" w:eastAsia="zh-CN" w:bidi="ar-SA"/>
    </w:rPr>
  </w:style>
  <w:style w:type="paragraph" w:customStyle="1" w:styleId="30">
    <w:name w:val="纯文本1"/>
    <w:autoRedefine/>
    <w:qFormat/>
    <w:uiPriority w:val="0"/>
    <w:pPr>
      <w:adjustRightInd w:val="0"/>
      <w:jc w:val="center"/>
      <w:textAlignment w:val="baseline"/>
    </w:pPr>
    <w:rPr>
      <w:rFonts w:ascii="宋体" w:hAnsi="Courier New" w:eastAsia="宋体" w:cs="Times New Roman"/>
      <w:sz w:val="24"/>
      <w:lang w:val="en-US" w:eastAsia="zh-CN" w:bidi="ar-SA"/>
    </w:rPr>
  </w:style>
  <w:style w:type="character" w:customStyle="1" w:styleId="31">
    <w:name w:val="页脚 字符1"/>
    <w:link w:val="12"/>
    <w:autoRedefine/>
    <w:qFormat/>
    <w:locked/>
    <w:uiPriority w:val="99"/>
    <w:rPr>
      <w:sz w:val="18"/>
    </w:rPr>
  </w:style>
  <w:style w:type="character" w:customStyle="1" w:styleId="32">
    <w:name w:val="日期 字符1"/>
    <w:link w:val="10"/>
    <w:autoRedefine/>
    <w:qFormat/>
    <w:locked/>
    <w:uiPriority w:val="0"/>
    <w:rPr>
      <w:rFonts w:ascii="Times New Roman" w:hAnsi="Times New Roman" w:eastAsia="宋体"/>
      <w:sz w:val="24"/>
    </w:rPr>
  </w:style>
  <w:style w:type="character" w:customStyle="1" w:styleId="33">
    <w:name w:val="页脚 字符"/>
    <w:basedOn w:val="21"/>
    <w:autoRedefine/>
    <w:qFormat/>
    <w:uiPriority w:val="99"/>
  </w:style>
  <w:style w:type="character" w:customStyle="1" w:styleId="34">
    <w:name w:val="普通(网站) 字符"/>
    <w:link w:val="17"/>
    <w:autoRedefine/>
    <w:qFormat/>
    <w:locked/>
    <w:uiPriority w:val="0"/>
    <w:rPr>
      <w:rFonts w:ascii="宋体" w:hAnsi="宋体" w:eastAsia="宋体"/>
      <w:sz w:val="24"/>
    </w:rPr>
  </w:style>
  <w:style w:type="character" w:customStyle="1" w:styleId="35">
    <w:name w:val="正文文本 字符1"/>
    <w:autoRedefine/>
    <w:semiHidden/>
    <w:qFormat/>
    <w:uiPriority w:val="0"/>
    <w:rPr>
      <w:rFonts w:ascii="Times New Roman" w:hAnsi="Times New Roman" w:eastAsia="宋体"/>
      <w:sz w:val="24"/>
    </w:rPr>
  </w:style>
  <w:style w:type="character" w:customStyle="1" w:styleId="36">
    <w:name w:val="正文文本 字符"/>
    <w:link w:val="3"/>
    <w:autoRedefine/>
    <w:qFormat/>
    <w:locked/>
    <w:uiPriority w:val="0"/>
    <w:rPr>
      <w:sz w:val="18"/>
    </w:rPr>
  </w:style>
  <w:style w:type="character" w:customStyle="1" w:styleId="37">
    <w:name w:val="批注文字 字符"/>
    <w:link w:val="8"/>
    <w:autoRedefine/>
    <w:qFormat/>
    <w:locked/>
    <w:uiPriority w:val="99"/>
    <w:rPr>
      <w:rFonts w:ascii="Times New Roman" w:hAnsi="Times New Roman" w:eastAsia="宋体"/>
      <w:sz w:val="24"/>
    </w:rPr>
  </w:style>
  <w:style w:type="character" w:customStyle="1" w:styleId="38">
    <w:name w:val="表格 Char"/>
    <w:link w:val="39"/>
    <w:autoRedefine/>
    <w:qFormat/>
    <w:locked/>
    <w:uiPriority w:val="0"/>
    <w:rPr>
      <w:rFonts w:ascii="宋体"/>
      <w:sz w:val="21"/>
    </w:rPr>
  </w:style>
  <w:style w:type="paragraph" w:customStyle="1" w:styleId="39">
    <w:name w:val="表格"/>
    <w:basedOn w:val="40"/>
    <w:next w:val="1"/>
    <w:link w:val="38"/>
    <w:autoRedefine/>
    <w:qFormat/>
    <w:uiPriority w:val="0"/>
    <w:pPr>
      <w:adjustRightInd w:val="0"/>
      <w:snapToGrid w:val="0"/>
      <w:spacing w:beforeLines="10" w:afterLines="10" w:line="259" w:lineRule="auto"/>
      <w:jc w:val="center"/>
    </w:pPr>
    <w:rPr>
      <w:rFonts w:ascii="宋体"/>
      <w:kern w:val="0"/>
      <w:szCs w:val="20"/>
    </w:rPr>
  </w:style>
  <w:style w:type="paragraph" w:customStyle="1" w:styleId="40">
    <w:name w:val="样式1"/>
    <w:basedOn w:val="1"/>
    <w:autoRedefine/>
    <w:qFormat/>
    <w:uiPriority w:val="0"/>
    <w:pPr>
      <w:spacing w:line="240" w:lineRule="auto"/>
      <w:ind w:left="0"/>
    </w:pPr>
    <w:rPr>
      <w:rFonts w:ascii="Times New Roman" w:hAnsi="Times New Roman" w:eastAsia="宋体" w:cs="宋体"/>
      <w:snapToGrid w:val="0"/>
      <w:color w:val="000000"/>
      <w:spacing w:val="6"/>
      <w:kern w:val="0"/>
      <w:sz w:val="21"/>
      <w:szCs w:val="20"/>
    </w:rPr>
  </w:style>
  <w:style w:type="character" w:customStyle="1" w:styleId="41">
    <w:name w:val="日期 字符"/>
    <w:autoRedefine/>
    <w:semiHidden/>
    <w:qFormat/>
    <w:uiPriority w:val="0"/>
    <w:rPr>
      <w:rFonts w:ascii="Times New Roman" w:hAnsi="Times New Roman" w:eastAsia="宋体"/>
      <w:sz w:val="24"/>
    </w:rPr>
  </w:style>
  <w:style w:type="character" w:customStyle="1" w:styleId="42">
    <w:name w:val="批注框文本 字符"/>
    <w:link w:val="11"/>
    <w:autoRedefine/>
    <w:semiHidden/>
    <w:qFormat/>
    <w:locked/>
    <w:uiPriority w:val="0"/>
    <w:rPr>
      <w:rFonts w:ascii="Times New Roman" w:hAnsi="Times New Roman" w:eastAsia="宋体"/>
      <w:sz w:val="18"/>
    </w:rPr>
  </w:style>
  <w:style w:type="character" w:customStyle="1" w:styleId="43">
    <w:name w:val="批注主题 字符"/>
    <w:link w:val="18"/>
    <w:autoRedefine/>
    <w:semiHidden/>
    <w:qFormat/>
    <w:locked/>
    <w:uiPriority w:val="0"/>
    <w:rPr>
      <w:rFonts w:ascii="Times New Roman" w:hAnsi="Times New Roman" w:eastAsia="宋体"/>
      <w:b/>
      <w:kern w:val="2"/>
      <w:sz w:val="24"/>
    </w:rPr>
  </w:style>
  <w:style w:type="character" w:customStyle="1" w:styleId="44">
    <w:name w:val="页眉 字符"/>
    <w:link w:val="13"/>
    <w:autoRedefine/>
    <w:qFormat/>
    <w:locked/>
    <w:uiPriority w:val="99"/>
    <w:rPr>
      <w:sz w:val="18"/>
    </w:rPr>
  </w:style>
  <w:style w:type="character" w:customStyle="1" w:styleId="45">
    <w:name w:val="批注文字 字符1"/>
    <w:autoRedefine/>
    <w:semiHidden/>
    <w:qFormat/>
    <w:uiPriority w:val="0"/>
    <w:rPr>
      <w:rFonts w:ascii="Times New Roman" w:hAnsi="Times New Roman" w:eastAsia="宋体"/>
      <w:sz w:val="24"/>
    </w:rPr>
  </w:style>
  <w:style w:type="character" w:customStyle="1" w:styleId="46">
    <w:name w:val="正文文本缩进 字符"/>
    <w:link w:val="9"/>
    <w:autoRedefine/>
    <w:semiHidden/>
    <w:qFormat/>
    <w:locked/>
    <w:uiPriority w:val="0"/>
    <w:rPr>
      <w:rFonts w:ascii="Times New Roman" w:hAnsi="Times New Roman" w:eastAsia="宋体"/>
      <w:sz w:val="24"/>
    </w:rPr>
  </w:style>
  <w:style w:type="paragraph" w:customStyle="1" w:styleId="47">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8">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49">
    <w:name w:val="表头"/>
    <w:basedOn w:val="1"/>
    <w:link w:val="52"/>
    <w:autoRedefine/>
    <w:qFormat/>
    <w:uiPriority w:val="0"/>
    <w:pPr>
      <w:jc w:val="center"/>
    </w:pPr>
    <w:rPr>
      <w:rFonts w:eastAsia="黑体"/>
      <w:b/>
    </w:rPr>
  </w:style>
  <w:style w:type="character" w:customStyle="1" w:styleId="50">
    <w:name w:val="【表中文字】 Char"/>
    <w:link w:val="51"/>
    <w:autoRedefine/>
    <w:qFormat/>
    <w:locked/>
    <w:uiPriority w:val="0"/>
    <w:rPr>
      <w:kern w:val="2"/>
      <w:sz w:val="21"/>
      <w:szCs w:val="24"/>
    </w:rPr>
  </w:style>
  <w:style w:type="paragraph" w:customStyle="1" w:styleId="51">
    <w:name w:val="【表中文字】"/>
    <w:basedOn w:val="1"/>
    <w:link w:val="50"/>
    <w:autoRedefine/>
    <w:qFormat/>
    <w:uiPriority w:val="0"/>
    <w:pPr>
      <w:jc w:val="center"/>
    </w:pPr>
  </w:style>
  <w:style w:type="character" w:customStyle="1" w:styleId="52">
    <w:name w:val="表头 字符"/>
    <w:link w:val="49"/>
    <w:autoRedefine/>
    <w:qFormat/>
    <w:uiPriority w:val="0"/>
    <w:rPr>
      <w:rFonts w:eastAsia="黑体"/>
      <w:b/>
      <w:kern w:val="2"/>
      <w:sz w:val="21"/>
      <w:szCs w:val="24"/>
    </w:rPr>
  </w:style>
  <w:style w:type="character" w:customStyle="1" w:styleId="53">
    <w:name w:val="表格文字 字符"/>
    <w:link w:val="54"/>
    <w:autoRedefine/>
    <w:qFormat/>
    <w:uiPriority w:val="0"/>
    <w:rPr>
      <w:rFonts w:cs="宋体"/>
      <w:sz w:val="21"/>
      <w:szCs w:val="24"/>
    </w:rPr>
  </w:style>
  <w:style w:type="paragraph" w:customStyle="1" w:styleId="54">
    <w:name w:val="表格文字"/>
    <w:basedOn w:val="1"/>
    <w:next w:val="1"/>
    <w:link w:val="53"/>
    <w:autoRedefine/>
    <w:qFormat/>
    <w:uiPriority w:val="0"/>
    <w:pPr>
      <w:widowControl/>
      <w:jc w:val="center"/>
    </w:pPr>
    <w:rPr>
      <w:rFonts w:cs="宋体"/>
      <w:kern w:val="0"/>
    </w:rPr>
  </w:style>
  <w:style w:type="character" w:customStyle="1" w:styleId="55">
    <w:name w:val="【正文】 Char1"/>
    <w:link w:val="56"/>
    <w:autoRedefine/>
    <w:qFormat/>
    <w:locked/>
    <w:uiPriority w:val="0"/>
    <w:rPr>
      <w:kern w:val="2"/>
      <w:sz w:val="24"/>
      <w:szCs w:val="24"/>
    </w:rPr>
  </w:style>
  <w:style w:type="paragraph" w:customStyle="1" w:styleId="56">
    <w:name w:val="【正文】"/>
    <w:basedOn w:val="1"/>
    <w:link w:val="55"/>
    <w:autoRedefine/>
    <w:qFormat/>
    <w:uiPriority w:val="0"/>
    <w:pPr>
      <w:spacing w:line="360" w:lineRule="auto"/>
      <w:ind w:firstLine="200" w:firstLineChars="200"/>
    </w:pPr>
    <w:rPr>
      <w:sz w:val="24"/>
    </w:rPr>
  </w:style>
  <w:style w:type="character" w:customStyle="1" w:styleId="57">
    <w:name w:val="【表头】 Char"/>
    <w:link w:val="58"/>
    <w:autoRedefine/>
    <w:qFormat/>
    <w:uiPriority w:val="0"/>
    <w:rPr>
      <w:rFonts w:eastAsia="黑体"/>
      <w:b/>
      <w:sz w:val="24"/>
    </w:rPr>
  </w:style>
  <w:style w:type="paragraph" w:customStyle="1" w:styleId="58">
    <w:name w:val="【表头】"/>
    <w:basedOn w:val="1"/>
    <w:link w:val="57"/>
    <w:autoRedefine/>
    <w:qFormat/>
    <w:uiPriority w:val="0"/>
    <w:pPr>
      <w:keepNext/>
      <w:adjustRightInd w:val="0"/>
      <w:snapToGrid w:val="0"/>
      <w:jc w:val="center"/>
    </w:pPr>
    <w:rPr>
      <w:rFonts w:eastAsia="黑体"/>
      <w:b/>
      <w:kern w:val="0"/>
      <w:sz w:val="24"/>
      <w:szCs w:val="20"/>
    </w:rPr>
  </w:style>
  <w:style w:type="paragraph" w:customStyle="1" w:styleId="59">
    <w:name w:val="正文1"/>
    <w:basedOn w:val="12"/>
    <w:next w:val="1"/>
    <w:link w:val="60"/>
    <w:autoRedefine/>
    <w:qFormat/>
    <w:uiPriority w:val="0"/>
    <w:pPr>
      <w:spacing w:line="360" w:lineRule="auto"/>
      <w:ind w:firstLine="480" w:firstLineChars="200"/>
      <w:jc w:val="both"/>
    </w:pPr>
    <w:rPr>
      <w:rFonts w:ascii="Times New Roman" w:hAnsi="Times New Roman" w:eastAsia="宋体" w:cs="宋体"/>
      <w:sz w:val="24"/>
      <w:lang w:val="en-US" w:eastAsia="zh-CN" w:bidi="ar-SA"/>
    </w:rPr>
  </w:style>
  <w:style w:type="character" w:customStyle="1" w:styleId="60">
    <w:name w:val="Normal Char"/>
    <w:link w:val="59"/>
    <w:autoRedefine/>
    <w:qFormat/>
    <w:uiPriority w:val="0"/>
    <w:rPr>
      <w:rFonts w:cs="宋体"/>
      <w:sz w:val="24"/>
    </w:rPr>
  </w:style>
  <w:style w:type="paragraph" w:customStyle="1" w:styleId="61">
    <w:name w:val="《正文》"/>
    <w:basedOn w:val="1"/>
    <w:link w:val="63"/>
    <w:autoRedefine/>
    <w:qFormat/>
    <w:uiPriority w:val="0"/>
    <w:pPr>
      <w:spacing w:line="360" w:lineRule="auto"/>
      <w:ind w:firstLine="200" w:firstLineChars="200"/>
    </w:pPr>
    <w:rPr>
      <w:sz w:val="24"/>
    </w:rPr>
  </w:style>
  <w:style w:type="paragraph" w:customStyle="1" w:styleId="62">
    <w:name w:val="标题2"/>
    <w:basedOn w:val="56"/>
    <w:link w:val="64"/>
    <w:autoRedefine/>
    <w:qFormat/>
    <w:uiPriority w:val="0"/>
    <w:pPr>
      <w:ind w:firstLine="0" w:firstLineChars="0"/>
      <w:outlineLvl w:val="1"/>
    </w:pPr>
    <w:rPr>
      <w:b/>
      <w:snapToGrid w:val="0"/>
    </w:rPr>
  </w:style>
  <w:style w:type="character" w:customStyle="1" w:styleId="63">
    <w:name w:val="《正文》 字符"/>
    <w:link w:val="61"/>
    <w:autoRedefine/>
    <w:qFormat/>
    <w:uiPriority w:val="0"/>
    <w:rPr>
      <w:kern w:val="2"/>
      <w:sz w:val="24"/>
      <w:szCs w:val="24"/>
    </w:rPr>
  </w:style>
  <w:style w:type="character" w:customStyle="1" w:styleId="64">
    <w:name w:val="标题2 字符"/>
    <w:link w:val="62"/>
    <w:autoRedefine/>
    <w:qFormat/>
    <w:uiPriority w:val="0"/>
    <w:rPr>
      <w:b/>
      <w:snapToGrid w:val="0"/>
      <w:kern w:val="2"/>
      <w:sz w:val="24"/>
      <w:szCs w:val="24"/>
    </w:rPr>
  </w:style>
  <w:style w:type="character" w:customStyle="1" w:styleId="65">
    <w:name w:val="正文文本首行缩进 字符"/>
    <w:link w:val="2"/>
    <w:autoRedefine/>
    <w:qFormat/>
    <w:uiPriority w:val="0"/>
    <w:rPr>
      <w:kern w:val="2"/>
      <w:sz w:val="21"/>
      <w:szCs w:val="24"/>
    </w:rPr>
  </w:style>
  <w:style w:type="character" w:customStyle="1" w:styleId="66">
    <w:name w:val="【表中文字】- 字符"/>
    <w:link w:val="67"/>
    <w:autoRedefine/>
    <w:qFormat/>
    <w:uiPriority w:val="0"/>
  </w:style>
  <w:style w:type="paragraph" w:customStyle="1" w:styleId="67">
    <w:name w:val="【表中文字】-"/>
    <w:basedOn w:val="1"/>
    <w:link w:val="66"/>
    <w:autoRedefine/>
    <w:qFormat/>
    <w:uiPriority w:val="0"/>
    <w:pPr>
      <w:jc w:val="center"/>
    </w:pPr>
    <w:rPr>
      <w:kern w:val="0"/>
      <w:sz w:val="20"/>
      <w:szCs w:val="20"/>
    </w:rPr>
  </w:style>
  <w:style w:type="character" w:customStyle="1" w:styleId="68">
    <w:name w:val="正文文本 2 字符"/>
    <w:basedOn w:val="21"/>
    <w:link w:val="16"/>
    <w:autoRedefine/>
    <w:qFormat/>
    <w:uiPriority w:val="0"/>
    <w:rPr>
      <w:kern w:val="2"/>
      <w:sz w:val="21"/>
      <w:szCs w:val="24"/>
    </w:rPr>
  </w:style>
  <w:style w:type="character" w:customStyle="1" w:styleId="69">
    <w:name w:val="【表中文字】 Char Char"/>
    <w:autoRedefine/>
    <w:qFormat/>
    <w:uiPriority w:val="0"/>
    <w:rPr>
      <w:rFonts w:ascii="Calibri" w:hAnsi="Calibri"/>
    </w:rPr>
  </w:style>
  <w:style w:type="character" w:customStyle="1" w:styleId="70">
    <w:name w:val="正 Char1"/>
    <w:link w:val="71"/>
    <w:autoRedefine/>
    <w:qFormat/>
    <w:uiPriority w:val="0"/>
    <w:rPr>
      <w:rFonts w:ascii="Calibri" w:hAnsi="Calibri" w:cs="宋体"/>
      <w:kern w:val="2"/>
      <w:sz w:val="24"/>
    </w:rPr>
  </w:style>
  <w:style w:type="paragraph" w:customStyle="1" w:styleId="71">
    <w:name w:val="正"/>
    <w:basedOn w:val="1"/>
    <w:link w:val="70"/>
    <w:autoRedefine/>
    <w:qFormat/>
    <w:uiPriority w:val="0"/>
    <w:pPr>
      <w:spacing w:beforeLines="25" w:afterLines="25" w:line="440" w:lineRule="exact"/>
      <w:ind w:firstLine="200" w:firstLineChars="200"/>
    </w:pPr>
    <w:rPr>
      <w:rFonts w:ascii="Calibri" w:hAnsi="Calibri" w:cs="宋体"/>
      <w:sz w:val="24"/>
      <w:szCs w:val="20"/>
    </w:rPr>
  </w:style>
  <w:style w:type="table" w:customStyle="1" w:styleId="72">
    <w:name w:val="[表格样式]"/>
    <w:basedOn w:val="19"/>
    <w:autoRedefine/>
    <w:qFormat/>
    <w:uiPriority w:val="99"/>
    <w:pPr>
      <w:adjustRightInd w:val="0"/>
      <w:snapToGrid w:val="0"/>
      <w:jc w:val="center"/>
    </w:pPr>
    <w:rPr>
      <w:rFonts w:cstheme="minorBidi"/>
      <w:snapToGrid w:val="0"/>
    </w:rPr>
    <w:tblPr>
      <w:tblBorders>
        <w:top w:val="single" w:color="auto" w:sz="12" w:space="0"/>
        <w:bottom w:val="single" w:color="auto" w:sz="12" w:space="0"/>
        <w:insideH w:val="single" w:color="auto" w:sz="4" w:space="0"/>
        <w:insideV w:val="single" w:color="auto" w:sz="4" w:space="0"/>
      </w:tblBorders>
    </w:tblPr>
    <w:tcPr>
      <w:vAlign w:val="center"/>
    </w:tcPr>
  </w:style>
  <w:style w:type="character" w:customStyle="1" w:styleId="73">
    <w:name w:val="正文部分 Char"/>
    <w:autoRedefine/>
    <w:qFormat/>
    <w:uiPriority w:val="0"/>
    <w:rPr>
      <w:rFonts w:ascii="宋体" w:hAnsi="宋体" w:eastAsia="宋体" w:cs="宋体"/>
      <w:bCs/>
      <w:sz w:val="28"/>
      <w:szCs w:val="32"/>
      <w:lang w:val="en-US" w:eastAsia="zh-CN" w:bidi="ar-SA"/>
    </w:rPr>
  </w:style>
  <w:style w:type="paragraph" w:customStyle="1" w:styleId="74">
    <w:name w:val="正文（首行缩进两字） Char"/>
    <w:basedOn w:val="1"/>
    <w:autoRedefine/>
    <w:qFormat/>
    <w:uiPriority w:val="0"/>
    <w:pPr>
      <w:widowControl/>
      <w:spacing w:line="360" w:lineRule="auto"/>
      <w:ind w:firstLine="420"/>
    </w:pPr>
    <w:rPr>
      <w:kern w:val="0"/>
      <w:sz w:val="24"/>
      <w:szCs w:val="20"/>
    </w:rPr>
  </w:style>
  <w:style w:type="paragraph" w:customStyle="1" w:styleId="75">
    <w:name w:val="- 页码 -"/>
    <w:autoRedefine/>
    <w:qFormat/>
    <w:uiPriority w:val="0"/>
    <w:pPr>
      <w:widowControl w:val="0"/>
      <w:spacing w:line="360" w:lineRule="auto"/>
      <w:ind w:firstLine="200" w:firstLineChars="200"/>
      <w:jc w:val="both"/>
    </w:pPr>
    <w:rPr>
      <w:rFonts w:ascii="Times New Roman" w:hAnsi="Times New Roman" w:eastAsia="宋体" w:cs="Times New Roman"/>
      <w:kern w:val="2"/>
      <w:sz w:val="24"/>
      <w:lang w:val="en-US" w:eastAsia="zh-CN" w:bidi="ar-SA"/>
    </w:rPr>
  </w:style>
  <w:style w:type="paragraph" w:styleId="76">
    <w:name w:val="List Paragraph"/>
    <w:basedOn w:val="1"/>
    <w:autoRedefine/>
    <w:qFormat/>
    <w:uiPriority w:val="99"/>
    <w:pPr>
      <w:ind w:firstLine="420" w:firstLineChars="200"/>
    </w:pPr>
  </w:style>
  <w:style w:type="paragraph" w:customStyle="1" w:styleId="77">
    <w:name w:val="首行缩进正文"/>
    <w:basedOn w:val="1"/>
    <w:link w:val="79"/>
    <w:autoRedefine/>
    <w:qFormat/>
    <w:uiPriority w:val="0"/>
    <w:pPr>
      <w:autoSpaceDE w:val="0"/>
      <w:autoSpaceDN w:val="0"/>
      <w:adjustRightInd w:val="0"/>
      <w:snapToGrid w:val="0"/>
      <w:spacing w:line="500" w:lineRule="exact"/>
      <w:ind w:firstLine="480" w:firstLineChars="200"/>
    </w:pPr>
    <w:rPr>
      <w:color w:val="4472C4" w:themeColor="accent1"/>
      <w:kern w:val="0"/>
      <w:sz w:val="24"/>
      <w14:textFill>
        <w14:solidFill>
          <w14:schemeClr w14:val="accent1"/>
        </w14:solidFill>
      </w14:textFill>
    </w:rPr>
  </w:style>
  <w:style w:type="paragraph" w:customStyle="1" w:styleId="78">
    <w:name w:val="【表头】0"/>
    <w:basedOn w:val="49"/>
    <w:link w:val="81"/>
    <w:autoRedefine/>
    <w:qFormat/>
    <w:uiPriority w:val="0"/>
    <w:pPr>
      <w:adjustRightInd w:val="0"/>
      <w:snapToGrid w:val="0"/>
      <w:spacing w:line="400" w:lineRule="exact"/>
    </w:pPr>
    <w:rPr>
      <w:rFonts w:eastAsia="宋体"/>
      <w:sz w:val="24"/>
    </w:rPr>
  </w:style>
  <w:style w:type="character" w:customStyle="1" w:styleId="79">
    <w:name w:val="首行缩进正文 字符"/>
    <w:basedOn w:val="21"/>
    <w:link w:val="77"/>
    <w:autoRedefine/>
    <w:qFormat/>
    <w:uiPriority w:val="0"/>
    <w:rPr>
      <w:color w:val="4472C4" w:themeColor="accent1"/>
      <w:sz w:val="24"/>
      <w:szCs w:val="24"/>
      <w14:textFill>
        <w14:solidFill>
          <w14:schemeClr w14:val="accent1"/>
        </w14:solidFill>
      </w14:textFill>
    </w:rPr>
  </w:style>
  <w:style w:type="paragraph" w:customStyle="1" w:styleId="80">
    <w:name w:val="【表中表】居中"/>
    <w:basedOn w:val="1"/>
    <w:link w:val="83"/>
    <w:autoRedefine/>
    <w:qFormat/>
    <w:uiPriority w:val="0"/>
    <w:pPr>
      <w:autoSpaceDE w:val="0"/>
      <w:autoSpaceDN w:val="0"/>
      <w:adjustRightInd w:val="0"/>
      <w:snapToGrid w:val="0"/>
      <w:jc w:val="center"/>
    </w:pPr>
    <w:rPr>
      <w:color w:val="4472C4" w:themeColor="accent1"/>
      <w14:textFill>
        <w14:solidFill>
          <w14:schemeClr w14:val="accent1"/>
        </w14:solidFill>
      </w14:textFill>
    </w:rPr>
  </w:style>
  <w:style w:type="character" w:customStyle="1" w:styleId="81">
    <w:name w:val="【表头】0 字符"/>
    <w:basedOn w:val="52"/>
    <w:link w:val="78"/>
    <w:autoRedefine/>
    <w:qFormat/>
    <w:uiPriority w:val="0"/>
    <w:rPr>
      <w:rFonts w:eastAsia="黑体"/>
      <w:kern w:val="2"/>
      <w:sz w:val="24"/>
      <w:szCs w:val="24"/>
    </w:rPr>
  </w:style>
  <w:style w:type="paragraph" w:customStyle="1" w:styleId="82">
    <w:name w:val="表中表-两端"/>
    <w:basedOn w:val="80"/>
    <w:link w:val="85"/>
    <w:autoRedefine/>
    <w:qFormat/>
    <w:uiPriority w:val="0"/>
    <w:pPr>
      <w:jc w:val="both"/>
    </w:pPr>
  </w:style>
  <w:style w:type="character" w:customStyle="1" w:styleId="83">
    <w:name w:val="【表中表】居中 字符"/>
    <w:basedOn w:val="21"/>
    <w:link w:val="80"/>
    <w:autoRedefine/>
    <w:qFormat/>
    <w:uiPriority w:val="0"/>
    <w:rPr>
      <w:color w:val="4472C4" w:themeColor="accent1"/>
      <w:kern w:val="2"/>
      <w:sz w:val="21"/>
      <w:szCs w:val="24"/>
      <w14:textFill>
        <w14:solidFill>
          <w14:schemeClr w14:val="accent1"/>
        </w14:solidFill>
      </w14:textFill>
    </w:rPr>
  </w:style>
  <w:style w:type="paragraph" w:customStyle="1" w:styleId="84">
    <w:name w:val="一、"/>
    <w:basedOn w:val="77"/>
    <w:link w:val="86"/>
    <w:autoRedefine/>
    <w:qFormat/>
    <w:uiPriority w:val="0"/>
    <w:pPr>
      <w:ind w:firstLine="482"/>
    </w:pPr>
    <w:rPr>
      <w:b/>
      <w:bCs/>
    </w:rPr>
  </w:style>
  <w:style w:type="character" w:customStyle="1" w:styleId="85">
    <w:name w:val="表中表-两端 字符"/>
    <w:basedOn w:val="83"/>
    <w:link w:val="82"/>
    <w:autoRedefine/>
    <w:qFormat/>
    <w:uiPriority w:val="0"/>
    <w:rPr>
      <w:color w:val="4472C4" w:themeColor="accent1"/>
      <w:kern w:val="2"/>
      <w:sz w:val="21"/>
      <w:szCs w:val="24"/>
      <w14:textFill>
        <w14:solidFill>
          <w14:schemeClr w14:val="accent1"/>
        </w14:solidFill>
      </w14:textFill>
    </w:rPr>
  </w:style>
  <w:style w:type="character" w:customStyle="1" w:styleId="86">
    <w:name w:val="一、 字符"/>
    <w:basedOn w:val="79"/>
    <w:link w:val="84"/>
    <w:autoRedefine/>
    <w:qFormat/>
    <w:uiPriority w:val="0"/>
    <w:rPr>
      <w:b/>
      <w:bCs/>
      <w:color w:val="4472C4" w:themeColor="accent1"/>
      <w:sz w:val="24"/>
      <w:szCs w:val="24"/>
      <w14:textFill>
        <w14:solidFill>
          <w14:schemeClr w14:val="accent1"/>
        </w14:solidFill>
      </w14:textFill>
    </w:rPr>
  </w:style>
  <w:style w:type="paragraph" w:customStyle="1" w:styleId="87">
    <w:name w:val="【正文+】"/>
    <w:basedOn w:val="77"/>
    <w:link w:val="89"/>
    <w:autoRedefine/>
    <w:qFormat/>
    <w:uiPriority w:val="0"/>
    <w:pPr>
      <w:autoSpaceDE/>
      <w:autoSpaceDN/>
    </w:pPr>
    <w:rPr>
      <w:rFonts w:eastAsia="仿宋" w:cs="宋体"/>
      <w:color w:val="000000" w:themeColor="text1"/>
      <w14:textFill>
        <w14:solidFill>
          <w14:schemeClr w14:val="tx1"/>
        </w14:solidFill>
      </w14:textFill>
    </w:rPr>
  </w:style>
  <w:style w:type="paragraph" w:customStyle="1" w:styleId="88">
    <w:name w:val="【表中表】"/>
    <w:basedOn w:val="1"/>
    <w:link w:val="90"/>
    <w:autoRedefine/>
    <w:qFormat/>
    <w:uiPriority w:val="0"/>
    <w:pPr>
      <w:adjustRightInd w:val="0"/>
      <w:snapToGrid w:val="0"/>
      <w:jc w:val="center"/>
    </w:pPr>
    <w:rPr>
      <w:rFonts w:eastAsia="仿宋"/>
      <w:kern w:val="0"/>
    </w:rPr>
  </w:style>
  <w:style w:type="character" w:customStyle="1" w:styleId="89">
    <w:name w:val="【正文+】 字符"/>
    <w:basedOn w:val="79"/>
    <w:link w:val="87"/>
    <w:autoRedefine/>
    <w:qFormat/>
    <w:uiPriority w:val="0"/>
    <w:rPr>
      <w:rFonts w:eastAsia="仿宋" w:cs="宋体"/>
      <w:color w:val="000000" w:themeColor="text1"/>
      <w:sz w:val="24"/>
      <w:szCs w:val="24"/>
      <w14:textFill>
        <w14:solidFill>
          <w14:schemeClr w14:val="tx1"/>
        </w14:solidFill>
      </w14:textFill>
    </w:rPr>
  </w:style>
  <w:style w:type="character" w:customStyle="1" w:styleId="90">
    <w:name w:val="【表中表】 字符"/>
    <w:basedOn w:val="21"/>
    <w:link w:val="88"/>
    <w:autoRedefine/>
    <w:qFormat/>
    <w:uiPriority w:val="0"/>
    <w:rPr>
      <w:rFonts w:eastAsia="仿宋"/>
      <w:sz w:val="21"/>
      <w:szCs w:val="24"/>
    </w:rPr>
  </w:style>
  <w:style w:type="character" w:customStyle="1" w:styleId="91">
    <w:name w:val="【正文】 Char"/>
    <w:autoRedefine/>
    <w:qFormat/>
    <w:uiPriority w:val="0"/>
    <w:rPr>
      <w:rFonts w:cs="宋体"/>
      <w:color w:val="000000" w:themeColor="text1"/>
      <w:sz w:val="24"/>
      <w:szCs w:val="24"/>
      <w14:textFill>
        <w14:solidFill>
          <w14:schemeClr w14:val="tx1"/>
        </w14:solidFill>
      </w14:textFill>
    </w:rPr>
  </w:style>
  <w:style w:type="character" w:customStyle="1" w:styleId="92">
    <w:name w:val="C【表中文字】- 字符"/>
    <w:link w:val="93"/>
    <w:autoRedefine/>
    <w:qFormat/>
    <w:uiPriority w:val="0"/>
    <w:rPr>
      <w:sz w:val="18"/>
    </w:rPr>
  </w:style>
  <w:style w:type="paragraph" w:customStyle="1" w:styleId="93">
    <w:name w:val="C【表中文字】-"/>
    <w:basedOn w:val="1"/>
    <w:link w:val="92"/>
    <w:autoRedefine/>
    <w:qFormat/>
    <w:uiPriority w:val="0"/>
    <w:pPr>
      <w:adjustRightInd w:val="0"/>
      <w:snapToGrid w:val="0"/>
      <w:jc w:val="center"/>
    </w:pPr>
    <w:rPr>
      <w:kern w:val="0"/>
      <w:sz w:val="18"/>
      <w:szCs w:val="20"/>
    </w:rPr>
  </w:style>
  <w:style w:type="paragraph" w:customStyle="1" w:styleId="94">
    <w:name w:val="C首行缩进正文"/>
    <w:basedOn w:val="56"/>
    <w:link w:val="95"/>
    <w:autoRedefine/>
    <w:qFormat/>
    <w:uiPriority w:val="0"/>
    <w:rPr>
      <w:rFonts w:cs="宋体"/>
      <w:color w:val="000000" w:themeColor="text1"/>
      <w:kern w:val="0"/>
      <w:sz w:val="21"/>
      <w14:textFill>
        <w14:solidFill>
          <w14:schemeClr w14:val="tx1"/>
        </w14:solidFill>
      </w14:textFill>
    </w:rPr>
  </w:style>
  <w:style w:type="character" w:customStyle="1" w:styleId="95">
    <w:name w:val="C首行缩进正文 字符"/>
    <w:basedOn w:val="91"/>
    <w:link w:val="94"/>
    <w:autoRedefine/>
    <w:qFormat/>
    <w:uiPriority w:val="0"/>
    <w:rPr>
      <w:rFonts w:cs="宋体"/>
      <w:color w:val="000000" w:themeColor="text1"/>
      <w:sz w:val="21"/>
      <w:szCs w:val="24"/>
      <w14:textFill>
        <w14:solidFill>
          <w14:schemeClr w14:val="tx1"/>
        </w14:solidFill>
      </w14:textFill>
    </w:rPr>
  </w:style>
  <w:style w:type="character" w:customStyle="1" w:styleId="96">
    <w:name w:val="神-安表格 字符"/>
    <w:link w:val="97"/>
    <w:autoRedefine/>
    <w:qFormat/>
    <w:locked/>
    <w:uiPriority w:val="0"/>
    <w:rPr>
      <w:color w:val="000000"/>
      <w:kern w:val="2"/>
      <w:sz w:val="21"/>
      <w:szCs w:val="24"/>
    </w:rPr>
  </w:style>
  <w:style w:type="paragraph" w:customStyle="1" w:styleId="97">
    <w:name w:val="神-安表格"/>
    <w:basedOn w:val="1"/>
    <w:link w:val="96"/>
    <w:autoRedefine/>
    <w:qFormat/>
    <w:uiPriority w:val="0"/>
    <w:pPr>
      <w:adjustRightInd w:val="0"/>
      <w:snapToGrid w:val="0"/>
      <w:jc w:val="center"/>
    </w:pPr>
    <w:rPr>
      <w:color w:val="000000"/>
    </w:rPr>
  </w:style>
  <w:style w:type="paragraph" w:customStyle="1" w:styleId="98">
    <w:name w:val="AAA首行缩进2字符正文"/>
    <w:basedOn w:val="77"/>
    <w:autoRedefine/>
    <w:qFormat/>
    <w:uiPriority w:val="0"/>
    <w:pPr>
      <w:autoSpaceDE/>
      <w:autoSpaceDN/>
      <w:ind w:firstLine="200"/>
    </w:pPr>
    <w:rPr>
      <w:rFonts w:eastAsia="仿宋" w:cs="宋体"/>
      <w:color w:val="000000" w:themeColor="text1"/>
      <w14:textFill>
        <w14:solidFill>
          <w14:schemeClr w14:val="tx1"/>
        </w14:solidFill>
      </w14:textFill>
    </w:rPr>
  </w:style>
  <w:style w:type="paragraph" w:customStyle="1" w:styleId="99">
    <w:name w:val="列表段落1"/>
    <w:basedOn w:val="1"/>
    <w:autoRedefine/>
    <w:qFormat/>
    <w:uiPriority w:val="34"/>
    <w:pPr>
      <w:ind w:firstLine="420" w:firstLineChars="200"/>
    </w:pPr>
    <w:rPr>
      <w:szCs w:val="20"/>
    </w:rPr>
  </w:style>
  <w:style w:type="paragraph" w:customStyle="1" w:styleId="100">
    <w:name w:val="AAA正文1"/>
    <w:basedOn w:val="1"/>
    <w:link w:val="101"/>
    <w:autoRedefine/>
    <w:qFormat/>
    <w:uiPriority w:val="0"/>
    <w:pPr>
      <w:adjustRightInd w:val="0"/>
      <w:snapToGrid w:val="0"/>
      <w:spacing w:line="500" w:lineRule="exact"/>
      <w:ind w:firstLine="200" w:firstLineChars="200"/>
    </w:pPr>
    <w:rPr>
      <w:rFonts w:eastAsia="仿宋"/>
      <w:color w:val="000000" w:themeColor="text1"/>
      <w:sz w:val="24"/>
      <w14:textFill>
        <w14:solidFill>
          <w14:schemeClr w14:val="tx1"/>
        </w14:solidFill>
      </w14:textFill>
    </w:rPr>
  </w:style>
  <w:style w:type="character" w:customStyle="1" w:styleId="101">
    <w:name w:val="AAA正文1 字符"/>
    <w:basedOn w:val="21"/>
    <w:link w:val="100"/>
    <w:autoRedefine/>
    <w:qFormat/>
    <w:uiPriority w:val="0"/>
    <w:rPr>
      <w:rFonts w:eastAsia="仿宋"/>
      <w:color w:val="000000" w:themeColor="text1"/>
      <w:kern w:val="2"/>
      <w:sz w:val="24"/>
      <w:szCs w:val="24"/>
      <w14:textFill>
        <w14:solidFill>
          <w14:schemeClr w14:val="tx1"/>
        </w14:solidFill>
      </w14:textFill>
    </w:rPr>
  </w:style>
  <w:style w:type="character" w:customStyle="1" w:styleId="102">
    <w:name w:val="内容 Char"/>
    <w:link w:val="103"/>
    <w:autoRedefine/>
    <w:qFormat/>
    <w:uiPriority w:val="0"/>
    <w:rPr>
      <w:color w:val="000000"/>
      <w:kern w:val="2"/>
      <w:sz w:val="24"/>
      <w:szCs w:val="24"/>
    </w:rPr>
  </w:style>
  <w:style w:type="paragraph" w:customStyle="1" w:styleId="103">
    <w:name w:val="内容"/>
    <w:basedOn w:val="1"/>
    <w:link w:val="102"/>
    <w:autoRedefine/>
    <w:qFormat/>
    <w:uiPriority w:val="0"/>
    <w:pPr>
      <w:widowControl/>
      <w:spacing w:beforeLines="50" w:afterLines="50"/>
      <w:ind w:firstLine="200" w:firstLineChars="200"/>
      <w:jc w:val="left"/>
    </w:pPr>
    <w:rPr>
      <w:color w:val="000000"/>
      <w:sz w:val="24"/>
    </w:rPr>
  </w:style>
  <w:style w:type="paragraph" w:customStyle="1" w:styleId="104">
    <w:name w:val="11111"/>
    <w:basedOn w:val="1"/>
    <w:next w:val="1"/>
    <w:autoRedefine/>
    <w:qFormat/>
    <w:uiPriority w:val="0"/>
    <w:pPr>
      <w:spacing w:line="360" w:lineRule="auto"/>
      <w:ind w:firstLine="200" w:firstLineChars="200"/>
    </w:pPr>
    <w:rPr>
      <w:rFonts w:ascii="宋体" w:hAnsi="宋体" w:eastAsia="Times New Roman" w:cs="宋体"/>
      <w:sz w:val="24"/>
    </w:rPr>
  </w:style>
  <w:style w:type="character" w:customStyle="1" w:styleId="105">
    <w:name w:val="标题 2 字符"/>
    <w:basedOn w:val="21"/>
    <w:link w:val="5"/>
    <w:autoRedefine/>
    <w:semiHidden/>
    <w:qFormat/>
    <w:uiPriority w:val="0"/>
    <w:rPr>
      <w:rFonts w:asciiTheme="majorHAnsi" w:hAnsiTheme="majorHAnsi" w:eastAsiaTheme="majorEastAsia" w:cstheme="majorBidi"/>
      <w:b/>
      <w:bCs/>
      <w:kern w:val="2"/>
      <w:sz w:val="32"/>
      <w:szCs w:val="32"/>
    </w:rPr>
  </w:style>
  <w:style w:type="paragraph" w:customStyle="1" w:styleId="106">
    <w:name w:val="【表格】1"/>
    <w:next w:val="2"/>
    <w:autoRedefine/>
    <w:qFormat/>
    <w:uiPriority w:val="0"/>
    <w:pPr>
      <w:widowControl w:val="0"/>
      <w:spacing w:after="160" w:line="0" w:lineRule="atLeast"/>
      <w:jc w:val="center"/>
    </w:pPr>
    <w:rPr>
      <w:rFonts w:ascii="Times New Roman" w:hAnsi="Times New Roman" w:eastAsia="宋体" w:cs="Times New Roman"/>
      <w:color w:val="000000"/>
      <w:sz w:val="21"/>
      <w:szCs w:val="18"/>
      <w:lang w:val="en-US" w:eastAsia="zh-CN" w:bidi="ar-SA"/>
    </w:rPr>
  </w:style>
  <w:style w:type="paragraph" w:customStyle="1" w:styleId="107">
    <w:name w:val="_Style 4"/>
    <w:autoRedefine/>
    <w:qFormat/>
    <w:uiPriority w:val="0"/>
    <w:pPr>
      <w:widowControl w:val="0"/>
      <w:ind w:firstLine="200" w:firstLineChars="200"/>
      <w:jc w:val="both"/>
    </w:pPr>
    <w:rPr>
      <w:rFonts w:ascii="Times New Roman" w:hAnsi="Times New Roman" w:eastAsia="宋体" w:cs="Times New Roman"/>
      <w:kern w:val="2"/>
      <w:sz w:val="24"/>
      <w:szCs w:val="21"/>
      <w:lang w:val="en-US" w:eastAsia="zh-CN" w:bidi="ar-SA"/>
    </w:rPr>
  </w:style>
  <w:style w:type="paragraph" w:customStyle="1" w:styleId="108">
    <w:name w:val="表中字"/>
    <w:autoRedefine/>
    <w:qFormat/>
    <w:uiPriority w:val="0"/>
    <w:pPr>
      <w:jc w:val="center"/>
    </w:pPr>
    <w:rPr>
      <w:rFonts w:ascii="Times New Roman" w:hAnsi="Times New Roman" w:eastAsia="宋体" w:cs="Times New Roman"/>
      <w:kern w:val="2"/>
      <w:sz w:val="21"/>
      <w:szCs w:val="22"/>
      <w:lang w:val="zh-CN" w:eastAsia="zh-CN" w:bidi="ar-SA"/>
    </w:rPr>
  </w:style>
  <w:style w:type="paragraph" w:customStyle="1" w:styleId="109">
    <w:name w:val="正文首行缩进1"/>
    <w:basedOn w:val="3"/>
    <w:autoRedefine/>
    <w:unhideWhenUsed/>
    <w:qFormat/>
    <w:uiPriority w:val="99"/>
    <w:pPr>
      <w:adjustRightInd w:val="0"/>
      <w:spacing w:before="0" w:after="0" w:line="360" w:lineRule="auto"/>
      <w:ind w:right="0" w:firstLine="200" w:firstLineChars="200"/>
    </w:pPr>
    <w:rPr>
      <w:kern w:val="2"/>
      <w:sz w:val="24"/>
      <w:szCs w:val="21"/>
    </w:rPr>
  </w:style>
  <w:style w:type="paragraph" w:customStyle="1" w:styleId="110">
    <w:name w:val="列出段落1"/>
    <w:basedOn w:val="1"/>
    <w:next w:val="1"/>
    <w:qFormat/>
    <w:uiPriority w:val="0"/>
    <w:pPr>
      <w:spacing w:line="460" w:lineRule="exact"/>
      <w:ind w:firstLine="480"/>
      <w:jc w:val="center"/>
    </w:pPr>
    <w:rPr>
      <w:rFonts w:ascii="Times New Roman" w:hAnsi="Times New Roman" w:eastAsia="黑体" w:cs="Times New Roman"/>
      <w:sz w:val="24"/>
      <w:szCs w:val="21"/>
    </w:rPr>
  </w:style>
  <w:style w:type="paragraph" w:customStyle="1" w:styleId="111">
    <w:name w:val="表格、图形标题"/>
    <w:next w:val="1"/>
    <w:autoRedefine/>
    <w:qFormat/>
    <w:uiPriority w:val="0"/>
    <w:pPr>
      <w:widowControl w:val="0"/>
      <w:adjustRightInd w:val="0"/>
      <w:snapToGrid w:val="0"/>
      <w:spacing w:line="500" w:lineRule="exact"/>
      <w:ind w:firstLine="0" w:firstLineChars="0"/>
      <w:jc w:val="center"/>
    </w:pPr>
    <w:rPr>
      <w:rFonts w:ascii="黑体" w:hAnsi="黑体" w:eastAsia="黑体" w:cs="Times New Roman"/>
      <w:snapToGrid w:val="0"/>
      <w:kern w:val="0"/>
      <w:sz w:val="24"/>
      <w:szCs w:val="24"/>
      <w:lang w:val="en-US" w:eastAsia="zh-CN" w:bidi="ar-SA"/>
    </w:rPr>
  </w:style>
  <w:style w:type="paragraph" w:customStyle="1" w:styleId="112">
    <w:name w:val="符合性文字"/>
    <w:basedOn w:val="1"/>
    <w:qFormat/>
    <w:uiPriority w:val="0"/>
    <w:pPr>
      <w:spacing w:line="500" w:lineRule="exact"/>
      <w:ind w:firstLine="480" w:firstLineChars="200"/>
    </w:pPr>
    <w:rPr>
      <w:rFonts w:hint="eastAsia" w:ascii="Times New Roman" w:hAnsi="Times New Roman" w:eastAsia="宋体" w:cs="Times New Roman"/>
      <w:color w:val="FF0000"/>
      <w:sz w:val="24"/>
      <w:lang w:bidi="ar"/>
    </w:rPr>
  </w:style>
  <w:style w:type="paragraph" w:customStyle="1" w:styleId="113">
    <w:name w:val="图片格式"/>
    <w:next w:val="1"/>
    <w:autoRedefine/>
    <w:qFormat/>
    <w:uiPriority w:val="0"/>
    <w:pPr>
      <w:widowControl w:val="0"/>
      <w:adjustRightInd w:val="0"/>
      <w:snapToGrid w:val="0"/>
      <w:spacing w:line="240" w:lineRule="auto"/>
      <w:ind w:firstLine="0" w:firstLineChars="0"/>
      <w:jc w:val="center"/>
    </w:pPr>
    <w:rPr>
      <w:rFonts w:ascii="Times New Roman" w:hAnsi="Times New Roman" w:eastAsia="宋体" w:cs="Times New Roman"/>
      <w:snapToGrid w:val="0"/>
      <w:kern w:val="0"/>
      <w:sz w:val="24"/>
      <w:szCs w:val="24"/>
      <w:lang w:val="en-US" w:eastAsia="zh-CN" w:bidi="ar-SA"/>
    </w:rPr>
  </w:style>
  <w:style w:type="paragraph" w:customStyle="1" w:styleId="114">
    <w:name w:val="表格内容样式"/>
    <w:basedOn w:val="1"/>
    <w:next w:val="1"/>
    <w:qFormat/>
    <w:uiPriority w:val="0"/>
    <w:pPr>
      <w:spacing w:line="360" w:lineRule="exact"/>
      <w:ind w:firstLine="0" w:firstLineChars="0"/>
      <w:jc w:val="center"/>
    </w:pPr>
    <w:rPr>
      <w:sz w:val="21"/>
    </w:rPr>
  </w:style>
  <w:style w:type="paragraph" w:customStyle="1" w:styleId="115">
    <w:name w:val="题头"/>
    <w:basedOn w:val="1"/>
    <w:next w:val="1"/>
    <w:autoRedefine/>
    <w:qFormat/>
    <w:uiPriority w:val="0"/>
    <w:pPr>
      <w:spacing w:line="500" w:lineRule="exact"/>
      <w:ind w:leftChars="0"/>
      <w:jc w:val="center"/>
    </w:pPr>
    <w:rPr>
      <w:rFonts w:hint="eastAsia" w:ascii="Times New Roman" w:hAnsi="Times New Roman" w:eastAsia="黑体"/>
      <w:color w:val="FF0000"/>
      <w:lang w:bidi="ar"/>
    </w:rPr>
  </w:style>
  <w:style w:type="paragraph" w:customStyle="1" w:styleId="116">
    <w:name w:val="表格内容格式"/>
    <w:next w:val="54"/>
    <w:autoRedefine/>
    <w:qFormat/>
    <w:uiPriority w:val="0"/>
    <w:pPr>
      <w:widowControl w:val="0"/>
      <w:adjustRightInd w:val="0"/>
      <w:snapToGrid w:val="0"/>
      <w:spacing w:line="360" w:lineRule="exact"/>
      <w:ind w:firstLine="0" w:firstLineChars="0"/>
      <w:jc w:val="center"/>
    </w:pPr>
    <w:rPr>
      <w:rFonts w:ascii="Times New Roman" w:hAnsi="Times New Roman" w:eastAsia="宋体" w:cs="Times New Roman"/>
      <w:kern w:val="0"/>
      <w:sz w:val="21"/>
      <w:szCs w:val="21"/>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7" Type="http://schemas.microsoft.com/office/2011/relationships/people" Target="people.xml"/><Relationship Id="rId66" Type="http://schemas.openxmlformats.org/officeDocument/2006/relationships/fontTable" Target="fontTable.xml"/><Relationship Id="rId65" Type="http://schemas.openxmlformats.org/officeDocument/2006/relationships/customXml" Target="../customXml/item2.xml"/><Relationship Id="rId64" Type="http://schemas.openxmlformats.org/officeDocument/2006/relationships/numbering" Target="numbering.xml"/><Relationship Id="rId63" Type="http://schemas.openxmlformats.org/officeDocument/2006/relationships/customXml" Target="../customXml/item1.xml"/><Relationship Id="rId62" Type="http://schemas.openxmlformats.org/officeDocument/2006/relationships/image" Target="media/image45.png"/><Relationship Id="rId61" Type="http://schemas.openxmlformats.org/officeDocument/2006/relationships/image" Target="media/image44.png"/><Relationship Id="rId60" Type="http://schemas.openxmlformats.org/officeDocument/2006/relationships/image" Target="media/image43.png"/><Relationship Id="rId6" Type="http://schemas.openxmlformats.org/officeDocument/2006/relationships/footer" Target="footer2.xml"/><Relationship Id="rId59" Type="http://schemas.openxmlformats.org/officeDocument/2006/relationships/image" Target="media/image42.png"/><Relationship Id="rId58" Type="http://schemas.openxmlformats.org/officeDocument/2006/relationships/image" Target="media/image41.png"/><Relationship Id="rId57" Type="http://schemas.openxmlformats.org/officeDocument/2006/relationships/image" Target="media/image40.png"/><Relationship Id="rId56" Type="http://schemas.openxmlformats.org/officeDocument/2006/relationships/image" Target="media/image39.png"/><Relationship Id="rId55" Type="http://schemas.openxmlformats.org/officeDocument/2006/relationships/image" Target="media/image38.png"/><Relationship Id="rId54" Type="http://schemas.openxmlformats.org/officeDocument/2006/relationships/image" Target="media/image37.png"/><Relationship Id="rId53" Type="http://schemas.openxmlformats.org/officeDocument/2006/relationships/image" Target="media/image36.png"/><Relationship Id="rId52" Type="http://schemas.openxmlformats.org/officeDocument/2006/relationships/image" Target="media/image35.png"/><Relationship Id="rId51" Type="http://schemas.openxmlformats.org/officeDocument/2006/relationships/image" Target="media/image34.png"/><Relationship Id="rId50" Type="http://schemas.openxmlformats.org/officeDocument/2006/relationships/image" Target="media/image33.png"/><Relationship Id="rId5" Type="http://schemas.openxmlformats.org/officeDocument/2006/relationships/footer" Target="footer1.xml"/><Relationship Id="rId49" Type="http://schemas.openxmlformats.org/officeDocument/2006/relationships/image" Target="media/image32.png"/><Relationship Id="rId48" Type="http://schemas.openxmlformats.org/officeDocument/2006/relationships/image" Target="media/image31.png"/><Relationship Id="rId47" Type="http://schemas.openxmlformats.org/officeDocument/2006/relationships/image" Target="media/image30.png"/><Relationship Id="rId46" Type="http://schemas.openxmlformats.org/officeDocument/2006/relationships/image" Target="media/image29.png"/><Relationship Id="rId45" Type="http://schemas.openxmlformats.org/officeDocument/2006/relationships/image" Target="media/image28.png"/><Relationship Id="rId44" Type="http://schemas.openxmlformats.org/officeDocument/2006/relationships/image" Target="media/image27.png"/><Relationship Id="rId43" Type="http://schemas.openxmlformats.org/officeDocument/2006/relationships/image" Target="media/image26.png"/><Relationship Id="rId42" Type="http://schemas.openxmlformats.org/officeDocument/2006/relationships/image" Target="media/image25.png"/><Relationship Id="rId41" Type="http://schemas.openxmlformats.org/officeDocument/2006/relationships/image" Target="media/image24.png"/><Relationship Id="rId40" Type="http://schemas.openxmlformats.org/officeDocument/2006/relationships/image" Target="media/image23.png"/><Relationship Id="rId4" Type="http://schemas.microsoft.com/office/2011/relationships/commentsExtended" Target="commentsExtended.xml"/><Relationship Id="rId39" Type="http://schemas.openxmlformats.org/officeDocument/2006/relationships/image" Target="media/image22.png"/><Relationship Id="rId38" Type="http://schemas.openxmlformats.org/officeDocument/2006/relationships/image" Target="media/image21.png"/><Relationship Id="rId37" Type="http://schemas.openxmlformats.org/officeDocument/2006/relationships/image" Target="media/image20.png"/><Relationship Id="rId36" Type="http://schemas.openxmlformats.org/officeDocument/2006/relationships/image" Target="media/image19.png"/><Relationship Id="rId35" Type="http://schemas.openxmlformats.org/officeDocument/2006/relationships/image" Target="media/image18.png"/><Relationship Id="rId34" Type="http://schemas.openxmlformats.org/officeDocument/2006/relationships/image" Target="media/image17.png"/><Relationship Id="rId33" Type="http://schemas.openxmlformats.org/officeDocument/2006/relationships/image" Target="media/image16.png"/><Relationship Id="rId32" Type="http://schemas.openxmlformats.org/officeDocument/2006/relationships/image" Target="media/image15.png"/><Relationship Id="rId31" Type="http://schemas.openxmlformats.org/officeDocument/2006/relationships/image" Target="media/image14.png"/><Relationship Id="rId30" Type="http://schemas.openxmlformats.org/officeDocument/2006/relationships/image" Target="media/image13.png"/><Relationship Id="rId3" Type="http://schemas.openxmlformats.org/officeDocument/2006/relationships/comments" Target="comments.xml"/><Relationship Id="rId29" Type="http://schemas.openxmlformats.org/officeDocument/2006/relationships/image" Target="media/image12.wmf"/><Relationship Id="rId28" Type="http://schemas.openxmlformats.org/officeDocument/2006/relationships/oleObject" Target="embeddings/oleObject6.bin"/><Relationship Id="rId27" Type="http://schemas.openxmlformats.org/officeDocument/2006/relationships/image" Target="media/image11.wmf"/><Relationship Id="rId26" Type="http://schemas.openxmlformats.org/officeDocument/2006/relationships/oleObject" Target="embeddings/oleObject5.bin"/><Relationship Id="rId25" Type="http://schemas.openxmlformats.org/officeDocument/2006/relationships/image" Target="media/image10.wmf"/><Relationship Id="rId24" Type="http://schemas.openxmlformats.org/officeDocument/2006/relationships/oleObject" Target="embeddings/oleObject4.bin"/><Relationship Id="rId23" Type="http://schemas.openxmlformats.org/officeDocument/2006/relationships/image" Target="media/image9.wmf"/><Relationship Id="rId22" Type="http://schemas.openxmlformats.org/officeDocument/2006/relationships/image" Target="media/image8.wmf"/><Relationship Id="rId21" Type="http://schemas.openxmlformats.org/officeDocument/2006/relationships/oleObject" Target="embeddings/oleObject3.bin"/><Relationship Id="rId20" Type="http://schemas.openxmlformats.org/officeDocument/2006/relationships/image" Target="media/image7.wmf"/><Relationship Id="rId2" Type="http://schemas.openxmlformats.org/officeDocument/2006/relationships/settings" Target="settings.xml"/><Relationship Id="rId19" Type="http://schemas.openxmlformats.org/officeDocument/2006/relationships/image" Target="media/image6.wmf"/><Relationship Id="rId18" Type="http://schemas.openxmlformats.org/officeDocument/2006/relationships/oleObject" Target="embeddings/oleObject2.bin"/><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emf"/><Relationship Id="rId13" Type="http://schemas.openxmlformats.org/officeDocument/2006/relationships/oleObject" Target="embeddings/oleObject1.bin"/><Relationship Id="rId12" Type="http://schemas.openxmlformats.org/officeDocument/2006/relationships/image" Target="media/image1.png"/><Relationship Id="rId11" Type="http://schemas.openxmlformats.org/officeDocument/2006/relationships/theme" Target="theme/theme1.xml"/><Relationship Id="rId10" Type="http://schemas.openxmlformats.org/officeDocument/2006/relationships/footer" Target="footer6.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0BFA2FF9-128A-4312-9B48-2FF64527707C}">
  <ds:schemaRefs/>
</ds:datastoreItem>
</file>

<file path=docProps/app.xml><?xml version="1.0" encoding="utf-8"?>
<Properties xmlns="http://schemas.openxmlformats.org/officeDocument/2006/extended-properties" xmlns:vt="http://schemas.openxmlformats.org/officeDocument/2006/docPropsVTypes">
  <Template>wdzx97.dot</Template>
  <Company>微软中国</Company>
  <Pages>101</Pages>
  <Words>38638</Words>
  <Characters>42489</Characters>
  <Lines>1</Lines>
  <Paragraphs>1</Paragraphs>
  <TotalTime>15</TotalTime>
  <ScaleCrop>false</ScaleCrop>
  <LinksUpToDate>false</LinksUpToDate>
  <CharactersWithSpaces>42685</CharactersWithSpaces>
  <Application>WPS Office_12.1.0.17857_F1E327BC-269C-435d-A152-05C5408002CA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2023-01-30T01:05:00Z</dcterms:created>
  <dc:creator>lhj</dc:creator>
  <cp:lastModifiedBy>嘻嘻嘻...</cp:lastModifiedBy>
  <cp:lastPrinted>2023-01-30T01:06:00Z</cp:lastPrinted>
  <dcterms:modified xsi:type="dcterms:W3CDTF">2024-08-27T05:58:17Z</dcterms:modified>
  <dc:title>附件2</dc:title>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2052-12.1.0.17857</vt:lpwstr>
  </property>
  <property fmtid="{D5CDD505-2E9C-101B-9397-08002B2CF9AE}" pid="3" name="ICV">
    <vt:lpwstr>297DDB7BB1A34E51AE6EA1B33852265F_13</vt:lpwstr>
  </property>
</Properties>
</file>