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569FEF">
      <w:pPr>
        <w:rPr>
          <w:rFonts w:ascii="Times New Roman" w:hAnsi="Times New Roman" w:eastAsiaTheme="minorEastAsia"/>
          <w:lang w:val="zh-CN"/>
        </w:rPr>
      </w:pPr>
    </w:p>
    <w:p w14:paraId="2CF375D5">
      <w:pPr>
        <w:pStyle w:val="26"/>
        <w:jc w:val="left"/>
        <w:rPr>
          <w:rFonts w:ascii="Times New Roman" w:hAnsi="Times New Roman" w:eastAsiaTheme="minorEastAsia"/>
          <w:color w:val="FF0000"/>
        </w:rPr>
      </w:pPr>
      <w:r>
        <w:drawing>
          <wp:inline distT="0" distB="0" distL="114300" distR="114300">
            <wp:extent cx="6090285" cy="8058785"/>
            <wp:effectExtent l="0" t="0" r="5715" b="1841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8"/>
                    <a:stretch>
                      <a:fillRect/>
                    </a:stretch>
                  </pic:blipFill>
                  <pic:spPr>
                    <a:xfrm>
                      <a:off x="0" y="0"/>
                      <a:ext cx="6090285" cy="8058785"/>
                    </a:xfrm>
                    <a:prstGeom prst="rect">
                      <a:avLst/>
                    </a:prstGeom>
                    <a:noFill/>
                    <a:ln>
                      <a:noFill/>
                    </a:ln>
                  </pic:spPr>
                </pic:pic>
              </a:graphicData>
            </a:graphic>
          </wp:inline>
        </w:drawing>
      </w:r>
    </w:p>
    <w:p w14:paraId="12FC4792">
      <w:pPr>
        <w:rPr>
          <w:rFonts w:ascii="Times New Roman" w:hAnsi="Times New Roman" w:eastAsiaTheme="minorEastAsia"/>
          <w:color w:val="FF0000"/>
        </w:rPr>
      </w:pPr>
    </w:p>
    <w:p w14:paraId="735261AF">
      <w:pPr>
        <w:rPr>
          <w:rFonts w:ascii="Times New Roman" w:hAnsi="Times New Roman" w:eastAsiaTheme="minorEastAsia"/>
          <w:color w:val="FF0000"/>
        </w:rPr>
      </w:pPr>
    </w:p>
    <w:p w14:paraId="5E649EEF">
      <w:pPr>
        <w:rPr>
          <w:rFonts w:ascii="Times New Roman" w:hAnsi="Times New Roman" w:eastAsiaTheme="minorEastAsia"/>
          <w:b/>
          <w:sz w:val="28"/>
        </w:rPr>
      </w:pPr>
    </w:p>
    <w:p w14:paraId="64B7B025">
      <w:pPr>
        <w:rPr>
          <w:rFonts w:ascii="Times New Roman" w:hAnsi="Times New Roman" w:eastAsiaTheme="minorEastAsia"/>
          <w:color w:val="FF0000"/>
        </w:rPr>
        <w:sectPr>
          <w:footerReference r:id="rId3" w:type="default"/>
          <w:pgSz w:w="11906" w:h="16838"/>
          <w:pgMar w:top="1440" w:right="1800" w:bottom="1440" w:left="1800" w:header="851" w:footer="992" w:gutter="0"/>
          <w:pgNumType w:start="1"/>
          <w:cols w:space="720" w:num="1"/>
          <w:docGrid w:type="lines" w:linePitch="312" w:charSpace="0"/>
        </w:sectPr>
      </w:pPr>
      <w:r>
        <w:drawing>
          <wp:inline distT="0" distB="0" distL="114300" distR="114300">
            <wp:extent cx="5944870" cy="8400415"/>
            <wp:effectExtent l="0" t="0" r="17780" b="63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9"/>
                    <a:stretch>
                      <a:fillRect/>
                    </a:stretch>
                  </pic:blipFill>
                  <pic:spPr>
                    <a:xfrm>
                      <a:off x="0" y="0"/>
                      <a:ext cx="5944870" cy="8400415"/>
                    </a:xfrm>
                    <a:prstGeom prst="rect">
                      <a:avLst/>
                    </a:prstGeom>
                    <a:noFill/>
                    <a:ln>
                      <a:noFill/>
                    </a:ln>
                  </pic:spPr>
                </pic:pic>
              </a:graphicData>
            </a:graphic>
          </wp:inline>
        </w:drawing>
      </w:r>
    </w:p>
    <w:p w14:paraId="7DD25390">
      <w:pPr>
        <w:outlineLvl w:val="0"/>
        <w:rPr>
          <w:rFonts w:ascii="Times New Roman" w:hAnsi="Times New Roman" w:eastAsiaTheme="minorEastAsia"/>
          <w:b/>
          <w:bCs/>
          <w:sz w:val="28"/>
          <w:szCs w:val="28"/>
        </w:rPr>
      </w:pPr>
      <w:bookmarkStart w:id="0" w:name="_Toc6853"/>
      <w:r>
        <w:rPr>
          <w:rFonts w:ascii="Times New Roman" w:hAnsi="Times New Roman" w:eastAsiaTheme="minorEastAsia"/>
          <w:b/>
          <w:bCs/>
          <w:sz w:val="28"/>
          <w:szCs w:val="28"/>
        </w:rPr>
        <w:t>表一项目概况</w:t>
      </w:r>
      <w:bookmarkEnd w:id="0"/>
    </w:p>
    <w:tbl>
      <w:tblPr>
        <w:tblStyle w:val="23"/>
        <w:tblW w:w="90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1417"/>
        <w:gridCol w:w="1985"/>
        <w:gridCol w:w="1115"/>
        <w:gridCol w:w="1419"/>
        <w:gridCol w:w="1105"/>
      </w:tblGrid>
      <w:tr w14:paraId="3BA8A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08DCA557">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建设项目名称</w:t>
            </w:r>
          </w:p>
        </w:tc>
        <w:tc>
          <w:tcPr>
            <w:tcW w:w="7041" w:type="dxa"/>
            <w:gridSpan w:val="5"/>
            <w:vAlign w:val="center"/>
          </w:tcPr>
          <w:p w14:paraId="13BFAEFC">
            <w:pPr>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sz w:val="21"/>
                <w:szCs w:val="21"/>
                <w:lang w:val="en-US" w:eastAsia="zh-CN" w:bidi="ar-SA"/>
              </w:rPr>
              <w:t>桦南县宏祥报废农机回收有限责任公司农机报废拆解项目</w:t>
            </w:r>
          </w:p>
        </w:tc>
      </w:tr>
      <w:tr w14:paraId="7385F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50D1B30D">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建设单位名称</w:t>
            </w:r>
          </w:p>
        </w:tc>
        <w:tc>
          <w:tcPr>
            <w:tcW w:w="7041" w:type="dxa"/>
            <w:gridSpan w:val="5"/>
            <w:vAlign w:val="center"/>
          </w:tcPr>
          <w:p w14:paraId="17CECC72">
            <w:pPr>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sz w:val="21"/>
                <w:szCs w:val="21"/>
                <w:lang w:val="en-US" w:eastAsia="zh-CN" w:bidi="ar-SA"/>
              </w:rPr>
              <w:t>桦南县宏祥报废农机回收有限责任公司</w:t>
            </w:r>
          </w:p>
        </w:tc>
      </w:tr>
      <w:tr w14:paraId="0BA3C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75B8AD52">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建设项目性质</w:t>
            </w:r>
          </w:p>
        </w:tc>
        <w:tc>
          <w:tcPr>
            <w:tcW w:w="7041" w:type="dxa"/>
            <w:gridSpan w:val="5"/>
            <w:vAlign w:val="center"/>
          </w:tcPr>
          <w:p w14:paraId="48DE1A4D">
            <w:pPr>
              <w:pStyle w:val="26"/>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sz w:val="21"/>
                <w:szCs w:val="21"/>
                <w:lang w:val="en-US" w:eastAsia="zh-CN" w:bidi="ar-SA"/>
              </w:rPr>
              <w:t>√新建□改扩建□技改□迁建</w:t>
            </w:r>
          </w:p>
        </w:tc>
      </w:tr>
      <w:tr w14:paraId="73A36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25B070DC">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建设地点</w:t>
            </w:r>
          </w:p>
        </w:tc>
        <w:tc>
          <w:tcPr>
            <w:tcW w:w="7041" w:type="dxa"/>
            <w:gridSpan w:val="5"/>
            <w:vAlign w:val="center"/>
          </w:tcPr>
          <w:p w14:paraId="47F71230">
            <w:pPr>
              <w:pStyle w:val="26"/>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sz w:val="21"/>
                <w:szCs w:val="21"/>
                <w:lang w:val="en-US" w:eastAsia="zh-CN" w:bidi="ar-SA"/>
              </w:rPr>
              <w:t>黑龙江省佳木斯市桦南县曙光农场第十五作业站</w:t>
            </w:r>
          </w:p>
          <w:p w14:paraId="2EEDCB77">
            <w:pPr>
              <w:pStyle w:val="26"/>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kern w:val="0"/>
                <w:sz w:val="21"/>
                <w:szCs w:val="21"/>
                <w:lang w:val="en-US" w:eastAsia="zh-CN" w:bidi="ar-SA"/>
              </w:rPr>
              <w:t>经纬度：东经：130度32分3.7786秒，北纬：46度17分43.8482秒。</w:t>
            </w:r>
          </w:p>
        </w:tc>
      </w:tr>
      <w:tr w14:paraId="5C906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5EE8040A">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主要产品名称</w:t>
            </w:r>
          </w:p>
        </w:tc>
        <w:tc>
          <w:tcPr>
            <w:tcW w:w="7041" w:type="dxa"/>
            <w:gridSpan w:val="5"/>
            <w:vAlign w:val="center"/>
          </w:tcPr>
          <w:p w14:paraId="05EFD378">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回收拆解报废农业机械</w:t>
            </w:r>
          </w:p>
        </w:tc>
      </w:tr>
      <w:tr w14:paraId="4AAA0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2A174D22">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设计生产能力</w:t>
            </w:r>
          </w:p>
        </w:tc>
        <w:tc>
          <w:tcPr>
            <w:tcW w:w="7041" w:type="dxa"/>
            <w:gridSpan w:val="5"/>
            <w:vAlign w:val="center"/>
          </w:tcPr>
          <w:p w14:paraId="5AF6D72F">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回收拆解1000</w:t>
            </w:r>
            <w:r>
              <w:rPr>
                <w:rFonts w:hint="default" w:ascii="Times New Roman" w:hAnsi="Times New Roman" w:cs="Times New Roman" w:eastAsiaTheme="minorEastAsia"/>
                <w:color w:val="auto"/>
                <w:sz w:val="21"/>
                <w:szCs w:val="21"/>
                <w:lang w:val="en-US" w:eastAsia="zh-CN"/>
              </w:rPr>
              <w:t>0</w:t>
            </w:r>
            <w:r>
              <w:rPr>
                <w:rFonts w:hint="default" w:ascii="Times New Roman" w:hAnsi="Times New Roman" w:cs="Times New Roman" w:eastAsiaTheme="minorEastAsia"/>
                <w:color w:val="auto"/>
                <w:sz w:val="21"/>
                <w:szCs w:val="21"/>
              </w:rPr>
              <w:t>台报废农业机械</w:t>
            </w:r>
          </w:p>
        </w:tc>
      </w:tr>
      <w:tr w14:paraId="696A6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7874F289">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实际生产能力</w:t>
            </w:r>
          </w:p>
        </w:tc>
        <w:tc>
          <w:tcPr>
            <w:tcW w:w="7041" w:type="dxa"/>
            <w:gridSpan w:val="5"/>
            <w:vAlign w:val="center"/>
          </w:tcPr>
          <w:p w14:paraId="3989756B">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回收拆解100</w:t>
            </w:r>
            <w:r>
              <w:rPr>
                <w:rFonts w:hint="default" w:ascii="Times New Roman" w:hAnsi="Times New Roman" w:cs="Times New Roman" w:eastAsiaTheme="minorEastAsia"/>
                <w:color w:val="auto"/>
                <w:sz w:val="21"/>
                <w:szCs w:val="21"/>
                <w:lang w:val="en-US" w:eastAsia="zh-CN"/>
              </w:rPr>
              <w:t>0</w:t>
            </w:r>
            <w:r>
              <w:rPr>
                <w:rFonts w:hint="default" w:ascii="Times New Roman" w:hAnsi="Times New Roman" w:cs="Times New Roman" w:eastAsiaTheme="minorEastAsia"/>
                <w:color w:val="auto"/>
                <w:sz w:val="21"/>
                <w:szCs w:val="21"/>
              </w:rPr>
              <w:t>0台报废农业机械</w:t>
            </w:r>
          </w:p>
        </w:tc>
      </w:tr>
      <w:tr w14:paraId="7F5D0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3254C538">
            <w:pPr>
              <w:pStyle w:val="26"/>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建设项目环评时间</w:t>
            </w:r>
          </w:p>
        </w:tc>
        <w:tc>
          <w:tcPr>
            <w:tcW w:w="1417" w:type="dxa"/>
            <w:vAlign w:val="center"/>
          </w:tcPr>
          <w:p w14:paraId="791ED0AE">
            <w:pPr>
              <w:pStyle w:val="26"/>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202</w:t>
            </w:r>
            <w:r>
              <w:rPr>
                <w:rFonts w:hint="default" w:ascii="Times New Roman" w:hAnsi="Times New Roman"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eastAsiaTheme="minorEastAsia"/>
                <w:color w:val="auto"/>
                <w:sz w:val="21"/>
                <w:szCs w:val="21"/>
                <w:highlight w:val="none"/>
                <w:lang w:val="en-US" w:eastAsia="zh-CN"/>
              </w:rPr>
              <w:t>9</w:t>
            </w:r>
          </w:p>
        </w:tc>
        <w:tc>
          <w:tcPr>
            <w:tcW w:w="1985" w:type="dxa"/>
            <w:vAlign w:val="center"/>
          </w:tcPr>
          <w:p w14:paraId="2E388D29">
            <w:pPr>
              <w:pStyle w:val="26"/>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sz w:val="21"/>
                <w:szCs w:val="21"/>
                <w:highlight w:val="none"/>
              </w:rPr>
              <w:t>开工建设时间</w:t>
            </w:r>
          </w:p>
        </w:tc>
        <w:tc>
          <w:tcPr>
            <w:tcW w:w="3639" w:type="dxa"/>
            <w:gridSpan w:val="3"/>
            <w:vAlign w:val="center"/>
          </w:tcPr>
          <w:p w14:paraId="4A8C31BD">
            <w:pPr>
              <w:pStyle w:val="26"/>
              <w:jc w:val="center"/>
              <w:rPr>
                <w:rFonts w:hint="default" w:ascii="Times New Roman" w:hAnsi="Times New Roman" w:cs="Times New Roman" w:eastAsiaTheme="minorEastAsia"/>
                <w:color w:val="auto"/>
                <w:sz w:val="21"/>
                <w:szCs w:val="21"/>
                <w:highlight w:val="yellow"/>
                <w:lang w:val="en-US" w:eastAsia="zh-CN"/>
              </w:rPr>
            </w:pPr>
            <w:r>
              <w:rPr>
                <w:rFonts w:hint="default" w:ascii="Times New Roman" w:hAnsi="Times New Roman" w:cs="Times New Roman" w:eastAsiaTheme="minorEastAsia"/>
                <w:color w:val="auto"/>
                <w:sz w:val="21"/>
                <w:szCs w:val="21"/>
                <w:highlight w:val="none"/>
              </w:rPr>
              <w:t>202</w:t>
            </w:r>
            <w:r>
              <w:rPr>
                <w:rFonts w:hint="default" w:ascii="Times New Roman" w:hAnsi="Times New Roman" w:cs="Times New Roman" w:eastAsiaTheme="minorEastAsia"/>
                <w:color w:val="auto"/>
                <w:sz w:val="21"/>
                <w:szCs w:val="21"/>
                <w:highlight w:val="none"/>
                <w:lang w:val="en-US" w:eastAsia="zh-CN"/>
              </w:rPr>
              <w:t>4</w:t>
            </w:r>
            <w:r>
              <w:rPr>
                <w:rFonts w:hint="default" w:ascii="Times New Roman" w:hAnsi="Times New Roman" w:cs="Times New Roman" w:eastAsiaTheme="minorEastAsia"/>
                <w:color w:val="auto"/>
                <w:sz w:val="21"/>
                <w:szCs w:val="21"/>
                <w:highlight w:val="none"/>
              </w:rPr>
              <w:t>.1</w:t>
            </w:r>
            <w:r>
              <w:rPr>
                <w:rFonts w:hint="default" w:ascii="Times New Roman" w:hAnsi="Times New Roman" w:cs="Times New Roman" w:eastAsiaTheme="minorEastAsia"/>
                <w:color w:val="auto"/>
                <w:sz w:val="21"/>
                <w:szCs w:val="21"/>
                <w:highlight w:val="none"/>
                <w:lang w:val="en-US" w:eastAsia="zh-CN"/>
              </w:rPr>
              <w:t>0</w:t>
            </w:r>
          </w:p>
        </w:tc>
      </w:tr>
      <w:tr w14:paraId="32497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2E55043B">
            <w:pPr>
              <w:pStyle w:val="26"/>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调试时间</w:t>
            </w:r>
          </w:p>
        </w:tc>
        <w:tc>
          <w:tcPr>
            <w:tcW w:w="1417" w:type="dxa"/>
            <w:vAlign w:val="center"/>
          </w:tcPr>
          <w:p w14:paraId="0E902221">
            <w:pPr>
              <w:pStyle w:val="26"/>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2024.11.13</w:t>
            </w:r>
          </w:p>
        </w:tc>
        <w:tc>
          <w:tcPr>
            <w:tcW w:w="1985" w:type="dxa"/>
            <w:vAlign w:val="center"/>
          </w:tcPr>
          <w:p w14:paraId="4A7A0588">
            <w:pPr>
              <w:pStyle w:val="26"/>
              <w:jc w:val="center"/>
              <w:rPr>
                <w:rFonts w:hint="default" w:ascii="Times New Roman" w:hAnsi="Times New Roman" w:cs="Times New Roman" w:eastAsiaTheme="minorEastAsia"/>
                <w:color w:val="auto"/>
                <w:sz w:val="21"/>
                <w:szCs w:val="21"/>
                <w:highlight w:val="yellow"/>
              </w:rPr>
            </w:pPr>
            <w:r>
              <w:rPr>
                <w:rFonts w:hint="default" w:ascii="Times New Roman" w:hAnsi="Times New Roman" w:cs="Times New Roman" w:eastAsiaTheme="minorEastAsia"/>
                <w:color w:val="auto"/>
                <w:sz w:val="21"/>
                <w:szCs w:val="21"/>
                <w:highlight w:val="none"/>
              </w:rPr>
              <w:t>验收现场监测时间</w:t>
            </w:r>
          </w:p>
        </w:tc>
        <w:tc>
          <w:tcPr>
            <w:tcW w:w="3639" w:type="dxa"/>
            <w:gridSpan w:val="3"/>
            <w:vAlign w:val="center"/>
          </w:tcPr>
          <w:p w14:paraId="46331F6D">
            <w:pPr>
              <w:pStyle w:val="26"/>
              <w:jc w:val="center"/>
              <w:rPr>
                <w:rFonts w:hint="default" w:ascii="Times New Roman" w:hAnsi="Times New Roman" w:cs="Times New Roman" w:eastAsiaTheme="minorEastAsia"/>
                <w:color w:val="auto"/>
                <w:sz w:val="21"/>
                <w:szCs w:val="21"/>
                <w:highlight w:val="yellow"/>
                <w:lang w:val="en-US" w:eastAsia="zh-CN"/>
              </w:rPr>
            </w:pPr>
            <w:r>
              <w:rPr>
                <w:rFonts w:hint="eastAsia" w:ascii="Times New Roman" w:hAnsi="Times New Roman" w:cs="Times New Roman" w:eastAsiaTheme="minorEastAsia"/>
                <w:color w:val="auto"/>
                <w:sz w:val="21"/>
                <w:szCs w:val="21"/>
                <w:highlight w:val="none"/>
                <w:lang w:val="en-US" w:eastAsia="zh-CN"/>
              </w:rPr>
              <w:t>2024.11.13~2024.11.14</w:t>
            </w:r>
          </w:p>
        </w:tc>
      </w:tr>
      <w:tr w14:paraId="6993B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485E9159">
            <w:pPr>
              <w:pStyle w:val="26"/>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环评报告表</w:t>
            </w:r>
          </w:p>
          <w:p w14:paraId="6EFAE4BC">
            <w:pPr>
              <w:pStyle w:val="26"/>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审批部门</w:t>
            </w:r>
          </w:p>
        </w:tc>
        <w:tc>
          <w:tcPr>
            <w:tcW w:w="1417" w:type="dxa"/>
            <w:vAlign w:val="center"/>
          </w:tcPr>
          <w:p w14:paraId="2A260599">
            <w:pPr>
              <w:pStyle w:val="26"/>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佳木斯市桦</w:t>
            </w:r>
            <w:r>
              <w:rPr>
                <w:rFonts w:hint="default" w:ascii="Times New Roman" w:hAnsi="Times New Roman" w:cs="Times New Roman" w:eastAsiaTheme="minorEastAsia"/>
                <w:color w:val="auto"/>
                <w:sz w:val="21"/>
                <w:szCs w:val="21"/>
                <w:highlight w:val="none"/>
                <w:lang w:val="en-US" w:eastAsia="zh-CN"/>
              </w:rPr>
              <w:t>南</w:t>
            </w:r>
            <w:r>
              <w:rPr>
                <w:rFonts w:hint="default" w:ascii="Times New Roman" w:hAnsi="Times New Roman" w:cs="Times New Roman" w:eastAsiaTheme="minorEastAsia"/>
                <w:color w:val="auto"/>
                <w:sz w:val="21"/>
                <w:szCs w:val="21"/>
                <w:highlight w:val="none"/>
              </w:rPr>
              <w:t>生态环境局</w:t>
            </w:r>
          </w:p>
        </w:tc>
        <w:tc>
          <w:tcPr>
            <w:tcW w:w="1985" w:type="dxa"/>
            <w:vAlign w:val="center"/>
          </w:tcPr>
          <w:p w14:paraId="0FB17775">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环评报告表</w:t>
            </w:r>
          </w:p>
          <w:p w14:paraId="264071D0">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编制单位</w:t>
            </w:r>
          </w:p>
        </w:tc>
        <w:tc>
          <w:tcPr>
            <w:tcW w:w="3639" w:type="dxa"/>
            <w:gridSpan w:val="3"/>
            <w:vAlign w:val="center"/>
          </w:tcPr>
          <w:p w14:paraId="115AF5C8">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哈尔滨泽生环境科技有限公司</w:t>
            </w:r>
          </w:p>
        </w:tc>
      </w:tr>
      <w:tr w14:paraId="5737C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63B30882">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环保设施设计单位</w:t>
            </w:r>
          </w:p>
        </w:tc>
        <w:tc>
          <w:tcPr>
            <w:tcW w:w="1417" w:type="dxa"/>
            <w:vAlign w:val="center"/>
          </w:tcPr>
          <w:p w14:paraId="665A6227">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1985" w:type="dxa"/>
            <w:vAlign w:val="center"/>
          </w:tcPr>
          <w:p w14:paraId="347466D5">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环保设施施工单位</w:t>
            </w:r>
          </w:p>
        </w:tc>
        <w:tc>
          <w:tcPr>
            <w:tcW w:w="3639" w:type="dxa"/>
            <w:gridSpan w:val="3"/>
            <w:vAlign w:val="center"/>
          </w:tcPr>
          <w:p w14:paraId="7099CC19">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r>
      <w:tr w14:paraId="72B26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1232704F">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投资总概算（万元）</w:t>
            </w:r>
          </w:p>
        </w:tc>
        <w:tc>
          <w:tcPr>
            <w:tcW w:w="1417" w:type="dxa"/>
            <w:vAlign w:val="center"/>
          </w:tcPr>
          <w:p w14:paraId="340B384E">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80</w:t>
            </w:r>
          </w:p>
        </w:tc>
        <w:tc>
          <w:tcPr>
            <w:tcW w:w="1985" w:type="dxa"/>
            <w:vAlign w:val="center"/>
          </w:tcPr>
          <w:p w14:paraId="2D7BC541">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环保投资总概算</w:t>
            </w:r>
          </w:p>
          <w:p w14:paraId="004B1BF2">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（万元）</w:t>
            </w:r>
          </w:p>
        </w:tc>
        <w:tc>
          <w:tcPr>
            <w:tcW w:w="1115" w:type="dxa"/>
            <w:vAlign w:val="center"/>
          </w:tcPr>
          <w:p w14:paraId="5C7BB169">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8.8</w:t>
            </w:r>
          </w:p>
        </w:tc>
        <w:tc>
          <w:tcPr>
            <w:tcW w:w="1419" w:type="dxa"/>
            <w:vAlign w:val="center"/>
          </w:tcPr>
          <w:p w14:paraId="1051E037">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比例（%）</w:t>
            </w:r>
          </w:p>
        </w:tc>
        <w:tc>
          <w:tcPr>
            <w:tcW w:w="1105" w:type="dxa"/>
            <w:vAlign w:val="center"/>
          </w:tcPr>
          <w:p w14:paraId="30136264">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11</w:t>
            </w:r>
          </w:p>
        </w:tc>
      </w:tr>
      <w:tr w14:paraId="3E01D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0" w:type="dxa"/>
            <w:vAlign w:val="center"/>
          </w:tcPr>
          <w:p w14:paraId="41975E07">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实际总概算（万元）</w:t>
            </w:r>
          </w:p>
        </w:tc>
        <w:tc>
          <w:tcPr>
            <w:tcW w:w="1417" w:type="dxa"/>
            <w:vAlign w:val="center"/>
          </w:tcPr>
          <w:p w14:paraId="66FF08C9">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80</w:t>
            </w:r>
          </w:p>
        </w:tc>
        <w:tc>
          <w:tcPr>
            <w:tcW w:w="1985" w:type="dxa"/>
            <w:vAlign w:val="center"/>
          </w:tcPr>
          <w:p w14:paraId="6100E37B">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环保投资（万元）</w:t>
            </w:r>
          </w:p>
        </w:tc>
        <w:tc>
          <w:tcPr>
            <w:tcW w:w="1115" w:type="dxa"/>
            <w:vAlign w:val="center"/>
          </w:tcPr>
          <w:p w14:paraId="7A23C510">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8.8</w:t>
            </w:r>
          </w:p>
        </w:tc>
        <w:tc>
          <w:tcPr>
            <w:tcW w:w="1419" w:type="dxa"/>
            <w:vAlign w:val="center"/>
          </w:tcPr>
          <w:p w14:paraId="494BFFC8">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比例（%）</w:t>
            </w:r>
          </w:p>
        </w:tc>
        <w:tc>
          <w:tcPr>
            <w:tcW w:w="1105" w:type="dxa"/>
            <w:vAlign w:val="center"/>
          </w:tcPr>
          <w:p w14:paraId="03A076FF">
            <w:pPr>
              <w:pStyle w:val="26"/>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11</w:t>
            </w:r>
          </w:p>
        </w:tc>
      </w:tr>
      <w:tr w14:paraId="0A36B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1" w:hRule="atLeast"/>
          <w:jc w:val="center"/>
        </w:trPr>
        <w:tc>
          <w:tcPr>
            <w:tcW w:w="1980" w:type="dxa"/>
            <w:vAlign w:val="center"/>
          </w:tcPr>
          <w:p w14:paraId="67D0D666">
            <w:pPr>
              <w:pStyle w:val="26"/>
              <w:spacing w:line="360" w:lineRule="auto"/>
              <w:jc w:val="center"/>
              <w:rPr>
                <w:rFonts w:hint="default" w:ascii="Times New Roman" w:hAnsi="Times New Roman" w:cs="Times New Roman" w:eastAsiaTheme="minorEastAsia"/>
                <w:color w:val="FF0000"/>
                <w:sz w:val="21"/>
                <w:szCs w:val="21"/>
              </w:rPr>
            </w:pPr>
            <w:r>
              <w:rPr>
                <w:rFonts w:hint="default" w:ascii="Times New Roman" w:hAnsi="Times New Roman" w:cs="Times New Roman" w:eastAsiaTheme="minorEastAsia"/>
                <w:color w:val="auto"/>
                <w:sz w:val="21"/>
                <w:szCs w:val="21"/>
              </w:rPr>
              <w:t>验收监测依据</w:t>
            </w:r>
          </w:p>
        </w:tc>
        <w:tc>
          <w:tcPr>
            <w:tcW w:w="7041" w:type="dxa"/>
            <w:gridSpan w:val="5"/>
            <w:vAlign w:val="center"/>
          </w:tcPr>
          <w:p w14:paraId="51BE0323">
            <w:pPr>
              <w:keepNext w:val="0"/>
              <w:keepLines w:val="0"/>
              <w:pageBreakBefore w:val="0"/>
              <w:widowControl w:val="0"/>
              <w:kinsoku/>
              <w:wordWrap/>
              <w:overflowPunct/>
              <w:topLinePunct w:val="0"/>
              <w:bidi w:val="0"/>
              <w:adjustRightInd w:val="0"/>
              <w:snapToGrid/>
              <w:spacing w:line="360" w:lineRule="auto"/>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1、《中华人民共和国环境保护法》（2015.1.1起实施）</w:t>
            </w:r>
          </w:p>
          <w:p w14:paraId="018B27C4">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2、《中华人民共和国大气污染防治法》（2018.10.26起实施）</w:t>
            </w:r>
          </w:p>
          <w:p w14:paraId="528139B5">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3、《中华人民共和国水污染防治法》（2018.1.1起实施）</w:t>
            </w:r>
          </w:p>
          <w:p w14:paraId="428FB4BD">
            <w:pPr>
              <w:pStyle w:val="26"/>
              <w:keepNext w:val="0"/>
              <w:keepLines w:val="0"/>
              <w:pageBreakBefore w:val="0"/>
              <w:widowControl w:val="0"/>
              <w:kinsoku/>
              <w:wordWrap/>
              <w:overflowPunct/>
              <w:topLinePunct w:val="0"/>
              <w:bidi w:val="0"/>
              <w:snapToGrid/>
              <w:spacing w:line="360" w:lineRule="auto"/>
              <w:jc w:val="both"/>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4、《中华人民共和国固体废物污染环境防治法》（2020.9.1起实施）</w:t>
            </w:r>
          </w:p>
          <w:p w14:paraId="1E158FC1">
            <w:pPr>
              <w:pStyle w:val="26"/>
              <w:keepNext w:val="0"/>
              <w:keepLines w:val="0"/>
              <w:pageBreakBefore w:val="0"/>
              <w:widowControl w:val="0"/>
              <w:kinsoku/>
              <w:wordWrap/>
              <w:overflowPunct/>
              <w:topLinePunct w:val="0"/>
              <w:bidi w:val="0"/>
              <w:snapToGrid/>
              <w:spacing w:line="360" w:lineRule="auto"/>
              <w:jc w:val="both"/>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5、《中华人民共和国噪声污染防治法》（2021修正版）</w:t>
            </w:r>
          </w:p>
          <w:p w14:paraId="3C389177">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6、《中华人民共和国环境影响评价法》（2018.12.29起实施）</w:t>
            </w:r>
          </w:p>
          <w:p w14:paraId="61315E77">
            <w:pPr>
              <w:pStyle w:val="26"/>
              <w:keepNext w:val="0"/>
              <w:keepLines w:val="0"/>
              <w:pageBreakBefore w:val="0"/>
              <w:widowControl w:val="0"/>
              <w:kinsoku/>
              <w:wordWrap/>
              <w:overflowPunct/>
              <w:topLinePunct w:val="0"/>
              <w:bidi w:val="0"/>
              <w:snapToGrid/>
              <w:spacing w:line="360" w:lineRule="auto"/>
              <w:jc w:val="both"/>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7、《建设项目环境保护管理条例》（中华人民共和国国务院令第682号，2017.10.01）</w:t>
            </w:r>
          </w:p>
          <w:p w14:paraId="3E01EC13">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8、关于发布《建设项目竣工环境保护验收暂行办法》的公告（国环规环评[2017]4号）</w:t>
            </w:r>
          </w:p>
          <w:p w14:paraId="6ACA5D81">
            <w:pPr>
              <w:pStyle w:val="26"/>
              <w:keepNext w:val="0"/>
              <w:keepLines w:val="0"/>
              <w:pageBreakBefore w:val="0"/>
              <w:widowControl w:val="0"/>
              <w:kinsoku/>
              <w:wordWrap/>
              <w:overflowPunct/>
              <w:topLinePunct w:val="0"/>
              <w:bidi w:val="0"/>
              <w:snapToGrid/>
              <w:spacing w:line="360" w:lineRule="auto"/>
              <w:jc w:val="both"/>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9、关于印发《黑龙江省环境保护厅关于建设项目环境保护设施验收的工作指引（试行）》的通知（黑龙江省环境保护厅，黑环函[2018]284号，2018.08.23）</w:t>
            </w:r>
          </w:p>
          <w:p w14:paraId="70721E70">
            <w:pPr>
              <w:pStyle w:val="26"/>
              <w:keepNext w:val="0"/>
              <w:keepLines w:val="0"/>
              <w:pageBreakBefore w:val="0"/>
              <w:widowControl w:val="0"/>
              <w:kinsoku/>
              <w:wordWrap/>
              <w:overflowPunct/>
              <w:topLinePunct w:val="0"/>
              <w:bidi w:val="0"/>
              <w:snapToGrid/>
              <w:spacing w:line="360" w:lineRule="auto"/>
              <w:jc w:val="both"/>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10、《污染影响类建设项目重大变动清单（试行）》的通知环办环评函〔2020〕688号</w:t>
            </w:r>
          </w:p>
          <w:p w14:paraId="6506A333">
            <w:pPr>
              <w:keepNext w:val="0"/>
              <w:keepLines w:val="0"/>
              <w:pageBreakBefore w:val="0"/>
              <w:widowControl w:val="0"/>
              <w:kinsoku/>
              <w:wordWrap/>
              <w:overflowPunct/>
              <w:topLinePunct w:val="0"/>
              <w:bidi w:val="0"/>
              <w:adjustRightInd w:val="0"/>
              <w:snapToGrid/>
              <w:spacing w:line="360" w:lineRule="auto"/>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11、《建设项目环境保护验收技术指南污染影响类》（公告2018年第9号，中华人民共和国生态环境部，2018.05.15）</w:t>
            </w:r>
          </w:p>
          <w:p w14:paraId="4AAFC6C0">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eastAsia="宋体" w:cs="Times New Roman"/>
                <w:sz w:val="24"/>
                <w:szCs w:val="21"/>
              </w:rPr>
            </w:pPr>
            <w:r>
              <w:rPr>
                <w:rFonts w:hint="default" w:ascii="Times New Roman" w:hAnsi="Times New Roman" w:eastAsia="宋体" w:cs="Times New Roman"/>
                <w:sz w:val="24"/>
                <w:szCs w:val="21"/>
              </w:rPr>
              <w:t>12、</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桦南县宏祥报废农机回收有限责任公司农机报废拆解项目</w:t>
            </w:r>
            <w:r>
              <w:rPr>
                <w:rFonts w:hint="default" w:ascii="Times New Roman" w:hAnsi="Times New Roman" w:eastAsia="宋体" w:cs="Times New Roman"/>
                <w:sz w:val="24"/>
              </w:rPr>
              <w:t>环境影响报告表》（报废农业机械回收拆解项目</w:t>
            </w:r>
            <w:r>
              <w:rPr>
                <w:rFonts w:hint="default" w:ascii="Times New Roman" w:hAnsi="Times New Roman" w:eastAsia="宋体" w:cs="Times New Roman"/>
                <w:sz w:val="24"/>
                <w:szCs w:val="21"/>
              </w:rPr>
              <w:t>，202</w:t>
            </w:r>
            <w:r>
              <w:rPr>
                <w:rFonts w:hint="default" w:ascii="Times New Roman" w:hAnsi="Times New Roman" w:eastAsia="宋体" w:cs="Times New Roman"/>
                <w:sz w:val="24"/>
                <w:szCs w:val="21"/>
                <w:lang w:val="en-US" w:eastAsia="zh-CN"/>
              </w:rPr>
              <w:t>4</w:t>
            </w:r>
            <w:r>
              <w:rPr>
                <w:rFonts w:hint="default" w:ascii="Times New Roman" w:hAnsi="Times New Roman" w:eastAsia="宋体" w:cs="Times New Roman"/>
                <w:sz w:val="24"/>
                <w:szCs w:val="21"/>
              </w:rPr>
              <w:t>.</w:t>
            </w:r>
            <w:r>
              <w:rPr>
                <w:rFonts w:hint="default" w:ascii="Times New Roman" w:hAnsi="Times New Roman" w:eastAsia="宋体" w:cs="Times New Roman"/>
                <w:sz w:val="24"/>
                <w:szCs w:val="21"/>
                <w:lang w:val="en-US" w:eastAsia="zh-CN"/>
              </w:rPr>
              <w:t>9</w:t>
            </w:r>
            <w:r>
              <w:rPr>
                <w:rFonts w:hint="default" w:ascii="Times New Roman" w:hAnsi="Times New Roman" w:eastAsia="宋体" w:cs="Times New Roman"/>
                <w:sz w:val="24"/>
                <w:szCs w:val="21"/>
              </w:rPr>
              <w:t>）</w:t>
            </w:r>
          </w:p>
          <w:p w14:paraId="54688AD1">
            <w:pPr>
              <w:keepNext w:val="0"/>
              <w:keepLines w:val="0"/>
              <w:pageBreakBefore w:val="0"/>
              <w:widowControl w:val="0"/>
              <w:kinsoku/>
              <w:wordWrap/>
              <w:overflowPunct/>
              <w:topLinePunct w:val="0"/>
              <w:bidi w:val="0"/>
              <w:snapToGrid/>
              <w:spacing w:line="360" w:lineRule="auto"/>
              <w:jc w:val="left"/>
              <w:textAlignment w:val="auto"/>
              <w:rPr>
                <w:rFonts w:hint="default" w:ascii="Times New Roman" w:hAnsi="Times New Roman" w:cs="Times New Roman" w:eastAsiaTheme="minorEastAsia"/>
                <w:color w:val="FF0000"/>
                <w:sz w:val="24"/>
                <w:szCs w:val="21"/>
                <w:highlight w:val="yellow"/>
              </w:rPr>
            </w:pPr>
            <w:r>
              <w:rPr>
                <w:rFonts w:hint="default" w:ascii="Times New Roman" w:hAnsi="Times New Roman" w:eastAsia="宋体" w:cs="Times New Roman"/>
                <w:sz w:val="24"/>
                <w:szCs w:val="21"/>
              </w:rPr>
              <w:t>13、</w:t>
            </w:r>
            <w:bookmarkStart w:id="1" w:name="_Hlk122275963"/>
            <w:r>
              <w:rPr>
                <w:rFonts w:hint="default" w:ascii="Times New Roman" w:hAnsi="Times New Roman" w:eastAsia="宋体" w:cs="Times New Roman"/>
                <w:sz w:val="24"/>
                <w:lang w:val="en-US" w:eastAsia="zh-CN"/>
              </w:rPr>
              <w:t>《关于桦南县宏祥报废农机回收有限责任公司农机报废拆解项目环境影响报告表的批复》（</w:t>
            </w:r>
            <w:bookmarkStart w:id="2" w:name="_Hlk122276042"/>
            <w:r>
              <w:rPr>
                <w:rFonts w:hint="default" w:ascii="Times New Roman" w:hAnsi="Times New Roman" w:eastAsia="宋体" w:cs="Times New Roman"/>
                <w:sz w:val="24"/>
                <w:lang w:val="en-US" w:eastAsia="zh-CN"/>
              </w:rPr>
              <w:t>佳木斯市桦南生态环境局</w:t>
            </w:r>
            <w:bookmarkEnd w:id="2"/>
            <w:r>
              <w:rPr>
                <w:rFonts w:hint="default" w:ascii="Times New Roman" w:hAnsi="Times New Roman" w:eastAsia="宋体" w:cs="Times New Roman"/>
                <w:sz w:val="24"/>
                <w:lang w:val="en-US" w:eastAsia="zh-CN"/>
              </w:rPr>
              <w:t xml:space="preserve"> 佳桦环建审（2024)7号，2024年9月23日）</w:t>
            </w:r>
            <w:bookmarkEnd w:id="1"/>
          </w:p>
          <w:p w14:paraId="49A25050">
            <w:pPr>
              <w:pStyle w:val="26"/>
              <w:spacing w:line="360" w:lineRule="auto"/>
              <w:jc w:val="both"/>
              <w:rPr>
                <w:rFonts w:hint="default" w:ascii="Times New Roman" w:hAnsi="Times New Roman" w:cs="Times New Roman" w:eastAsiaTheme="minorEastAsia"/>
                <w:color w:val="FF0000"/>
                <w:sz w:val="21"/>
                <w:szCs w:val="21"/>
              </w:rPr>
            </w:pPr>
          </w:p>
          <w:p w14:paraId="72EFE57A">
            <w:pPr>
              <w:pStyle w:val="26"/>
              <w:spacing w:line="360" w:lineRule="auto"/>
              <w:jc w:val="both"/>
              <w:rPr>
                <w:rFonts w:hint="default" w:ascii="Times New Roman" w:hAnsi="Times New Roman" w:cs="Times New Roman" w:eastAsiaTheme="minorEastAsia"/>
                <w:color w:val="FF0000"/>
                <w:sz w:val="21"/>
                <w:szCs w:val="21"/>
              </w:rPr>
            </w:pPr>
          </w:p>
          <w:p w14:paraId="7843600B">
            <w:pPr>
              <w:pStyle w:val="26"/>
              <w:spacing w:line="360" w:lineRule="auto"/>
              <w:jc w:val="both"/>
              <w:rPr>
                <w:rFonts w:hint="default" w:ascii="Times New Roman" w:hAnsi="Times New Roman" w:cs="Times New Roman" w:eastAsiaTheme="minorEastAsia"/>
                <w:color w:val="FF0000"/>
                <w:sz w:val="21"/>
                <w:szCs w:val="21"/>
              </w:rPr>
            </w:pPr>
          </w:p>
          <w:p w14:paraId="4BC88766">
            <w:pPr>
              <w:pStyle w:val="26"/>
              <w:spacing w:line="360" w:lineRule="auto"/>
              <w:jc w:val="both"/>
              <w:rPr>
                <w:rFonts w:hint="default" w:ascii="Times New Roman" w:hAnsi="Times New Roman" w:cs="Times New Roman" w:eastAsiaTheme="minorEastAsia"/>
                <w:color w:val="FF0000"/>
                <w:sz w:val="21"/>
                <w:szCs w:val="21"/>
              </w:rPr>
            </w:pPr>
          </w:p>
          <w:p w14:paraId="66FF2234">
            <w:pPr>
              <w:pStyle w:val="26"/>
              <w:spacing w:line="360" w:lineRule="auto"/>
              <w:jc w:val="both"/>
              <w:rPr>
                <w:rFonts w:hint="default" w:ascii="Times New Roman" w:hAnsi="Times New Roman" w:cs="Times New Roman" w:eastAsiaTheme="minorEastAsia"/>
                <w:color w:val="FF0000"/>
                <w:sz w:val="21"/>
                <w:szCs w:val="21"/>
              </w:rPr>
            </w:pPr>
          </w:p>
          <w:p w14:paraId="64D01009">
            <w:pPr>
              <w:pStyle w:val="26"/>
              <w:spacing w:line="360" w:lineRule="auto"/>
              <w:jc w:val="both"/>
              <w:rPr>
                <w:rFonts w:hint="default" w:ascii="Times New Roman" w:hAnsi="Times New Roman" w:cs="Times New Roman" w:eastAsiaTheme="minorEastAsia"/>
                <w:color w:val="FF0000"/>
                <w:sz w:val="21"/>
                <w:szCs w:val="21"/>
              </w:rPr>
            </w:pPr>
          </w:p>
          <w:p w14:paraId="1D041FBC">
            <w:pPr>
              <w:pStyle w:val="26"/>
              <w:spacing w:line="360" w:lineRule="auto"/>
              <w:jc w:val="both"/>
              <w:rPr>
                <w:rFonts w:hint="default" w:ascii="Times New Roman" w:hAnsi="Times New Roman" w:cs="Times New Roman" w:eastAsiaTheme="minorEastAsia"/>
                <w:color w:val="FF0000"/>
                <w:sz w:val="21"/>
                <w:szCs w:val="21"/>
              </w:rPr>
            </w:pPr>
          </w:p>
          <w:p w14:paraId="42422971">
            <w:pPr>
              <w:pStyle w:val="26"/>
              <w:spacing w:line="360" w:lineRule="auto"/>
              <w:jc w:val="both"/>
              <w:rPr>
                <w:rFonts w:hint="default" w:ascii="Times New Roman" w:hAnsi="Times New Roman" w:cs="Times New Roman" w:eastAsiaTheme="minorEastAsia"/>
                <w:color w:val="FF0000"/>
                <w:sz w:val="21"/>
                <w:szCs w:val="21"/>
              </w:rPr>
            </w:pPr>
          </w:p>
          <w:p w14:paraId="7F3CAC17">
            <w:pPr>
              <w:pStyle w:val="26"/>
              <w:spacing w:line="360" w:lineRule="auto"/>
              <w:jc w:val="both"/>
              <w:rPr>
                <w:rFonts w:hint="default" w:ascii="Times New Roman" w:hAnsi="Times New Roman" w:cs="Times New Roman" w:eastAsiaTheme="minorEastAsia"/>
                <w:color w:val="FF0000"/>
                <w:sz w:val="21"/>
                <w:szCs w:val="21"/>
              </w:rPr>
            </w:pPr>
          </w:p>
          <w:p w14:paraId="55A2D89A">
            <w:pPr>
              <w:pStyle w:val="26"/>
              <w:spacing w:line="360" w:lineRule="auto"/>
              <w:jc w:val="both"/>
              <w:rPr>
                <w:rFonts w:hint="default" w:ascii="Times New Roman" w:hAnsi="Times New Roman" w:cs="Times New Roman" w:eastAsiaTheme="minorEastAsia"/>
                <w:color w:val="FF0000"/>
                <w:sz w:val="21"/>
                <w:szCs w:val="21"/>
              </w:rPr>
            </w:pPr>
          </w:p>
          <w:p w14:paraId="635C7BA9">
            <w:pPr>
              <w:pStyle w:val="26"/>
              <w:spacing w:line="360" w:lineRule="auto"/>
              <w:jc w:val="both"/>
              <w:rPr>
                <w:rFonts w:hint="default" w:ascii="Times New Roman" w:hAnsi="Times New Roman" w:cs="Times New Roman" w:eastAsiaTheme="minorEastAsia"/>
                <w:color w:val="FF0000"/>
                <w:sz w:val="21"/>
                <w:szCs w:val="21"/>
              </w:rPr>
            </w:pPr>
          </w:p>
          <w:p w14:paraId="6E00FBED">
            <w:pPr>
              <w:pStyle w:val="26"/>
              <w:spacing w:line="360" w:lineRule="auto"/>
              <w:jc w:val="both"/>
              <w:rPr>
                <w:rFonts w:hint="default" w:ascii="Times New Roman" w:hAnsi="Times New Roman" w:cs="Times New Roman" w:eastAsiaTheme="minorEastAsia"/>
                <w:color w:val="FF0000"/>
                <w:sz w:val="21"/>
                <w:szCs w:val="21"/>
              </w:rPr>
            </w:pPr>
          </w:p>
          <w:p w14:paraId="36CDA4C4">
            <w:pPr>
              <w:pStyle w:val="26"/>
              <w:spacing w:line="360" w:lineRule="auto"/>
              <w:jc w:val="both"/>
              <w:rPr>
                <w:rFonts w:hint="default" w:ascii="Times New Roman" w:hAnsi="Times New Roman" w:cs="Times New Roman" w:eastAsiaTheme="minorEastAsia"/>
                <w:color w:val="FF0000"/>
                <w:sz w:val="21"/>
                <w:szCs w:val="21"/>
              </w:rPr>
            </w:pPr>
          </w:p>
        </w:tc>
      </w:tr>
      <w:tr w14:paraId="6E784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18" w:hRule="atLeast"/>
          <w:jc w:val="center"/>
        </w:trPr>
        <w:tc>
          <w:tcPr>
            <w:tcW w:w="1980" w:type="dxa"/>
            <w:vAlign w:val="center"/>
          </w:tcPr>
          <w:p w14:paraId="70CFCE69">
            <w:pPr>
              <w:pStyle w:val="26"/>
              <w:spacing w:line="360" w:lineRule="auto"/>
              <w:jc w:val="center"/>
              <w:rPr>
                <w:rFonts w:hint="default" w:ascii="Times New Roman" w:hAnsi="Times New Roman" w:cs="Times New Roman" w:eastAsiaTheme="minorEastAsia"/>
                <w:color w:val="FF0000"/>
                <w:sz w:val="21"/>
                <w:szCs w:val="21"/>
              </w:rPr>
            </w:pPr>
            <w:r>
              <w:rPr>
                <w:rFonts w:hint="default" w:ascii="Times New Roman" w:hAnsi="Times New Roman" w:cs="Times New Roman" w:eastAsiaTheme="minorEastAsia"/>
                <w:color w:val="auto"/>
                <w:sz w:val="21"/>
                <w:szCs w:val="21"/>
              </w:rPr>
              <w:t>验收监测评价标准、标号、级别、限值</w:t>
            </w:r>
          </w:p>
        </w:tc>
        <w:tc>
          <w:tcPr>
            <w:tcW w:w="7041" w:type="dxa"/>
            <w:gridSpan w:val="5"/>
            <w:vAlign w:val="center"/>
          </w:tcPr>
          <w:p w14:paraId="6F2E86A8">
            <w:pPr>
              <w:spacing w:line="360" w:lineRule="auto"/>
              <w:ind w:firstLine="482" w:firstLineChars="200"/>
              <w:jc w:val="left"/>
              <w:outlineLvl w:val="1"/>
              <w:rPr>
                <w:rFonts w:hint="default" w:ascii="Times New Roman" w:hAnsi="Times New Roman" w:cs="Times New Roman" w:eastAsiaTheme="minorEastAsia"/>
                <w:b/>
                <w:bCs/>
                <w:sz w:val="24"/>
                <w:szCs w:val="21"/>
              </w:rPr>
            </w:pPr>
            <w:bookmarkStart w:id="3" w:name="_Toc24806"/>
            <w:bookmarkStart w:id="4" w:name="_Toc18041"/>
            <w:bookmarkStart w:id="5" w:name="_Toc116952701"/>
            <w:bookmarkStart w:id="6" w:name="_Toc113675803"/>
            <w:bookmarkStart w:id="7" w:name="_Toc19336"/>
            <w:bookmarkStart w:id="8" w:name="_Toc145923953"/>
            <w:bookmarkStart w:id="9" w:name="_Toc143657495"/>
            <w:bookmarkStart w:id="10" w:name="_Toc11410"/>
            <w:bookmarkStart w:id="11" w:name="_Toc336502632"/>
            <w:bookmarkStart w:id="12" w:name="_Toc145901436"/>
            <w:bookmarkStart w:id="13" w:name="_Toc386034873"/>
            <w:bookmarkStart w:id="14" w:name="_Toc5652"/>
            <w:bookmarkStart w:id="15" w:name="_Toc22843"/>
            <w:bookmarkStart w:id="16" w:name="_Toc554"/>
            <w:bookmarkStart w:id="17" w:name="_Toc408488935"/>
            <w:bookmarkStart w:id="18" w:name="_Toc295467204"/>
            <w:bookmarkStart w:id="19" w:name="_Toc117141400"/>
            <w:bookmarkStart w:id="20" w:name="_Toc11902"/>
            <w:bookmarkStart w:id="21" w:name="_Toc11451"/>
            <w:bookmarkStart w:id="22" w:name="_Toc113674646"/>
            <w:bookmarkStart w:id="23" w:name="_Toc114640575"/>
            <w:bookmarkStart w:id="24" w:name="_Toc48"/>
            <w:bookmarkStart w:id="25" w:name="_Toc12655"/>
            <w:bookmarkStart w:id="26" w:name="_Toc69"/>
            <w:r>
              <w:rPr>
                <w:rFonts w:hint="default" w:ascii="Times New Roman" w:hAnsi="Times New Roman" w:cs="Times New Roman" w:eastAsiaTheme="minorEastAsia"/>
                <w:b/>
                <w:bCs/>
                <w:sz w:val="24"/>
                <w:szCs w:val="21"/>
              </w:rPr>
              <w:t>一、废气验收执行标准</w:t>
            </w:r>
          </w:p>
          <w:p w14:paraId="6272F2CC">
            <w:pPr>
              <w:pStyle w:val="74"/>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拆解工段</w:t>
            </w:r>
            <w:r>
              <w:rPr>
                <w:rFonts w:hint="eastAsia" w:ascii="Times New Roman" w:hAnsi="Times New Roman" w:cs="Times New Roman"/>
                <w:color w:val="auto"/>
                <w:sz w:val="24"/>
                <w:szCs w:val="24"/>
                <w:lang w:val="en-US" w:eastAsia="zh-CN"/>
              </w:rPr>
              <w:t>有组织</w:t>
            </w:r>
            <w:r>
              <w:rPr>
                <w:rFonts w:hint="default" w:ascii="Times New Roman" w:hAnsi="Times New Roman" w:eastAsia="宋体" w:cs="Times New Roman"/>
                <w:color w:val="auto"/>
                <w:sz w:val="24"/>
                <w:szCs w:val="24"/>
              </w:rPr>
              <w:t>颗粒物排放浓度执行《大气污染物综合排放标准》（GB16297-1996）表2中</w:t>
            </w:r>
            <w:r>
              <w:rPr>
                <w:rFonts w:hint="eastAsia" w:ascii="Times New Roman" w:hAnsi="Times New Roman" w:cs="Times New Roman"/>
                <w:color w:val="auto"/>
                <w:sz w:val="24"/>
                <w:szCs w:val="24"/>
                <w:lang w:val="en-US" w:eastAsia="zh-CN"/>
              </w:rPr>
              <w:t>排放</w:t>
            </w:r>
            <w:r>
              <w:rPr>
                <w:rFonts w:hint="default" w:ascii="Times New Roman" w:hAnsi="Times New Roman" w:eastAsia="宋体" w:cs="Times New Roman"/>
                <w:color w:val="auto"/>
                <w:sz w:val="24"/>
                <w:szCs w:val="24"/>
              </w:rPr>
              <w:t>限值要求；</w:t>
            </w:r>
          </w:p>
          <w:p w14:paraId="4265BC88">
            <w:pPr>
              <w:pStyle w:val="74"/>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color w:val="auto"/>
                <w:sz w:val="24"/>
                <w:szCs w:val="24"/>
              </w:rPr>
            </w:pPr>
            <w:r>
              <w:rPr>
                <w:rFonts w:hint="eastAsia" w:ascii="Times New Roman" w:hAnsi="Times New Roman" w:cs="Times New Roman"/>
                <w:color w:val="auto"/>
                <w:sz w:val="24"/>
                <w:szCs w:val="24"/>
                <w:lang w:val="en-US" w:eastAsia="zh-CN"/>
              </w:rPr>
              <w:t>项目</w:t>
            </w:r>
            <w:r>
              <w:rPr>
                <w:rFonts w:hint="default" w:ascii="Times New Roman" w:hAnsi="Times New Roman" w:eastAsia="宋体" w:cs="Times New Roman"/>
                <w:color w:val="auto"/>
                <w:sz w:val="24"/>
                <w:szCs w:val="24"/>
                <w:lang w:val="en-US" w:eastAsia="zh-CN"/>
              </w:rPr>
              <w:t>无组织</w:t>
            </w:r>
            <w:r>
              <w:rPr>
                <w:rFonts w:hint="default" w:ascii="Times New Roman" w:hAnsi="Times New Roman" w:eastAsia="宋体" w:cs="Times New Roman"/>
                <w:color w:val="auto"/>
                <w:sz w:val="24"/>
                <w:szCs w:val="24"/>
              </w:rPr>
              <w:t>非甲烷总烃排放浓度执行《大气污染物综合排放标准》（GB16297-1996）表2中非甲烷总烃无组织排放监控浓度限值；</w:t>
            </w:r>
          </w:p>
          <w:p w14:paraId="19C90978">
            <w:pPr>
              <w:pStyle w:val="74"/>
              <w:keepNext w:val="0"/>
              <w:keepLines w:val="0"/>
              <w:pageBreakBefore w:val="0"/>
              <w:widowControl w:val="0"/>
              <w:kinsoku/>
              <w:wordWrap/>
              <w:overflowPunct/>
              <w:topLinePunct w:val="0"/>
              <w:bidi w:val="0"/>
              <w:spacing w:line="360" w:lineRule="auto"/>
              <w:textAlignment w:val="auto"/>
              <w:rPr>
                <w:rFonts w:hint="default" w:ascii="Times New Roman" w:hAnsi="Times New Roman" w:eastAsia="宋体" w:cs="Times New Roman"/>
                <w:bCs/>
                <w:sz w:val="24"/>
                <w:szCs w:val="24"/>
              </w:rPr>
            </w:pPr>
            <w:r>
              <w:rPr>
                <w:rFonts w:hint="default" w:ascii="Times New Roman" w:hAnsi="Times New Roman" w:eastAsia="宋体" w:cs="Times New Roman"/>
                <w:color w:val="auto"/>
                <w:sz w:val="24"/>
                <w:szCs w:val="24"/>
                <w:lang w:val="en-US" w:eastAsia="zh-CN"/>
              </w:rPr>
              <w:t>危废贮存库的</w:t>
            </w:r>
            <w:r>
              <w:rPr>
                <w:rFonts w:hint="eastAsia" w:ascii="Times New Roman" w:hAnsi="Times New Roman" w:cs="Times New Roman"/>
                <w:color w:val="auto"/>
                <w:sz w:val="24"/>
                <w:szCs w:val="24"/>
                <w:lang w:val="en-US" w:eastAsia="zh-CN"/>
              </w:rPr>
              <w:t>有组织</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排放浓度执行《大气污染物综合排放标准》（GB16297-1996）表2中排放限值要求；</w:t>
            </w:r>
          </w:p>
          <w:p w14:paraId="7446E1A3">
            <w:pPr>
              <w:pStyle w:val="39"/>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非甲烷总烃厂房外监控点处1h平均浓度值和厂房外监控点处任意一次浓度值执行《挥发性有机物无组织排放控制标准》（GB37822-</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2019)表A.1厂区内VOCs无组织排放限值要求（1h平均浓度＜10mg/m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，任意一次浓度值＜30mg/m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w:t>
            </w:r>
          </w:p>
          <w:p w14:paraId="3DF282C1">
            <w:pPr>
              <w:spacing w:line="360" w:lineRule="auto"/>
              <w:jc w:val="center"/>
              <w:rPr>
                <w:rFonts w:hint="default" w:ascii="Times New Roman" w:hAnsi="Times New Roman" w:cs="Times New Roman" w:eastAsiaTheme="minorEastAsia"/>
                <w:b/>
                <w:bCs/>
                <w:szCs w:val="21"/>
              </w:rPr>
            </w:pPr>
            <w:r>
              <w:rPr>
                <w:rFonts w:hint="default" w:ascii="Times New Roman" w:hAnsi="Times New Roman" w:cs="Times New Roman" w:eastAsiaTheme="minorEastAsia"/>
                <w:b/>
                <w:bCs/>
                <w:szCs w:val="21"/>
              </w:rPr>
              <w:t>表1-1《大气污染物综合排放标准》(GB16297-1996)</w:t>
            </w:r>
          </w:p>
          <w:tbl>
            <w:tblPr>
              <w:tblStyle w:val="22"/>
              <w:tblpPr w:leftFromText="180" w:rightFromText="180" w:vertAnchor="text" w:horzAnchor="page" w:tblpXSpec="center" w:tblpY="10"/>
              <w:tblOverlap w:val="never"/>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195"/>
              <w:gridCol w:w="876"/>
              <w:gridCol w:w="1010"/>
              <w:gridCol w:w="870"/>
              <w:gridCol w:w="479"/>
              <w:gridCol w:w="1663"/>
            </w:tblGrid>
            <w:tr w14:paraId="4B594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603" w:type="pct"/>
                  <w:vMerge w:val="restart"/>
                  <w:vAlign w:val="center"/>
                </w:tcPr>
                <w:p w14:paraId="1B8F0979">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污染物</w:t>
                  </w:r>
                </w:p>
              </w:tc>
              <w:tc>
                <w:tcPr>
                  <w:tcW w:w="2069" w:type="pct"/>
                  <w:gridSpan w:val="3"/>
                  <w:vAlign w:val="center"/>
                </w:tcPr>
                <w:p w14:paraId="596B14E3">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有组织监控浓度</w:t>
                  </w:r>
                </w:p>
              </w:tc>
              <w:tc>
                <w:tcPr>
                  <w:tcW w:w="1109" w:type="pct"/>
                  <w:gridSpan w:val="2"/>
                  <w:vMerge w:val="restart"/>
                  <w:vAlign w:val="center"/>
                </w:tcPr>
                <w:p w14:paraId="7C0D2F90">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无组织监控浓度限值（mg/m</w:t>
                  </w:r>
                  <w:r>
                    <w:rPr>
                      <w:rFonts w:hint="default" w:ascii="Times New Roman" w:hAnsi="Times New Roman" w:cs="Times New Roman" w:eastAsiaTheme="minorEastAsia"/>
                      <w:snapToGrid w:val="0"/>
                      <w:kern w:val="0"/>
                      <w:szCs w:val="21"/>
                      <w:vertAlign w:val="superscript"/>
                    </w:rPr>
                    <w:t>3</w:t>
                  </w:r>
                  <w:r>
                    <w:rPr>
                      <w:rFonts w:hint="default" w:ascii="Times New Roman" w:hAnsi="Times New Roman" w:cs="Times New Roman" w:eastAsiaTheme="minorEastAsia"/>
                      <w:snapToGrid w:val="0"/>
                      <w:kern w:val="0"/>
                      <w:szCs w:val="21"/>
                    </w:rPr>
                    <w:t>）</w:t>
                  </w:r>
                </w:p>
              </w:tc>
              <w:tc>
                <w:tcPr>
                  <w:tcW w:w="1218" w:type="pct"/>
                  <w:vMerge w:val="restart"/>
                  <w:vAlign w:val="center"/>
                </w:tcPr>
                <w:p w14:paraId="20E6A51F">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标准来源</w:t>
                  </w:r>
                </w:p>
              </w:tc>
            </w:tr>
            <w:tr w14:paraId="34C871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03" w:type="pct"/>
                  <w:vMerge w:val="continue"/>
                  <w:vAlign w:val="center"/>
                </w:tcPr>
                <w:p w14:paraId="3B4C2AE2">
                  <w:pPr>
                    <w:adjustRightInd w:val="0"/>
                    <w:snapToGrid w:val="0"/>
                    <w:jc w:val="center"/>
                    <w:rPr>
                      <w:rFonts w:hint="default" w:ascii="Times New Roman" w:hAnsi="Times New Roman" w:cs="Times New Roman" w:eastAsiaTheme="minorEastAsia"/>
                      <w:snapToGrid w:val="0"/>
                      <w:kern w:val="0"/>
                      <w:szCs w:val="21"/>
                    </w:rPr>
                  </w:pPr>
                </w:p>
              </w:tc>
              <w:tc>
                <w:tcPr>
                  <w:tcW w:w="718" w:type="pct"/>
                  <w:vAlign w:val="center"/>
                </w:tcPr>
                <w:p w14:paraId="74160494">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最高允许排放浓度（mg/m</w:t>
                  </w:r>
                  <w:r>
                    <w:rPr>
                      <w:rFonts w:hint="default" w:ascii="Times New Roman" w:hAnsi="Times New Roman" w:cs="Times New Roman" w:eastAsiaTheme="minorEastAsia"/>
                      <w:snapToGrid w:val="0"/>
                      <w:kern w:val="0"/>
                      <w:szCs w:val="21"/>
                      <w:vertAlign w:val="superscript"/>
                    </w:rPr>
                    <w:t>3</w:t>
                  </w:r>
                  <w:r>
                    <w:rPr>
                      <w:rFonts w:hint="default" w:ascii="Times New Roman" w:hAnsi="Times New Roman" w:cs="Times New Roman" w:eastAsiaTheme="minorEastAsia"/>
                      <w:snapToGrid w:val="0"/>
                      <w:kern w:val="0"/>
                      <w:szCs w:val="21"/>
                    </w:rPr>
                    <w:t>）</w:t>
                  </w:r>
                </w:p>
              </w:tc>
              <w:tc>
                <w:tcPr>
                  <w:tcW w:w="709" w:type="pct"/>
                  <w:vAlign w:val="center"/>
                </w:tcPr>
                <w:p w14:paraId="0BBA91DD">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排气筒高度</w:t>
                  </w:r>
                  <w:r>
                    <w:rPr>
                      <w:rFonts w:hint="eastAsia" w:ascii="Times New Roman" w:hAnsi="Times New Roman" w:cs="Times New Roman" w:eastAsiaTheme="minorEastAsia"/>
                      <w:snapToGrid w:val="0"/>
                      <w:kern w:val="0"/>
                      <w:szCs w:val="21"/>
                      <w:lang w:eastAsia="zh-CN"/>
                    </w:rPr>
                    <w:t>（</w:t>
                  </w:r>
                  <w:r>
                    <w:rPr>
                      <w:rFonts w:hint="eastAsia" w:ascii="Times New Roman" w:hAnsi="Times New Roman" w:cs="Times New Roman" w:eastAsiaTheme="minorEastAsia"/>
                      <w:snapToGrid w:val="0"/>
                      <w:kern w:val="0"/>
                      <w:szCs w:val="21"/>
                      <w:lang w:val="en-US" w:eastAsia="zh-CN"/>
                    </w:rPr>
                    <w:t>m</w:t>
                  </w:r>
                  <w:r>
                    <w:rPr>
                      <w:rFonts w:hint="eastAsia" w:ascii="Times New Roman" w:hAnsi="Times New Roman" w:cs="Times New Roman" w:eastAsiaTheme="minorEastAsia"/>
                      <w:snapToGrid w:val="0"/>
                      <w:kern w:val="0"/>
                      <w:szCs w:val="21"/>
                      <w:lang w:eastAsia="zh-CN"/>
                    </w:rPr>
                    <w:t>）</w:t>
                  </w:r>
                </w:p>
              </w:tc>
              <w:tc>
                <w:tcPr>
                  <w:tcW w:w="641" w:type="pct"/>
                  <w:vAlign w:val="center"/>
                </w:tcPr>
                <w:p w14:paraId="0F7A7493">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最高允许排放速率</w:t>
                  </w:r>
                  <w:r>
                    <w:rPr>
                      <w:rFonts w:hint="eastAsia" w:ascii="Times New Roman" w:hAnsi="Times New Roman" w:cs="Times New Roman" w:eastAsiaTheme="minorEastAsia"/>
                      <w:snapToGrid w:val="0"/>
                      <w:kern w:val="0"/>
                      <w:szCs w:val="21"/>
                      <w:lang w:eastAsia="zh-CN"/>
                    </w:rPr>
                    <w:t>（</w:t>
                  </w:r>
                  <w:r>
                    <w:rPr>
                      <w:rFonts w:hint="eastAsia" w:ascii="Times New Roman" w:hAnsi="Times New Roman" w:cs="Times New Roman" w:eastAsiaTheme="minorEastAsia"/>
                      <w:snapToGrid w:val="0"/>
                      <w:kern w:val="0"/>
                      <w:szCs w:val="21"/>
                      <w:lang w:val="en-US" w:eastAsia="zh-CN"/>
                    </w:rPr>
                    <w:t>kg/h</w:t>
                  </w:r>
                  <w:r>
                    <w:rPr>
                      <w:rFonts w:hint="eastAsia" w:ascii="Times New Roman" w:hAnsi="Times New Roman" w:cs="Times New Roman" w:eastAsiaTheme="minorEastAsia"/>
                      <w:snapToGrid w:val="0"/>
                      <w:kern w:val="0"/>
                      <w:szCs w:val="21"/>
                      <w:lang w:eastAsia="zh-CN"/>
                    </w:rPr>
                    <w:t>）</w:t>
                  </w:r>
                </w:p>
              </w:tc>
              <w:tc>
                <w:tcPr>
                  <w:tcW w:w="1109" w:type="pct"/>
                  <w:gridSpan w:val="2"/>
                  <w:vMerge w:val="continue"/>
                  <w:vAlign w:val="center"/>
                </w:tcPr>
                <w:p w14:paraId="67D6E219">
                  <w:pPr>
                    <w:adjustRightInd w:val="0"/>
                    <w:snapToGrid w:val="0"/>
                    <w:jc w:val="center"/>
                    <w:rPr>
                      <w:rFonts w:hint="default" w:ascii="Times New Roman" w:hAnsi="Times New Roman" w:cs="Times New Roman" w:eastAsiaTheme="minorEastAsia"/>
                      <w:snapToGrid w:val="0"/>
                      <w:kern w:val="0"/>
                      <w:szCs w:val="21"/>
                    </w:rPr>
                  </w:pPr>
                </w:p>
              </w:tc>
              <w:tc>
                <w:tcPr>
                  <w:tcW w:w="1218" w:type="pct"/>
                  <w:vMerge w:val="continue"/>
                  <w:vAlign w:val="center"/>
                </w:tcPr>
                <w:p w14:paraId="39ACC9DA">
                  <w:pPr>
                    <w:adjustRightInd w:val="0"/>
                    <w:snapToGrid w:val="0"/>
                    <w:jc w:val="center"/>
                    <w:rPr>
                      <w:rFonts w:hint="default" w:ascii="Times New Roman" w:hAnsi="Times New Roman" w:cs="Times New Roman" w:eastAsiaTheme="minorEastAsia"/>
                      <w:snapToGrid w:val="0"/>
                      <w:kern w:val="0"/>
                      <w:szCs w:val="21"/>
                    </w:rPr>
                  </w:pPr>
                </w:p>
              </w:tc>
            </w:tr>
            <w:tr w14:paraId="2B8C3B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3" w:type="pct"/>
                  <w:vAlign w:val="center"/>
                </w:tcPr>
                <w:p w14:paraId="08C3D6B8">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颗粒物</w:t>
                  </w:r>
                </w:p>
              </w:tc>
              <w:tc>
                <w:tcPr>
                  <w:tcW w:w="718" w:type="pct"/>
                  <w:vAlign w:val="center"/>
                </w:tcPr>
                <w:p w14:paraId="5B0E613C">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120</w:t>
                  </w:r>
                </w:p>
              </w:tc>
              <w:tc>
                <w:tcPr>
                  <w:tcW w:w="709" w:type="pct"/>
                  <w:vAlign w:val="center"/>
                </w:tcPr>
                <w:p w14:paraId="4EAF12D5">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15</w:t>
                  </w:r>
                </w:p>
              </w:tc>
              <w:tc>
                <w:tcPr>
                  <w:tcW w:w="641" w:type="pct"/>
                  <w:vAlign w:val="center"/>
                </w:tcPr>
                <w:p w14:paraId="72FE36EC">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3.5</w:t>
                  </w:r>
                </w:p>
              </w:tc>
              <w:tc>
                <w:tcPr>
                  <w:tcW w:w="704" w:type="pct"/>
                  <w:vAlign w:val="center"/>
                </w:tcPr>
                <w:p w14:paraId="16E2609D">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周界外浓度最高点</w:t>
                  </w:r>
                </w:p>
              </w:tc>
              <w:tc>
                <w:tcPr>
                  <w:tcW w:w="405" w:type="pct"/>
                  <w:vAlign w:val="center"/>
                </w:tcPr>
                <w:p w14:paraId="465874AD">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1.0</w:t>
                  </w:r>
                </w:p>
              </w:tc>
              <w:tc>
                <w:tcPr>
                  <w:tcW w:w="1218" w:type="pct"/>
                  <w:vMerge w:val="restart"/>
                  <w:vAlign w:val="center"/>
                </w:tcPr>
                <w:p w14:paraId="51B518FB">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《大气污染物综合排放标准》(GB16297-1996)</w:t>
                  </w:r>
                </w:p>
              </w:tc>
            </w:tr>
            <w:tr w14:paraId="5FD783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03" w:type="pct"/>
                  <w:vAlign w:val="center"/>
                </w:tcPr>
                <w:p w14:paraId="3DCF1583">
                  <w:pPr>
                    <w:adjustRightInd w:val="0"/>
                    <w:snapToGrid w:val="0"/>
                    <w:jc w:val="center"/>
                    <w:rPr>
                      <w:rFonts w:hint="default" w:ascii="Times New Roman" w:hAnsi="Times New Roman" w:cs="Times New Roman" w:eastAsiaTheme="minorEastAsia"/>
                      <w:snapToGrid w:val="0"/>
                      <w:kern w:val="0"/>
                      <w:szCs w:val="21"/>
                    </w:rPr>
                  </w:pPr>
                  <w:r>
                    <w:rPr>
                      <w:rFonts w:hint="eastAsia" w:ascii="Times New Roman" w:hAnsi="Times New Roman" w:cs="Times New Roman" w:eastAsiaTheme="minorEastAsia"/>
                      <w:snapToGrid w:val="0"/>
                      <w:kern w:val="0"/>
                      <w:szCs w:val="21"/>
                      <w:lang w:val="en-US" w:eastAsia="zh-CN"/>
                    </w:rPr>
                    <w:t>非甲烷总烃</w:t>
                  </w:r>
                </w:p>
              </w:tc>
              <w:tc>
                <w:tcPr>
                  <w:tcW w:w="718" w:type="pct"/>
                  <w:vAlign w:val="center"/>
                </w:tcPr>
                <w:p w14:paraId="4C79268B">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120</w:t>
                  </w:r>
                </w:p>
              </w:tc>
              <w:tc>
                <w:tcPr>
                  <w:tcW w:w="709" w:type="pct"/>
                  <w:vAlign w:val="center"/>
                </w:tcPr>
                <w:p w14:paraId="5EC8882C">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15</w:t>
                  </w:r>
                </w:p>
              </w:tc>
              <w:tc>
                <w:tcPr>
                  <w:tcW w:w="641" w:type="pct"/>
                  <w:vAlign w:val="center"/>
                </w:tcPr>
                <w:p w14:paraId="4E1CEC7B">
                  <w:pPr>
                    <w:adjustRightInd w:val="0"/>
                    <w:snapToGrid w:val="0"/>
                    <w:jc w:val="center"/>
                    <w:rPr>
                      <w:rFonts w:hint="default" w:ascii="Times New Roman" w:hAnsi="Times New Roman" w:cs="Times New Roman" w:eastAsiaTheme="minorEastAsia"/>
                      <w:snapToGrid w:val="0"/>
                      <w:kern w:val="0"/>
                      <w:szCs w:val="21"/>
                      <w:lang w:val="en-US" w:eastAsia="zh-CN"/>
                    </w:rPr>
                  </w:pPr>
                  <w:r>
                    <w:rPr>
                      <w:rFonts w:hint="default" w:ascii="Times New Roman" w:hAnsi="Times New Roman" w:cs="Times New Roman" w:eastAsiaTheme="minorEastAsia"/>
                      <w:snapToGrid w:val="0"/>
                      <w:kern w:val="0"/>
                      <w:szCs w:val="21"/>
                      <w:lang w:val="en-US" w:eastAsia="zh-CN"/>
                    </w:rPr>
                    <w:t>10</w:t>
                  </w:r>
                </w:p>
              </w:tc>
              <w:tc>
                <w:tcPr>
                  <w:tcW w:w="704" w:type="pct"/>
                  <w:vAlign w:val="center"/>
                </w:tcPr>
                <w:p w14:paraId="46A9051F">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周界外浓度最高点</w:t>
                  </w:r>
                </w:p>
              </w:tc>
              <w:tc>
                <w:tcPr>
                  <w:tcW w:w="405" w:type="pct"/>
                  <w:vAlign w:val="center"/>
                </w:tcPr>
                <w:p w14:paraId="5D365951">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lang w:val="en-US" w:eastAsia="zh-CN"/>
                    </w:rPr>
                    <w:t>4</w:t>
                  </w:r>
                  <w:r>
                    <w:rPr>
                      <w:rFonts w:hint="default" w:ascii="Times New Roman" w:hAnsi="Times New Roman" w:cs="Times New Roman" w:eastAsiaTheme="minorEastAsia"/>
                      <w:snapToGrid w:val="0"/>
                      <w:kern w:val="0"/>
                      <w:szCs w:val="21"/>
                    </w:rPr>
                    <w:t>.0</w:t>
                  </w:r>
                </w:p>
              </w:tc>
              <w:tc>
                <w:tcPr>
                  <w:tcW w:w="1218" w:type="pct"/>
                  <w:vMerge w:val="continue"/>
                  <w:vAlign w:val="center"/>
                </w:tcPr>
                <w:p w14:paraId="090D5737">
                  <w:pPr>
                    <w:adjustRightInd w:val="0"/>
                    <w:snapToGrid w:val="0"/>
                    <w:jc w:val="center"/>
                    <w:rPr>
                      <w:rFonts w:hint="default" w:ascii="Times New Roman" w:hAnsi="Times New Roman" w:cs="Times New Roman" w:eastAsiaTheme="minorEastAsia"/>
                      <w:snapToGrid w:val="0"/>
                      <w:kern w:val="0"/>
                      <w:szCs w:val="21"/>
                    </w:rPr>
                  </w:pPr>
                </w:p>
              </w:tc>
            </w:tr>
          </w:tbl>
          <w:p w14:paraId="210E1F01">
            <w:pPr>
              <w:spacing w:line="360" w:lineRule="auto"/>
              <w:jc w:val="both"/>
              <w:rPr>
                <w:rFonts w:hint="default" w:ascii="Times New Roman" w:hAnsi="Times New Roman" w:cs="Times New Roman" w:eastAsiaTheme="minorEastAsia"/>
                <w:b/>
                <w:bCs/>
                <w:szCs w:val="21"/>
              </w:rPr>
            </w:pPr>
          </w:p>
          <w:p w14:paraId="69E9A50C">
            <w:pPr>
              <w:spacing w:line="360" w:lineRule="auto"/>
              <w:jc w:val="center"/>
              <w:rPr>
                <w:rFonts w:hint="default" w:ascii="Times New Roman" w:hAnsi="Times New Roman" w:cs="Times New Roman" w:eastAsiaTheme="minorEastAsia"/>
                <w:b/>
                <w:bCs/>
                <w:szCs w:val="21"/>
              </w:rPr>
            </w:pPr>
            <w:r>
              <w:rPr>
                <w:rFonts w:hint="default" w:ascii="Times New Roman" w:hAnsi="Times New Roman" w:cs="Times New Roman" w:eastAsiaTheme="minorEastAsia"/>
                <w:b/>
                <w:bCs/>
                <w:szCs w:val="21"/>
              </w:rPr>
              <w:t>表1-2厂区内VOCs无组织排放监控要求</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3"/>
              <w:gridCol w:w="1469"/>
              <w:gridCol w:w="1724"/>
              <w:gridCol w:w="2396"/>
            </w:tblGrid>
            <w:tr w14:paraId="7A6C1F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04" w:type="pct"/>
                  <w:vAlign w:val="center"/>
                </w:tcPr>
                <w:p w14:paraId="436DA450">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污染物项目</w:t>
                  </w:r>
                </w:p>
              </w:tc>
              <w:tc>
                <w:tcPr>
                  <w:tcW w:w="1076" w:type="pct"/>
                  <w:vAlign w:val="center"/>
                </w:tcPr>
                <w:p w14:paraId="60455A91">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排放限值（mg/m</w:t>
                  </w:r>
                  <w:r>
                    <w:rPr>
                      <w:rFonts w:hint="default" w:ascii="Times New Roman" w:hAnsi="Times New Roman" w:cs="Times New Roman" w:eastAsiaTheme="minorEastAsia"/>
                      <w:snapToGrid w:val="0"/>
                      <w:kern w:val="0"/>
                      <w:szCs w:val="21"/>
                      <w:vertAlign w:val="superscript"/>
                    </w:rPr>
                    <w:t>3</w:t>
                  </w:r>
                  <w:r>
                    <w:rPr>
                      <w:rFonts w:hint="default" w:ascii="Times New Roman" w:hAnsi="Times New Roman" w:cs="Times New Roman" w:eastAsiaTheme="minorEastAsia"/>
                      <w:snapToGrid w:val="0"/>
                      <w:kern w:val="0"/>
                      <w:szCs w:val="21"/>
                    </w:rPr>
                    <w:t>）</w:t>
                  </w:r>
                </w:p>
              </w:tc>
              <w:tc>
                <w:tcPr>
                  <w:tcW w:w="1263" w:type="pct"/>
                  <w:vAlign w:val="center"/>
                </w:tcPr>
                <w:p w14:paraId="5FB04DC8">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限值含义</w:t>
                  </w:r>
                </w:p>
              </w:tc>
              <w:tc>
                <w:tcPr>
                  <w:tcW w:w="1755" w:type="pct"/>
                  <w:vAlign w:val="center"/>
                </w:tcPr>
                <w:p w14:paraId="14757DE9">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标准来源</w:t>
                  </w:r>
                </w:p>
              </w:tc>
            </w:tr>
            <w:tr w14:paraId="76039D3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904" w:type="pct"/>
                  <w:vMerge w:val="restart"/>
                  <w:vAlign w:val="center"/>
                </w:tcPr>
                <w:p w14:paraId="210E9742">
                  <w:pPr>
                    <w:adjustRightInd w:val="0"/>
                    <w:snapToGrid w:val="0"/>
                    <w:jc w:val="center"/>
                    <w:rPr>
                      <w:rFonts w:hint="eastAsia" w:ascii="Times New Roman" w:hAnsi="Times New Roman" w:cs="Times New Roman" w:eastAsiaTheme="minorEastAsia"/>
                      <w:snapToGrid w:val="0"/>
                      <w:kern w:val="0"/>
                      <w:szCs w:val="21"/>
                      <w:lang w:val="en-US" w:eastAsia="zh-CN"/>
                    </w:rPr>
                  </w:pPr>
                  <w:r>
                    <w:rPr>
                      <w:rFonts w:hint="eastAsia" w:ascii="Times New Roman" w:hAnsi="Times New Roman" w:cs="Times New Roman" w:eastAsiaTheme="minorEastAsia"/>
                      <w:snapToGrid w:val="0"/>
                      <w:kern w:val="0"/>
                      <w:szCs w:val="21"/>
                      <w:lang w:val="en-US" w:eastAsia="zh-CN"/>
                    </w:rPr>
                    <w:t>非甲烷总烃</w:t>
                  </w:r>
                </w:p>
              </w:tc>
              <w:tc>
                <w:tcPr>
                  <w:tcW w:w="1076" w:type="pct"/>
                  <w:vAlign w:val="center"/>
                </w:tcPr>
                <w:p w14:paraId="47CD8722">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10</w:t>
                  </w:r>
                </w:p>
              </w:tc>
              <w:tc>
                <w:tcPr>
                  <w:tcW w:w="1263" w:type="pct"/>
                  <w:vAlign w:val="center"/>
                </w:tcPr>
                <w:p w14:paraId="32C5FA1F">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监控点处1h平均浓度值</w:t>
                  </w:r>
                </w:p>
              </w:tc>
              <w:tc>
                <w:tcPr>
                  <w:tcW w:w="1755" w:type="pct"/>
                  <w:vMerge w:val="restart"/>
                  <w:vAlign w:val="center"/>
                </w:tcPr>
                <w:p w14:paraId="127D8FD5">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《挥发性有机物无组织排放控制标准》（GB37822-2019）</w:t>
                  </w:r>
                </w:p>
              </w:tc>
            </w:tr>
            <w:tr w14:paraId="0508FC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904" w:type="pct"/>
                  <w:vMerge w:val="continue"/>
                  <w:vAlign w:val="center"/>
                </w:tcPr>
                <w:p w14:paraId="03B43C94">
                  <w:pPr>
                    <w:adjustRightInd w:val="0"/>
                    <w:snapToGrid w:val="0"/>
                    <w:jc w:val="center"/>
                    <w:rPr>
                      <w:rFonts w:hint="default" w:ascii="Times New Roman" w:hAnsi="Times New Roman" w:cs="Times New Roman" w:eastAsiaTheme="minorEastAsia"/>
                      <w:snapToGrid w:val="0"/>
                      <w:kern w:val="0"/>
                      <w:szCs w:val="21"/>
                    </w:rPr>
                  </w:pPr>
                </w:p>
              </w:tc>
              <w:tc>
                <w:tcPr>
                  <w:tcW w:w="1076" w:type="pct"/>
                  <w:vAlign w:val="center"/>
                </w:tcPr>
                <w:p w14:paraId="3484A05B">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30</w:t>
                  </w:r>
                </w:p>
              </w:tc>
              <w:tc>
                <w:tcPr>
                  <w:tcW w:w="1263" w:type="pct"/>
                  <w:vAlign w:val="center"/>
                </w:tcPr>
                <w:p w14:paraId="5F088B70">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监控点处任意一次浓度值</w:t>
                  </w:r>
                </w:p>
              </w:tc>
              <w:tc>
                <w:tcPr>
                  <w:tcW w:w="1755" w:type="pct"/>
                  <w:vMerge w:val="continue"/>
                  <w:vAlign w:val="center"/>
                </w:tcPr>
                <w:p w14:paraId="7EF12AEF">
                  <w:pPr>
                    <w:jc w:val="center"/>
                    <w:rPr>
                      <w:rFonts w:hint="default" w:ascii="Times New Roman" w:hAnsi="Times New Roman" w:cs="Times New Roman"/>
                      <w:sz w:val="22"/>
                      <w:szCs w:val="22"/>
                    </w:rPr>
                  </w:pPr>
                </w:p>
              </w:tc>
            </w:tr>
          </w:tbl>
          <w:p w14:paraId="44D8EB92">
            <w:pPr>
              <w:spacing w:line="360" w:lineRule="auto"/>
              <w:ind w:firstLine="482" w:firstLineChars="200"/>
              <w:jc w:val="left"/>
              <w:outlineLvl w:val="1"/>
              <w:rPr>
                <w:rFonts w:hint="default" w:ascii="Times New Roman" w:hAnsi="Times New Roman" w:cs="Times New Roman" w:eastAsiaTheme="minorEastAsia"/>
                <w:b/>
                <w:bCs/>
                <w:sz w:val="24"/>
                <w:szCs w:val="21"/>
              </w:rPr>
            </w:pPr>
            <w:r>
              <w:rPr>
                <w:rFonts w:hint="default" w:ascii="Times New Roman" w:hAnsi="Times New Roman" w:cs="Times New Roman" w:eastAsiaTheme="minorEastAsia"/>
                <w:b/>
                <w:bCs/>
                <w:sz w:val="24"/>
                <w:szCs w:val="21"/>
              </w:rPr>
              <w:t>二、噪声验收执行标准</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 w14:paraId="50D2189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b/>
                <w:bCs/>
                <w:sz w:val="24"/>
                <w:szCs w:val="21"/>
              </w:rPr>
            </w:pPr>
            <w:r>
              <w:rPr>
                <w:rFonts w:hint="default" w:ascii="Times New Roman" w:hAnsi="Times New Roman" w:eastAsia="宋体" w:cs="Times New Roman"/>
                <w:color w:val="auto"/>
                <w:sz w:val="24"/>
                <w:szCs w:val="24"/>
              </w:rPr>
              <w:t>厂界噪声可满足《工业企业厂界环境噪声排放标准》（GB12348-2008）表1中2类标准的要求。</w:t>
            </w:r>
            <w:r>
              <w:rPr>
                <w:rFonts w:hint="default" w:ascii="Times New Roman" w:hAnsi="Times New Roman" w:eastAsia="宋体" w:cs="Times New Roman"/>
                <w:sz w:val="24"/>
                <w:szCs w:val="24"/>
              </w:rPr>
              <w:t>噪声验收执行标准见表1-3。</w:t>
            </w:r>
          </w:p>
          <w:p w14:paraId="2706C09C">
            <w:pPr>
              <w:spacing w:line="360" w:lineRule="auto"/>
              <w:jc w:val="center"/>
              <w:rPr>
                <w:rFonts w:hint="default" w:ascii="Times New Roman" w:hAnsi="Times New Roman" w:cs="Times New Roman" w:eastAsiaTheme="minorEastAsia"/>
                <w:b/>
                <w:bCs/>
                <w:szCs w:val="21"/>
              </w:rPr>
            </w:pPr>
            <w:r>
              <w:rPr>
                <w:rFonts w:hint="default" w:ascii="Times New Roman" w:hAnsi="Times New Roman" w:cs="Times New Roman" w:eastAsiaTheme="minorEastAsia"/>
                <w:b/>
                <w:bCs/>
                <w:szCs w:val="21"/>
              </w:rPr>
              <w:t>表1-3噪声验收执行标准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2064"/>
              <w:gridCol w:w="875"/>
              <w:gridCol w:w="958"/>
              <w:gridCol w:w="1020"/>
              <w:gridCol w:w="1077"/>
            </w:tblGrid>
            <w:tr w14:paraId="6402B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0" w:hRule="atLeast"/>
              </w:trPr>
              <w:tc>
                <w:tcPr>
                  <w:tcW w:w="609" w:type="pct"/>
                  <w:vMerge w:val="restart"/>
                  <w:tcBorders>
                    <w:top w:val="single" w:color="auto" w:sz="12" w:space="0"/>
                    <w:left w:val="nil"/>
                    <w:bottom w:val="single" w:color="auto" w:sz="4" w:space="0"/>
                    <w:right w:val="single" w:color="auto" w:sz="4" w:space="0"/>
                  </w:tcBorders>
                  <w:vAlign w:val="center"/>
                </w:tcPr>
                <w:p w14:paraId="4917F364">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时段</w:t>
                  </w:r>
                </w:p>
              </w:tc>
              <w:tc>
                <w:tcPr>
                  <w:tcW w:w="1512" w:type="pct"/>
                  <w:vMerge w:val="restart"/>
                  <w:tcBorders>
                    <w:top w:val="single" w:color="auto" w:sz="12" w:space="0"/>
                    <w:left w:val="single" w:color="auto" w:sz="4" w:space="0"/>
                    <w:bottom w:val="single" w:color="auto" w:sz="4" w:space="0"/>
                    <w:right w:val="single" w:color="auto" w:sz="4" w:space="0"/>
                  </w:tcBorders>
                  <w:vAlign w:val="center"/>
                </w:tcPr>
                <w:p w14:paraId="36E1318C">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声源类型</w:t>
                  </w:r>
                </w:p>
              </w:tc>
              <w:tc>
                <w:tcPr>
                  <w:tcW w:w="2878" w:type="pct"/>
                  <w:gridSpan w:val="4"/>
                  <w:tcBorders>
                    <w:top w:val="single" w:color="auto" w:sz="12" w:space="0"/>
                    <w:left w:val="single" w:color="auto" w:sz="4" w:space="0"/>
                    <w:bottom w:val="single" w:color="auto" w:sz="4" w:space="0"/>
                    <w:right w:val="nil"/>
                  </w:tcBorders>
                  <w:vAlign w:val="center"/>
                </w:tcPr>
                <w:p w14:paraId="7836A91D">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标准限值</w:t>
                  </w:r>
                </w:p>
              </w:tc>
            </w:tr>
            <w:tr w14:paraId="12306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 w:hRule="atLeast"/>
              </w:trPr>
              <w:tc>
                <w:tcPr>
                  <w:tcW w:w="609" w:type="pct"/>
                  <w:vMerge w:val="continue"/>
                  <w:tcBorders>
                    <w:top w:val="single" w:color="auto" w:sz="12" w:space="0"/>
                    <w:left w:val="nil"/>
                    <w:bottom w:val="single" w:color="auto" w:sz="4" w:space="0"/>
                    <w:right w:val="single" w:color="auto" w:sz="4" w:space="0"/>
                  </w:tcBorders>
                  <w:vAlign w:val="center"/>
                </w:tcPr>
                <w:p w14:paraId="56E29CAB">
                  <w:pPr>
                    <w:widowControl/>
                    <w:jc w:val="left"/>
                    <w:rPr>
                      <w:rFonts w:hint="default" w:ascii="Times New Roman" w:hAnsi="Times New Roman" w:cs="Times New Roman" w:eastAsiaTheme="minorEastAsia"/>
                      <w:snapToGrid w:val="0"/>
                      <w:kern w:val="0"/>
                      <w:szCs w:val="21"/>
                    </w:rPr>
                  </w:pPr>
                </w:p>
              </w:tc>
              <w:tc>
                <w:tcPr>
                  <w:tcW w:w="1512" w:type="pct"/>
                  <w:vMerge w:val="continue"/>
                  <w:tcBorders>
                    <w:top w:val="single" w:color="auto" w:sz="12" w:space="0"/>
                    <w:left w:val="single" w:color="auto" w:sz="4" w:space="0"/>
                    <w:bottom w:val="single" w:color="auto" w:sz="4" w:space="0"/>
                    <w:right w:val="single" w:color="auto" w:sz="4" w:space="0"/>
                  </w:tcBorders>
                  <w:vAlign w:val="center"/>
                </w:tcPr>
                <w:p w14:paraId="4EA1200A">
                  <w:pPr>
                    <w:widowControl/>
                    <w:jc w:val="left"/>
                    <w:rPr>
                      <w:rFonts w:hint="default" w:ascii="Times New Roman" w:hAnsi="Times New Roman" w:cs="Times New Roman" w:eastAsiaTheme="minorEastAsia"/>
                      <w:snapToGrid w:val="0"/>
                      <w:kern w:val="0"/>
                      <w:szCs w:val="21"/>
                    </w:rPr>
                  </w:pPr>
                </w:p>
              </w:tc>
              <w:tc>
                <w:tcPr>
                  <w:tcW w:w="1343" w:type="pct"/>
                  <w:gridSpan w:val="2"/>
                  <w:tcBorders>
                    <w:top w:val="single" w:color="auto" w:sz="4" w:space="0"/>
                    <w:left w:val="single" w:color="auto" w:sz="4" w:space="0"/>
                    <w:bottom w:val="single" w:color="auto" w:sz="4" w:space="0"/>
                    <w:right w:val="single" w:color="auto" w:sz="4" w:space="0"/>
                  </w:tcBorders>
                  <w:vAlign w:val="center"/>
                </w:tcPr>
                <w:p w14:paraId="16570A42">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昼间</w:t>
                  </w:r>
                </w:p>
              </w:tc>
              <w:tc>
                <w:tcPr>
                  <w:tcW w:w="1535" w:type="pct"/>
                  <w:gridSpan w:val="2"/>
                  <w:tcBorders>
                    <w:top w:val="single" w:color="auto" w:sz="4" w:space="0"/>
                    <w:left w:val="single" w:color="auto" w:sz="4" w:space="0"/>
                    <w:bottom w:val="single" w:color="auto" w:sz="4" w:space="0"/>
                    <w:right w:val="nil"/>
                  </w:tcBorders>
                  <w:vAlign w:val="center"/>
                </w:tcPr>
                <w:p w14:paraId="24314BA9">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夜间</w:t>
                  </w:r>
                </w:p>
              </w:tc>
            </w:tr>
            <w:tr w14:paraId="65948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609" w:type="pct"/>
                  <w:tcBorders>
                    <w:top w:val="single" w:color="auto" w:sz="4" w:space="0"/>
                    <w:left w:val="nil"/>
                    <w:right w:val="single" w:color="auto" w:sz="4" w:space="0"/>
                  </w:tcBorders>
                  <w:vAlign w:val="center"/>
                </w:tcPr>
                <w:p w14:paraId="6647D062">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运营期</w:t>
                  </w:r>
                </w:p>
              </w:tc>
              <w:tc>
                <w:tcPr>
                  <w:tcW w:w="1512" w:type="pct"/>
                  <w:tcBorders>
                    <w:top w:val="single" w:color="auto" w:sz="4" w:space="0"/>
                    <w:left w:val="single" w:color="auto" w:sz="4" w:space="0"/>
                    <w:bottom w:val="single" w:color="auto" w:sz="4" w:space="0"/>
                    <w:right w:val="single" w:color="auto" w:sz="4" w:space="0"/>
                  </w:tcBorders>
                  <w:vAlign w:val="center"/>
                </w:tcPr>
                <w:p w14:paraId="6C121C23">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厂界噪声</w:t>
                  </w:r>
                </w:p>
              </w:tc>
              <w:tc>
                <w:tcPr>
                  <w:tcW w:w="641" w:type="pct"/>
                  <w:tcBorders>
                    <w:top w:val="single" w:color="auto" w:sz="4" w:space="0"/>
                    <w:left w:val="single" w:color="auto" w:sz="4" w:space="0"/>
                    <w:bottom w:val="single" w:color="auto" w:sz="4" w:space="0"/>
                    <w:right w:val="single" w:color="auto" w:sz="4" w:space="0"/>
                  </w:tcBorders>
                  <w:vAlign w:val="center"/>
                </w:tcPr>
                <w:p w14:paraId="0DCE5112">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lang w:val="en-US" w:eastAsia="zh-CN"/>
                    </w:rPr>
                    <w:t>2</w:t>
                  </w:r>
                  <w:r>
                    <w:rPr>
                      <w:rFonts w:hint="default" w:ascii="Times New Roman" w:hAnsi="Times New Roman" w:cs="Times New Roman" w:eastAsiaTheme="minorEastAsia"/>
                      <w:szCs w:val="21"/>
                    </w:rPr>
                    <w:t>类</w:t>
                  </w:r>
                </w:p>
              </w:tc>
              <w:tc>
                <w:tcPr>
                  <w:tcW w:w="701" w:type="pct"/>
                  <w:tcBorders>
                    <w:top w:val="single" w:color="auto" w:sz="4" w:space="0"/>
                    <w:left w:val="single" w:color="auto" w:sz="4" w:space="0"/>
                    <w:bottom w:val="single" w:color="auto" w:sz="4" w:space="0"/>
                    <w:right w:val="single" w:color="auto" w:sz="4" w:space="0"/>
                  </w:tcBorders>
                  <w:vAlign w:val="center"/>
                </w:tcPr>
                <w:p w14:paraId="3F08D7D0">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eastAsiaTheme="minorEastAsia"/>
                      <w:szCs w:val="21"/>
                      <w:lang w:val="en-US" w:eastAsia="zh-CN"/>
                    </w:rPr>
                    <w:t>60</w:t>
                  </w:r>
                </w:p>
              </w:tc>
              <w:tc>
                <w:tcPr>
                  <w:tcW w:w="747" w:type="pct"/>
                  <w:tcBorders>
                    <w:top w:val="single" w:color="auto" w:sz="4" w:space="0"/>
                    <w:left w:val="single" w:color="auto" w:sz="4" w:space="0"/>
                    <w:bottom w:val="single" w:color="auto" w:sz="4" w:space="0"/>
                    <w:right w:val="single" w:color="auto" w:sz="4" w:space="0"/>
                  </w:tcBorders>
                  <w:vAlign w:val="center"/>
                </w:tcPr>
                <w:p w14:paraId="514C09D9">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2类</w:t>
                  </w:r>
                </w:p>
              </w:tc>
              <w:tc>
                <w:tcPr>
                  <w:tcW w:w="788" w:type="pct"/>
                  <w:tcBorders>
                    <w:top w:val="single" w:color="auto" w:sz="4" w:space="0"/>
                    <w:left w:val="single" w:color="auto" w:sz="4" w:space="0"/>
                    <w:bottom w:val="single" w:color="auto" w:sz="4" w:space="0"/>
                    <w:right w:val="nil"/>
                  </w:tcBorders>
                  <w:vAlign w:val="center"/>
                </w:tcPr>
                <w:p w14:paraId="6D22A804">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eastAsiaTheme="minorEastAsia"/>
                      <w:szCs w:val="21"/>
                      <w:lang w:val="en-US" w:eastAsia="zh-CN"/>
                    </w:rPr>
                    <w:t>50</w:t>
                  </w:r>
                </w:p>
              </w:tc>
            </w:tr>
          </w:tbl>
          <w:p w14:paraId="3E6C72FA">
            <w:pPr>
              <w:keepNext w:val="0"/>
              <w:keepLines w:val="0"/>
              <w:pageBreakBefore w:val="0"/>
              <w:widowControl w:val="0"/>
              <w:kinsoku/>
              <w:wordWrap/>
              <w:overflowPunct/>
              <w:topLinePunct w:val="0"/>
              <w:bidi w:val="0"/>
              <w:spacing w:line="360" w:lineRule="auto"/>
              <w:ind w:firstLine="482" w:firstLineChars="200"/>
              <w:jc w:val="left"/>
              <w:textAlignment w:val="auto"/>
              <w:outlineLvl w:val="1"/>
              <w:rPr>
                <w:rFonts w:hint="default" w:ascii="Times New Roman" w:hAnsi="Times New Roman" w:cs="Times New Roman" w:eastAsiaTheme="minorEastAsia"/>
                <w:b/>
                <w:bCs/>
                <w:sz w:val="24"/>
                <w:szCs w:val="21"/>
              </w:rPr>
            </w:pPr>
            <w:r>
              <w:rPr>
                <w:rFonts w:hint="default" w:ascii="Times New Roman" w:hAnsi="Times New Roman" w:cs="Times New Roman" w:eastAsiaTheme="minorEastAsia"/>
                <w:b/>
                <w:bCs/>
                <w:sz w:val="24"/>
                <w:szCs w:val="21"/>
              </w:rPr>
              <w:t>三、废水验收执行标准</w:t>
            </w:r>
          </w:p>
          <w:p w14:paraId="35AAD07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1"/>
              <w:rPr>
                <w:rFonts w:hint="default" w:ascii="Times New Roman" w:hAnsi="Times New Roman" w:cs="Times New Roman" w:eastAsiaTheme="minorEastAsia"/>
                <w:lang w:val="en-US" w:eastAsia="zh-CN"/>
              </w:rPr>
            </w:pPr>
            <w:r>
              <w:rPr>
                <w:rFonts w:hint="default" w:ascii="Times New Roman" w:hAnsi="Times New Roman" w:cs="Times New Roman"/>
                <w:color w:val="auto"/>
                <w:sz w:val="24"/>
                <w:szCs w:val="24"/>
              </w:rPr>
              <w:t>运营期本项目废水主要为生活污水</w:t>
            </w:r>
            <w:r>
              <w:rPr>
                <w:rFonts w:hint="default" w:ascii="Times New Roman" w:hAnsi="Times New Roman" w:cs="Times New Roman"/>
                <w:color w:val="auto"/>
                <w:sz w:val="24"/>
                <w:szCs w:val="24"/>
                <w:lang w:val="en-US" w:eastAsia="zh-CN"/>
              </w:rPr>
              <w:t>和初期雨水</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生活污水</w:t>
            </w:r>
            <w:r>
              <w:rPr>
                <w:rFonts w:hint="default" w:ascii="Times New Roman" w:hAnsi="Times New Roman" w:cs="Times New Roman"/>
                <w:color w:val="auto"/>
                <w:sz w:val="24"/>
                <w:szCs w:val="24"/>
                <w:lang w:val="en-US" w:eastAsia="zh-CN"/>
              </w:rPr>
              <w:t>排入防渗旱厕，定期清掏</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初期雨水经</w:t>
            </w:r>
            <w:r>
              <w:rPr>
                <w:rFonts w:hint="eastAsia" w:ascii="Times New Roman" w:hAnsi="Times New Roman" w:cs="Times New Roman"/>
                <w:color w:val="auto"/>
                <w:sz w:val="24"/>
                <w:szCs w:val="24"/>
                <w:lang w:val="en-US" w:eastAsia="zh-CN"/>
              </w:rPr>
              <w:t>待拆车辆存放区四周排水沟汇入厂区一座初期雨水池内，经</w:t>
            </w:r>
            <w:r>
              <w:rPr>
                <w:rFonts w:hint="default" w:ascii="Times New Roman" w:hAnsi="Times New Roman" w:cs="Times New Roman"/>
                <w:color w:val="auto"/>
                <w:sz w:val="24"/>
                <w:szCs w:val="24"/>
                <w:lang w:val="en-US" w:eastAsia="zh-CN"/>
              </w:rPr>
              <w:t>油水分离器处理后用于厂区洒扫降尘。</w:t>
            </w:r>
            <w:r>
              <w:rPr>
                <w:rFonts w:hint="default" w:ascii="Times New Roman" w:hAnsi="Times New Roman" w:cs="Times New Roman"/>
                <w:color w:val="auto"/>
                <w:sz w:val="24"/>
                <w:szCs w:val="24"/>
              </w:rPr>
              <w:t>废水</w:t>
            </w:r>
            <w:r>
              <w:rPr>
                <w:rFonts w:hint="default" w:ascii="Times New Roman" w:hAnsi="Times New Roman" w:cs="Times New Roman"/>
                <w:color w:val="auto"/>
                <w:sz w:val="24"/>
                <w:szCs w:val="24"/>
                <w:lang w:val="en-US" w:eastAsia="zh-CN"/>
              </w:rPr>
              <w:t>不外排。</w:t>
            </w:r>
          </w:p>
          <w:p w14:paraId="498590F4">
            <w:pPr>
              <w:keepNext w:val="0"/>
              <w:keepLines w:val="0"/>
              <w:pageBreakBefore w:val="0"/>
              <w:widowControl w:val="0"/>
              <w:kinsoku/>
              <w:wordWrap/>
              <w:overflowPunct/>
              <w:topLinePunct w:val="0"/>
              <w:bidi w:val="0"/>
              <w:spacing w:line="360" w:lineRule="auto"/>
              <w:ind w:firstLine="482" w:firstLineChars="200"/>
              <w:jc w:val="left"/>
              <w:textAlignment w:val="auto"/>
              <w:outlineLvl w:val="1"/>
              <w:rPr>
                <w:rFonts w:hint="default" w:ascii="Times New Roman" w:hAnsi="Times New Roman" w:cs="Times New Roman" w:eastAsiaTheme="minorEastAsia"/>
                <w:b/>
                <w:bCs/>
                <w:sz w:val="24"/>
                <w:szCs w:val="21"/>
              </w:rPr>
            </w:pPr>
            <w:r>
              <w:rPr>
                <w:rFonts w:hint="default" w:ascii="Times New Roman" w:hAnsi="Times New Roman" w:cs="Times New Roman" w:eastAsiaTheme="minorEastAsia"/>
                <w:b/>
                <w:bCs/>
                <w:sz w:val="24"/>
                <w:szCs w:val="21"/>
              </w:rPr>
              <w:t>四、固体废物</w:t>
            </w:r>
          </w:p>
          <w:p w14:paraId="2416C5B9">
            <w:pPr>
              <w:pStyle w:val="74"/>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textAlignment w:val="auto"/>
              <w:rPr>
                <w:rFonts w:hint="default" w:ascii="Times New Roman" w:hAnsi="Times New Roman" w:cs="Times New Roman" w:eastAsiaTheme="minorEastAsia"/>
                <w:sz w:val="24"/>
                <w:szCs w:val="21"/>
              </w:rPr>
            </w:pPr>
            <w:r>
              <w:rPr>
                <w:rFonts w:hint="eastAsia" w:ascii="Times New Roman" w:hAnsi="Times New Roman" w:cs="Times New Roman"/>
                <w:color w:val="auto"/>
                <w:kern w:val="2"/>
                <w:sz w:val="24"/>
                <w:szCs w:val="24"/>
                <w:lang w:val="en-US" w:eastAsia="zh-CN" w:bidi="ar-SA"/>
              </w:rPr>
              <w:t>本项目固体废物执行</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kern w:val="2"/>
                <w:sz w:val="24"/>
                <w:szCs w:val="24"/>
                <w:lang w:val="en-US" w:eastAsia="zh-CN" w:bidi="ar-SA"/>
              </w:rPr>
              <w:t>一般工</w:t>
            </w:r>
            <w:r>
              <w:rPr>
                <w:rFonts w:hint="default" w:ascii="Times New Roman" w:hAnsi="Times New Roman" w:eastAsia="宋体" w:cs="Times New Roman"/>
                <w:color w:val="auto"/>
                <w:kern w:val="2"/>
                <w:sz w:val="24"/>
                <w:szCs w:val="24"/>
                <w:lang w:val="en-US" w:eastAsia="zh-CN" w:bidi="ar-SA"/>
              </w:rPr>
              <w:t>业固体废物贮存和填埋污染控制标准》（GB18599-2020）；《危险废物贮存污染控制标准》（GB18597-2023）。</w:t>
            </w:r>
          </w:p>
          <w:p w14:paraId="18ABFEF6">
            <w:pPr>
              <w:spacing w:line="360" w:lineRule="auto"/>
              <w:ind w:firstLine="482" w:firstLineChars="200"/>
              <w:jc w:val="left"/>
              <w:outlineLvl w:val="1"/>
              <w:rPr>
                <w:rFonts w:hint="default" w:ascii="Times New Roman" w:hAnsi="Times New Roman" w:cs="Times New Roman" w:eastAsiaTheme="minorEastAsia"/>
                <w:b/>
                <w:bCs/>
                <w:sz w:val="24"/>
                <w:szCs w:val="21"/>
              </w:rPr>
            </w:pPr>
            <w:r>
              <w:rPr>
                <w:rFonts w:hint="default" w:ascii="Times New Roman" w:hAnsi="Times New Roman" w:cs="Times New Roman" w:eastAsiaTheme="minorEastAsia"/>
                <w:b/>
                <w:bCs/>
                <w:sz w:val="24"/>
                <w:szCs w:val="21"/>
              </w:rPr>
              <w:t>五、总量控制指标</w:t>
            </w:r>
          </w:p>
          <w:p w14:paraId="1960D20D">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1"/>
              </w:rPr>
            </w:pPr>
            <w:r>
              <w:rPr>
                <w:rFonts w:hint="default" w:ascii="Times New Roman" w:hAnsi="Times New Roman" w:cs="Times New Roman" w:eastAsiaTheme="minorEastAsia"/>
                <w:sz w:val="24"/>
                <w:szCs w:val="21"/>
              </w:rPr>
              <w:t>本项目环境影响报告表核定了本工程的污染物的总量控制指标，具体见表1-</w:t>
            </w:r>
            <w:r>
              <w:rPr>
                <w:rFonts w:hint="eastAsia" w:ascii="Times New Roman" w:hAnsi="Times New Roman" w:cs="Times New Roman" w:eastAsiaTheme="minorEastAsia"/>
                <w:sz w:val="24"/>
                <w:szCs w:val="21"/>
                <w:lang w:val="en-US" w:eastAsia="zh-CN"/>
              </w:rPr>
              <w:t>4</w:t>
            </w:r>
            <w:r>
              <w:rPr>
                <w:rFonts w:hint="default" w:ascii="Times New Roman" w:hAnsi="Times New Roman" w:cs="Times New Roman" w:eastAsiaTheme="minorEastAsia"/>
                <w:sz w:val="24"/>
                <w:szCs w:val="21"/>
              </w:rPr>
              <w:t>。</w:t>
            </w:r>
          </w:p>
          <w:p w14:paraId="3266F66B">
            <w:pPr>
              <w:spacing w:line="360" w:lineRule="auto"/>
              <w:jc w:val="center"/>
              <w:rPr>
                <w:rFonts w:hint="default" w:ascii="Times New Roman" w:hAnsi="Times New Roman" w:cs="Times New Roman" w:eastAsiaTheme="minorEastAsia"/>
                <w:b/>
                <w:szCs w:val="21"/>
              </w:rPr>
            </w:pPr>
            <w:r>
              <w:rPr>
                <w:rFonts w:hint="default" w:ascii="Times New Roman" w:hAnsi="Times New Roman" w:cs="Times New Roman" w:eastAsiaTheme="minorEastAsia"/>
                <w:b/>
                <w:szCs w:val="21"/>
              </w:rPr>
              <w:t>表1-</w:t>
            </w:r>
            <w:r>
              <w:rPr>
                <w:rFonts w:hint="default" w:ascii="Times New Roman" w:hAnsi="Times New Roman" w:cs="Times New Roman" w:eastAsiaTheme="minorEastAsia"/>
                <w:b/>
                <w:szCs w:val="21"/>
                <w:lang w:val="en-US" w:eastAsia="zh-CN"/>
              </w:rPr>
              <w:t>4</w:t>
            </w:r>
            <w:r>
              <w:rPr>
                <w:rFonts w:hint="default" w:ascii="Times New Roman" w:hAnsi="Times New Roman" w:cs="Times New Roman" w:eastAsiaTheme="minorEastAsia"/>
                <w:b/>
                <w:szCs w:val="21"/>
              </w:rPr>
              <w:t>总量控制指标</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54"/>
              <w:gridCol w:w="3271"/>
            </w:tblGrid>
            <w:tr w14:paraId="2D9EC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603" w:type="pct"/>
                  <w:vAlign w:val="center"/>
                </w:tcPr>
                <w:p w14:paraId="33083B77">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名称</w:t>
                  </w:r>
                </w:p>
              </w:tc>
              <w:tc>
                <w:tcPr>
                  <w:tcW w:w="2396" w:type="pct"/>
                  <w:vAlign w:val="center"/>
                </w:tcPr>
                <w:p w14:paraId="5DDE20D7">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eastAsiaTheme="minorEastAsia"/>
                      <w:snapToGrid w:val="0"/>
                      <w:kern w:val="0"/>
                      <w:szCs w:val="21"/>
                    </w:rPr>
                    <w:t>核定排放总量（t/a）</w:t>
                  </w:r>
                </w:p>
              </w:tc>
            </w:tr>
            <w:tr w14:paraId="5CB43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603" w:type="pct"/>
                  <w:vAlign w:val="center"/>
                </w:tcPr>
                <w:p w14:paraId="5B16AF35">
                  <w:pPr>
                    <w:adjustRightInd w:val="0"/>
                    <w:snapToGrid w:val="0"/>
                    <w:jc w:val="center"/>
                    <w:rPr>
                      <w:rFonts w:hint="default" w:ascii="Times New Roman" w:hAnsi="Times New Roman" w:cs="Times New Roman" w:eastAsiaTheme="minorEastAsia"/>
                      <w:snapToGrid w:val="0"/>
                      <w:kern w:val="0"/>
                      <w:szCs w:val="21"/>
                    </w:rPr>
                  </w:pPr>
                  <w:r>
                    <w:rPr>
                      <w:rFonts w:hint="default" w:ascii="Times New Roman" w:hAnsi="Times New Roman" w:cs="Times New Roman"/>
                      <w:color w:val="auto"/>
                      <w:szCs w:val="21"/>
                      <w:lang w:val="en-US" w:eastAsia="zh-CN"/>
                    </w:rPr>
                    <w:t>非甲烷总烃</w:t>
                  </w:r>
                </w:p>
              </w:tc>
              <w:tc>
                <w:tcPr>
                  <w:tcW w:w="2396" w:type="pct"/>
                  <w:vAlign w:val="center"/>
                </w:tcPr>
                <w:p w14:paraId="104C5DB9">
                  <w:pPr>
                    <w:pStyle w:val="69"/>
                    <w:rPr>
                      <w:rFonts w:hint="default" w:ascii="Times New Roman" w:hAnsi="Times New Roman" w:cs="Times New Roman" w:eastAsiaTheme="minorEastAsia"/>
                      <w:snapToGrid w:val="0"/>
                      <w:kern w:val="0"/>
                      <w:szCs w:val="21"/>
                    </w:rPr>
                  </w:pPr>
                  <w:r>
                    <w:rPr>
                      <w:rFonts w:hint="default" w:ascii="Times New Roman" w:hAnsi="Times New Roman" w:cs="Times New Roman"/>
                      <w:color w:val="auto"/>
                      <w:kern w:val="0"/>
                      <w:szCs w:val="20"/>
                    </w:rPr>
                    <w:t>0.</w:t>
                  </w:r>
                  <w:r>
                    <w:rPr>
                      <w:rFonts w:hint="default" w:ascii="Times New Roman" w:hAnsi="Times New Roman" w:cs="Times New Roman"/>
                      <w:color w:val="auto"/>
                      <w:kern w:val="0"/>
                      <w:szCs w:val="20"/>
                      <w:lang w:val="en-US" w:eastAsia="zh-CN"/>
                    </w:rPr>
                    <w:t>1</w:t>
                  </w:r>
                </w:p>
              </w:tc>
            </w:tr>
          </w:tbl>
          <w:p w14:paraId="07CA1445">
            <w:pPr>
              <w:keepNext/>
              <w:keepLines/>
              <w:spacing w:line="360" w:lineRule="auto"/>
              <w:ind w:firstLine="480"/>
              <w:rPr>
                <w:rFonts w:hint="default" w:ascii="Times New Roman" w:hAnsi="Times New Roman" w:cs="Times New Roman" w:eastAsiaTheme="minorEastAsia"/>
                <w:color w:val="FF0000"/>
                <w:szCs w:val="21"/>
              </w:rPr>
            </w:pPr>
          </w:p>
        </w:tc>
      </w:tr>
    </w:tbl>
    <w:p w14:paraId="16649373">
      <w:pPr>
        <w:outlineLvl w:val="0"/>
        <w:rPr>
          <w:rFonts w:ascii="Times New Roman" w:hAnsi="Times New Roman" w:eastAsiaTheme="minorEastAsia"/>
          <w:b/>
          <w:bCs/>
          <w:sz w:val="28"/>
          <w:szCs w:val="28"/>
        </w:rPr>
      </w:pPr>
      <w:bookmarkStart w:id="27" w:name="_Toc17318"/>
      <w:bookmarkStart w:id="28" w:name="_Toc28107"/>
      <w:r>
        <w:rPr>
          <w:rFonts w:ascii="Times New Roman" w:hAnsi="Times New Roman" w:eastAsiaTheme="minorEastAsia"/>
          <w:b/>
          <w:bCs/>
          <w:sz w:val="28"/>
          <w:szCs w:val="28"/>
        </w:rPr>
        <w:t>表二</w:t>
      </w:r>
      <w:bookmarkEnd w:id="27"/>
      <w:r>
        <w:rPr>
          <w:rFonts w:ascii="Times New Roman" w:hAnsi="Times New Roman" w:eastAsiaTheme="minorEastAsia"/>
          <w:b/>
          <w:bCs/>
          <w:sz w:val="28"/>
          <w:szCs w:val="28"/>
        </w:rPr>
        <w:t>工程建设内容</w:t>
      </w:r>
      <w:bookmarkEnd w:id="28"/>
    </w:p>
    <w:tbl>
      <w:tblPr>
        <w:tblStyle w:val="23"/>
        <w:tblW w:w="9011" w:type="dxa"/>
        <w:tblInd w:w="-2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1"/>
      </w:tblGrid>
      <w:tr w14:paraId="3CA6A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996" w:hRule="atLeast"/>
        </w:trPr>
        <w:tc>
          <w:tcPr>
            <w:tcW w:w="9011" w:type="dxa"/>
          </w:tcPr>
          <w:p w14:paraId="2B7962D8">
            <w:pPr>
              <w:pStyle w:val="26"/>
              <w:keepNext w:val="0"/>
              <w:keepLines w:val="0"/>
              <w:pageBreakBefore w:val="0"/>
              <w:widowControl w:val="0"/>
              <w:kinsoku/>
              <w:wordWrap/>
              <w:overflowPunct/>
              <w:topLinePunct w:val="0"/>
              <w:bidi w:val="0"/>
              <w:snapToGrid/>
              <w:spacing w:line="360" w:lineRule="auto"/>
              <w:ind w:firstLine="482" w:firstLineChars="200"/>
              <w:jc w:val="both"/>
              <w:textAlignment w:val="auto"/>
              <w:rPr>
                <w:rFonts w:ascii="Times New Roman" w:hAnsi="Times New Roman" w:eastAsiaTheme="minorEastAsia"/>
                <w:b/>
                <w:bCs/>
                <w:color w:val="auto"/>
              </w:rPr>
            </w:pPr>
            <w:r>
              <w:rPr>
                <w:rFonts w:ascii="Times New Roman" w:hAnsi="Times New Roman" w:eastAsiaTheme="minorEastAsia"/>
                <w:b/>
                <w:bCs/>
                <w:color w:val="auto"/>
              </w:rPr>
              <w:t>1.项目基本情况:</w:t>
            </w:r>
          </w:p>
          <w:p w14:paraId="6AD1B7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eastAsiaTheme="minorEastAsia"/>
                <w:sz w:val="24"/>
              </w:rPr>
            </w:pPr>
            <w:r>
              <w:rPr>
                <w:rFonts w:ascii="Times New Roman" w:hAnsi="Times New Roman" w:cs="Times New Roman" w:eastAsiaTheme="minorEastAsia"/>
                <w:sz w:val="24"/>
              </w:rPr>
              <w:t>项目名称：</w:t>
            </w:r>
            <w:r>
              <w:rPr>
                <w:rFonts w:hint="eastAsia" w:ascii="Times New Roman" w:hAnsi="Times New Roman" w:cs="Times New Roman" w:eastAsiaTheme="minorEastAsia"/>
                <w:sz w:val="24"/>
                <w:lang w:eastAsia="zh-CN"/>
              </w:rPr>
              <w:t>桦南县宏祥报废农机回收有限责任公司农机报废拆解项目</w:t>
            </w:r>
          </w:p>
          <w:p w14:paraId="0A7BC0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eastAsiaTheme="minorEastAsia"/>
                <w:sz w:val="24"/>
              </w:rPr>
            </w:pPr>
            <w:r>
              <w:rPr>
                <w:rFonts w:ascii="Times New Roman" w:hAnsi="Times New Roman" w:cs="Times New Roman" w:eastAsiaTheme="minorEastAsia"/>
                <w:sz w:val="24"/>
              </w:rPr>
              <w:t>建设单位：</w:t>
            </w:r>
            <w:r>
              <w:rPr>
                <w:rFonts w:hint="eastAsia" w:ascii="Times New Roman" w:hAnsi="Times New Roman" w:cs="Times New Roman" w:eastAsiaTheme="minorEastAsia"/>
                <w:sz w:val="24"/>
                <w:lang w:eastAsia="zh-CN"/>
              </w:rPr>
              <w:t>桦南县宏祥报废农机回收有限责任公司</w:t>
            </w:r>
          </w:p>
          <w:p w14:paraId="489655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eastAsiaTheme="minorEastAsia"/>
                <w:sz w:val="24"/>
              </w:rPr>
            </w:pPr>
            <w:r>
              <w:rPr>
                <w:rFonts w:ascii="Times New Roman" w:hAnsi="Times New Roman" w:cs="Times New Roman" w:eastAsiaTheme="minorEastAsia"/>
                <w:sz w:val="24"/>
              </w:rPr>
              <w:t>建设地点：本项目位于</w:t>
            </w:r>
            <w:r>
              <w:rPr>
                <w:rFonts w:hint="eastAsia" w:ascii="Times New Roman" w:hAnsi="Times New Roman" w:cs="Times New Roman" w:eastAsiaTheme="minorEastAsia"/>
                <w:sz w:val="24"/>
                <w:lang w:eastAsia="zh-CN"/>
              </w:rPr>
              <w:t>黑龙江省佳木斯市桦南县曙光农场第十五作业站</w:t>
            </w:r>
            <w:r>
              <w:rPr>
                <w:rFonts w:ascii="Times New Roman" w:hAnsi="Times New Roman" w:cs="Times New Roman" w:eastAsiaTheme="minorEastAsia"/>
                <w:sz w:val="24"/>
              </w:rPr>
              <w:t>，经纬度：东经：1</w:t>
            </w:r>
            <w:r>
              <w:rPr>
                <w:rFonts w:hint="eastAsia" w:ascii="Times New Roman" w:hAnsi="Times New Roman" w:cs="Times New Roman" w:eastAsiaTheme="minorEastAsia"/>
                <w:sz w:val="24"/>
                <w:lang w:val="en-US" w:eastAsia="zh-CN"/>
              </w:rPr>
              <w:t>30</w:t>
            </w:r>
            <w:r>
              <w:rPr>
                <w:rFonts w:ascii="Times New Roman" w:hAnsi="Times New Roman" w:cs="Times New Roman" w:eastAsiaTheme="minorEastAsia"/>
                <w:sz w:val="24"/>
              </w:rPr>
              <w:t>度</w:t>
            </w:r>
            <w:r>
              <w:rPr>
                <w:rFonts w:hint="eastAsia" w:ascii="Times New Roman" w:hAnsi="Times New Roman" w:cs="Times New Roman" w:eastAsiaTheme="minorEastAsia"/>
                <w:sz w:val="24"/>
                <w:lang w:val="en-US" w:eastAsia="zh-CN"/>
              </w:rPr>
              <w:t>32</w:t>
            </w:r>
            <w:r>
              <w:rPr>
                <w:rFonts w:ascii="Times New Roman" w:hAnsi="Times New Roman" w:cs="Times New Roman" w:eastAsiaTheme="minorEastAsia"/>
                <w:sz w:val="24"/>
              </w:rPr>
              <w:t>分</w:t>
            </w:r>
            <w:r>
              <w:rPr>
                <w:rFonts w:hint="eastAsia" w:ascii="Times New Roman" w:hAnsi="Times New Roman" w:cs="Times New Roman" w:eastAsiaTheme="minorEastAsia"/>
                <w:sz w:val="24"/>
                <w:lang w:val="en-US" w:eastAsia="zh-CN"/>
              </w:rPr>
              <w:t>3.7786</w:t>
            </w:r>
            <w:r>
              <w:rPr>
                <w:rFonts w:ascii="Times New Roman" w:hAnsi="Times New Roman" w:cs="Times New Roman" w:eastAsiaTheme="minorEastAsia"/>
                <w:sz w:val="24"/>
              </w:rPr>
              <w:t>秒，北纬：4</w:t>
            </w:r>
            <w:r>
              <w:rPr>
                <w:rFonts w:hint="eastAsia" w:ascii="Times New Roman" w:hAnsi="Times New Roman" w:cs="Times New Roman" w:eastAsiaTheme="minorEastAsia"/>
                <w:sz w:val="24"/>
                <w:lang w:val="en-US" w:eastAsia="zh-CN"/>
              </w:rPr>
              <w:t>6</w:t>
            </w:r>
            <w:r>
              <w:rPr>
                <w:rFonts w:ascii="Times New Roman" w:hAnsi="Times New Roman" w:cs="Times New Roman" w:eastAsiaTheme="minorEastAsia"/>
                <w:sz w:val="24"/>
              </w:rPr>
              <w:t>度</w:t>
            </w:r>
            <w:r>
              <w:rPr>
                <w:rFonts w:hint="eastAsia" w:ascii="Times New Roman" w:hAnsi="Times New Roman" w:cs="Times New Roman" w:eastAsiaTheme="minorEastAsia"/>
                <w:sz w:val="24"/>
                <w:lang w:val="en-US" w:eastAsia="zh-CN"/>
              </w:rPr>
              <w:t>17</w:t>
            </w:r>
            <w:r>
              <w:rPr>
                <w:rFonts w:ascii="Times New Roman" w:hAnsi="Times New Roman" w:cs="Times New Roman" w:eastAsiaTheme="minorEastAsia"/>
                <w:sz w:val="24"/>
              </w:rPr>
              <w:t>分</w:t>
            </w:r>
            <w:r>
              <w:rPr>
                <w:rFonts w:hint="eastAsia" w:ascii="Times New Roman" w:hAnsi="Times New Roman" w:cs="Times New Roman" w:eastAsiaTheme="minorEastAsia"/>
                <w:sz w:val="24"/>
                <w:lang w:val="en-US" w:eastAsia="zh-CN"/>
              </w:rPr>
              <w:t>43.8482</w:t>
            </w:r>
            <w:r>
              <w:rPr>
                <w:rFonts w:ascii="Times New Roman" w:hAnsi="Times New Roman" w:cs="Times New Roman" w:eastAsiaTheme="minorEastAsia"/>
                <w:sz w:val="24"/>
              </w:rPr>
              <w:t>秒。厂区东侧为</w:t>
            </w:r>
            <w:r>
              <w:rPr>
                <w:rFonts w:hint="eastAsia" w:ascii="Times New Roman" w:hAnsi="Times New Roman" w:cs="Times New Roman" w:eastAsiaTheme="minorEastAsia"/>
                <w:sz w:val="24"/>
                <w:lang w:val="en-US" w:eastAsia="zh-CN"/>
              </w:rPr>
              <w:t>农田</w:t>
            </w:r>
            <w:r>
              <w:rPr>
                <w:rFonts w:ascii="Times New Roman" w:hAnsi="Times New Roman" w:cs="Times New Roman" w:eastAsiaTheme="minorEastAsia"/>
                <w:sz w:val="24"/>
              </w:rPr>
              <w:t>、厂区南侧为</w:t>
            </w:r>
            <w:r>
              <w:rPr>
                <w:rFonts w:hint="eastAsia" w:ascii="Times New Roman" w:hAnsi="Times New Roman" w:cs="Times New Roman" w:eastAsiaTheme="minorEastAsia"/>
                <w:sz w:val="24"/>
                <w:lang w:val="en-US" w:eastAsia="zh-CN"/>
              </w:rPr>
              <w:t>农田</w:t>
            </w:r>
            <w:r>
              <w:rPr>
                <w:rFonts w:ascii="Times New Roman" w:hAnsi="Times New Roman" w:cs="Times New Roman" w:eastAsiaTheme="minorEastAsia"/>
                <w:sz w:val="24"/>
              </w:rPr>
              <w:t>、厂区西侧为</w:t>
            </w:r>
            <w:r>
              <w:rPr>
                <w:rFonts w:hint="eastAsia" w:ascii="Times New Roman" w:hAnsi="Times New Roman" w:cs="Times New Roman" w:eastAsiaTheme="minorEastAsia"/>
                <w:sz w:val="24"/>
                <w:lang w:val="en-US" w:eastAsia="zh-CN"/>
              </w:rPr>
              <w:t>水泥管厂</w:t>
            </w:r>
            <w:r>
              <w:rPr>
                <w:rFonts w:hint="eastAsia" w:ascii="Times New Roman" w:hAnsi="Times New Roman" w:cs="Times New Roman" w:eastAsiaTheme="minorEastAsia"/>
                <w:sz w:val="24"/>
                <w:lang w:eastAsia="zh-CN"/>
              </w:rPr>
              <w:t>、</w:t>
            </w:r>
            <w:r>
              <w:rPr>
                <w:rFonts w:ascii="Times New Roman" w:hAnsi="Times New Roman" w:cs="Times New Roman" w:eastAsiaTheme="minorEastAsia"/>
                <w:sz w:val="24"/>
              </w:rPr>
              <w:t>厂区北侧</w:t>
            </w:r>
            <w:r>
              <w:rPr>
                <w:rFonts w:hint="eastAsia" w:ascii="Times New Roman" w:hAnsi="Times New Roman" w:cs="Times New Roman" w:eastAsiaTheme="minorEastAsia"/>
                <w:sz w:val="24"/>
                <w:lang w:val="en-US" w:eastAsia="zh-CN"/>
              </w:rPr>
              <w:t>为村路</w:t>
            </w:r>
            <w:r>
              <w:rPr>
                <w:rFonts w:ascii="Times New Roman" w:hAnsi="Times New Roman" w:cs="Times New Roman" w:eastAsiaTheme="minorEastAsia"/>
                <w:sz w:val="24"/>
              </w:rPr>
              <w:t>。</w:t>
            </w:r>
          </w:p>
          <w:p w14:paraId="4A4816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eastAsiaTheme="minorEastAsia"/>
                <w:sz w:val="24"/>
              </w:rPr>
            </w:pPr>
            <w:r>
              <w:rPr>
                <w:rFonts w:ascii="Times New Roman" w:hAnsi="Times New Roman" w:cs="Times New Roman" w:eastAsiaTheme="minorEastAsia"/>
                <w:sz w:val="24"/>
              </w:rPr>
              <w:t>建设性质：新建</w:t>
            </w:r>
          </w:p>
          <w:p w14:paraId="4A98DD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eastAsiaTheme="minorEastAsia"/>
                <w:sz w:val="24"/>
              </w:rPr>
            </w:pPr>
            <w:r>
              <w:rPr>
                <w:rFonts w:ascii="Times New Roman" w:hAnsi="Times New Roman" w:cs="Times New Roman" w:eastAsiaTheme="minorEastAsia"/>
                <w:sz w:val="24"/>
              </w:rPr>
              <w:t>工程投资：</w:t>
            </w:r>
            <w:r>
              <w:rPr>
                <w:rFonts w:hint="eastAsia" w:ascii="Times New Roman" w:hAnsi="Times New Roman" w:cs="Times New Roman" w:eastAsiaTheme="minorEastAsia"/>
                <w:sz w:val="24"/>
                <w:lang w:val="en-US" w:eastAsia="zh-CN"/>
              </w:rPr>
              <w:t>80</w:t>
            </w:r>
            <w:r>
              <w:rPr>
                <w:rFonts w:ascii="Times New Roman" w:hAnsi="Times New Roman" w:cs="Times New Roman" w:eastAsiaTheme="minorEastAsia"/>
                <w:sz w:val="24"/>
              </w:rPr>
              <w:t>万元</w:t>
            </w:r>
          </w:p>
          <w:p w14:paraId="6570AEBE">
            <w:pPr>
              <w:pStyle w:val="26"/>
              <w:keepNext w:val="0"/>
              <w:keepLines w:val="0"/>
              <w:pageBreakBefore w:val="0"/>
              <w:widowControl w:val="0"/>
              <w:kinsoku/>
              <w:wordWrap/>
              <w:overflowPunct/>
              <w:topLinePunct w:val="0"/>
              <w:bidi w:val="0"/>
              <w:snapToGrid/>
              <w:spacing w:line="360" w:lineRule="auto"/>
              <w:ind w:firstLine="482" w:firstLineChars="200"/>
              <w:jc w:val="both"/>
              <w:textAlignment w:val="auto"/>
              <w:rPr>
                <w:rFonts w:ascii="Times New Roman" w:hAnsi="Times New Roman" w:eastAsiaTheme="minorEastAsia"/>
                <w:b/>
                <w:bCs/>
                <w:color w:val="auto"/>
              </w:rPr>
            </w:pPr>
            <w:r>
              <w:rPr>
                <w:rFonts w:ascii="Times New Roman" w:hAnsi="Times New Roman" w:eastAsiaTheme="minorEastAsia"/>
                <w:b/>
                <w:bCs/>
                <w:color w:val="auto"/>
              </w:rPr>
              <w:t>2.建设内容：</w:t>
            </w:r>
          </w:p>
          <w:p w14:paraId="2EECA2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 w:val="24"/>
                <w:lang w:val="en-US"/>
              </w:rPr>
            </w:pPr>
            <w:r>
              <w:rPr>
                <w:rFonts w:ascii="Times New Roman" w:hAnsi="Times New Roman" w:cs="Times New Roman" w:eastAsiaTheme="minorEastAsia"/>
                <w:sz w:val="24"/>
              </w:rPr>
              <w:t>本项目位于</w:t>
            </w:r>
            <w:r>
              <w:rPr>
                <w:rFonts w:hint="eastAsia" w:ascii="Times New Roman" w:hAnsi="Times New Roman" w:cs="Times New Roman" w:eastAsiaTheme="minorEastAsia"/>
                <w:sz w:val="24"/>
                <w:lang w:eastAsia="zh-CN"/>
              </w:rPr>
              <w:t>黑龙江省佳木斯市桦南县曙光农场第十五作业站</w:t>
            </w:r>
            <w:r>
              <w:rPr>
                <w:rFonts w:ascii="Times New Roman" w:hAnsi="Times New Roman" w:cs="Times New Roman" w:eastAsiaTheme="minorEastAsia"/>
                <w:sz w:val="24"/>
              </w:rPr>
              <w:t>。</w:t>
            </w:r>
            <w:r>
              <w:rPr>
                <w:rFonts w:hint="eastAsia" w:ascii="Times New Roman" w:hAnsi="Times New Roman" w:cs="Times New Roman" w:eastAsiaTheme="minorEastAsia"/>
                <w:sz w:val="24"/>
                <w:lang w:eastAsia="zh-CN"/>
              </w:rPr>
              <w:t>桦南县宏祥报废农机回收有限责任公司</w:t>
            </w:r>
            <w:r>
              <w:rPr>
                <w:rFonts w:ascii="Times New Roman" w:hAnsi="Times New Roman" w:cs="Times New Roman" w:eastAsiaTheme="minorEastAsia"/>
                <w:sz w:val="24"/>
              </w:rPr>
              <w:t>占地面积</w:t>
            </w:r>
            <w:r>
              <w:rPr>
                <w:rFonts w:hint="eastAsia" w:ascii="Times New Roman" w:hAnsi="Times New Roman" w:cs="Times New Roman" w:eastAsiaTheme="minorEastAsia"/>
                <w:sz w:val="24"/>
                <w:lang w:val="en-US" w:eastAsia="zh-CN"/>
              </w:rPr>
              <w:t>4392.34</w:t>
            </w:r>
            <w:r>
              <w:rPr>
                <w:rFonts w:ascii="Times New Roman" w:hAnsi="Times New Roman" w:cs="Times New Roman" w:eastAsiaTheme="minorEastAsia"/>
                <w:sz w:val="24"/>
              </w:rPr>
              <w:t>m</w:t>
            </w:r>
            <w:r>
              <w:rPr>
                <w:rFonts w:ascii="Times New Roman" w:hAnsi="Times New Roman" w:cs="Times New Roman" w:eastAsiaTheme="minorEastAsia"/>
                <w:sz w:val="24"/>
                <w:vertAlign w:val="superscript"/>
              </w:rPr>
              <w:t>2</w:t>
            </w:r>
            <w:r>
              <w:rPr>
                <w:rFonts w:ascii="Times New Roman" w:hAnsi="Times New Roman" w:cs="Times New Roman" w:eastAsiaTheme="minorEastAsia"/>
                <w:sz w:val="24"/>
              </w:rPr>
              <w:t>，</w:t>
            </w:r>
            <w:r>
              <w:rPr>
                <w:rFonts w:hint="eastAsia" w:ascii="Times New Roman" w:hAnsi="Times New Roman" w:cs="Times New Roman" w:eastAsiaTheme="minorEastAsia"/>
                <w:sz w:val="24"/>
                <w:lang w:eastAsia="zh-CN"/>
              </w:rPr>
              <w:t>建筑面积</w:t>
            </w:r>
            <w:r>
              <w:rPr>
                <w:rFonts w:hint="eastAsia" w:ascii="Times New Roman" w:hAnsi="Times New Roman" w:cs="Times New Roman" w:eastAsiaTheme="minorEastAsia"/>
                <w:sz w:val="24"/>
                <w:lang w:val="en-US" w:eastAsia="zh-CN"/>
              </w:rPr>
              <w:t>900</w:t>
            </w:r>
            <w:r>
              <w:rPr>
                <w:rFonts w:hint="eastAsia" w:ascii="Times New Roman" w:hAnsi="Times New Roman" w:cs="Times New Roman" w:eastAsiaTheme="minorEastAsia"/>
                <w:sz w:val="24"/>
                <w:lang w:eastAsia="zh-CN"/>
              </w:rPr>
              <w:t>m</w:t>
            </w:r>
            <w:r>
              <w:rPr>
                <w:rFonts w:hint="eastAsia" w:ascii="Times New Roman" w:hAnsi="Times New Roman" w:cs="Times New Roman" w:eastAsiaTheme="minorEastAsia"/>
                <w:sz w:val="24"/>
                <w:vertAlign w:val="superscript"/>
                <w:lang w:eastAsia="zh-CN"/>
              </w:rPr>
              <w:t>2</w:t>
            </w:r>
            <w:r>
              <w:rPr>
                <w:rFonts w:hint="eastAsia" w:ascii="Times New Roman" w:hAnsi="Times New Roman" w:cs="Times New Roman" w:eastAsiaTheme="minorEastAsia"/>
                <w:sz w:val="24"/>
                <w:lang w:eastAsia="zh-CN"/>
              </w:rPr>
              <w:t>。</w:t>
            </w:r>
            <w:r>
              <w:rPr>
                <w:rFonts w:ascii="Times New Roman" w:hAnsi="Times New Roman" w:cs="Times New Roman" w:eastAsiaTheme="minorEastAsia"/>
                <w:sz w:val="24"/>
              </w:rPr>
              <w:t>主要建设内容为待拆车辆贮存场地、拆解车间</w:t>
            </w:r>
            <w:r>
              <w:rPr>
                <w:rFonts w:hint="eastAsia" w:ascii="Times New Roman" w:hAnsi="Times New Roman" w:cs="Times New Roman" w:eastAsiaTheme="minorEastAsia"/>
                <w:sz w:val="24"/>
                <w:lang w:eastAsia="zh-CN"/>
              </w:rPr>
              <w:t>、</w:t>
            </w:r>
            <w:r>
              <w:rPr>
                <w:rFonts w:hint="eastAsia" w:ascii="Times New Roman" w:hAnsi="Times New Roman" w:cs="Times New Roman" w:eastAsiaTheme="minorEastAsia"/>
                <w:sz w:val="24"/>
              </w:rPr>
              <w:t>农机拆除成品半成品及零件贮存库</w:t>
            </w:r>
            <w:r>
              <w:rPr>
                <w:rFonts w:ascii="Times New Roman" w:hAnsi="Times New Roman" w:cs="Times New Roman" w:eastAsiaTheme="minorEastAsia"/>
                <w:sz w:val="24"/>
              </w:rPr>
              <w:t>和</w:t>
            </w:r>
            <w:r>
              <w:rPr>
                <w:rFonts w:hint="eastAsia" w:ascii="Times New Roman" w:hAnsi="Times New Roman" w:cs="Times New Roman" w:eastAsiaTheme="minorEastAsia"/>
                <w:sz w:val="24"/>
                <w:lang w:eastAsia="zh-CN"/>
              </w:rPr>
              <w:t>危险废物贮存库</w:t>
            </w:r>
            <w:r>
              <w:rPr>
                <w:rFonts w:ascii="Times New Roman" w:hAnsi="Times New Roman" w:cs="Times New Roman" w:eastAsiaTheme="minorEastAsia"/>
                <w:sz w:val="24"/>
              </w:rPr>
              <w:t>，建设规模为建成后形成年回收拆解100</w:t>
            </w:r>
            <w:r>
              <w:rPr>
                <w:rFonts w:hint="eastAsia" w:ascii="Times New Roman" w:hAnsi="Times New Roman" w:cs="Times New Roman" w:eastAsiaTheme="minorEastAsia"/>
                <w:sz w:val="24"/>
                <w:lang w:val="en-US" w:eastAsia="zh-CN"/>
              </w:rPr>
              <w:t>0</w:t>
            </w:r>
            <w:r>
              <w:rPr>
                <w:rFonts w:ascii="Times New Roman" w:hAnsi="Times New Roman" w:cs="Times New Roman" w:eastAsiaTheme="minorEastAsia"/>
                <w:sz w:val="24"/>
              </w:rPr>
              <w:t>0台报废农用机。环评及批复设计建设内容与实际建设内容对照表见表2-1。</w:t>
            </w:r>
            <w:r>
              <w:rPr>
                <w:rFonts w:hint="default" w:ascii="Times New Roman" w:hAnsi="Times New Roman" w:cs="Times New Roman" w:eastAsiaTheme="minorEastAsia"/>
                <w:sz w:val="24"/>
                <w:lang w:val="en-US" w:eastAsia="zh-CN"/>
              </w:rPr>
              <w:t>变动之后</w:t>
            </w:r>
            <w:r>
              <w:rPr>
                <w:rFonts w:hint="eastAsia" w:ascii="Times New Roman" w:hAnsi="Times New Roman" w:cs="Times New Roman" w:eastAsiaTheme="minorEastAsia"/>
                <w:sz w:val="24"/>
                <w:lang w:val="en-US" w:eastAsia="zh-CN"/>
              </w:rPr>
              <w:t>可以</w:t>
            </w:r>
            <w:r>
              <w:rPr>
                <w:rFonts w:hint="default" w:ascii="Times New Roman" w:hAnsi="Times New Roman" w:cs="Times New Roman" w:eastAsiaTheme="minorEastAsia"/>
                <w:sz w:val="24"/>
                <w:lang w:val="en-US" w:eastAsia="zh-CN"/>
              </w:rPr>
              <w:t>满足《报废农业机械回收拆解技术规范》（NY/T2900-2022）</w:t>
            </w:r>
            <w:r>
              <w:rPr>
                <w:rFonts w:hint="eastAsia" w:ascii="Times New Roman" w:hAnsi="Times New Roman" w:cs="Times New Roman" w:eastAsiaTheme="minorEastAsia"/>
                <w:sz w:val="24"/>
                <w:lang w:val="en-US" w:eastAsia="zh-CN"/>
              </w:rPr>
              <w:t>的要求。</w:t>
            </w:r>
          </w:p>
          <w:p w14:paraId="4716EC3F">
            <w:pPr>
              <w:spacing w:line="360" w:lineRule="auto"/>
              <w:jc w:val="center"/>
              <w:rPr>
                <w:rFonts w:ascii="Times New Roman" w:hAnsi="Times New Roman" w:eastAsiaTheme="minorEastAsia"/>
                <w:b/>
                <w:bCs/>
                <w:sz w:val="24"/>
              </w:rPr>
            </w:pPr>
            <w:r>
              <w:rPr>
                <w:rFonts w:ascii="Times New Roman" w:hAnsi="Times New Roman" w:eastAsiaTheme="minorEastAsia"/>
                <w:b/>
                <w:bCs/>
                <w:sz w:val="24"/>
              </w:rPr>
              <w:t>表2-1环评及批复设计建设内容与实际建设内容对照表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873"/>
              <w:gridCol w:w="3081"/>
              <w:gridCol w:w="3118"/>
              <w:gridCol w:w="1131"/>
            </w:tblGrid>
            <w:tr w14:paraId="74471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6" w:type="pct"/>
                  <w:gridSpan w:val="2"/>
                  <w:vAlign w:val="center"/>
                </w:tcPr>
                <w:p w14:paraId="3FAB48C6">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项目类别</w:t>
                  </w:r>
                </w:p>
              </w:tc>
              <w:tc>
                <w:tcPr>
                  <w:tcW w:w="1755" w:type="pct"/>
                  <w:vAlign w:val="center"/>
                </w:tcPr>
                <w:p w14:paraId="100FE445">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建设内容</w:t>
                  </w:r>
                </w:p>
              </w:tc>
              <w:tc>
                <w:tcPr>
                  <w:tcW w:w="1776" w:type="pct"/>
                  <w:vAlign w:val="center"/>
                </w:tcPr>
                <w:p w14:paraId="39F49395">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szCs w:val="21"/>
                    </w:rPr>
                    <w:t>实际建设内容</w:t>
                  </w:r>
                </w:p>
              </w:tc>
              <w:tc>
                <w:tcPr>
                  <w:tcW w:w="630" w:type="pct"/>
                  <w:vAlign w:val="center"/>
                </w:tcPr>
                <w:p w14:paraId="134E27DE">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备注</w:t>
                  </w:r>
                </w:p>
              </w:tc>
            </w:tr>
            <w:tr w14:paraId="73030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36" w:type="pct"/>
                  <w:vAlign w:val="center"/>
                </w:tcPr>
                <w:p w14:paraId="7C6F3B9D">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主体工程</w:t>
                  </w:r>
                </w:p>
              </w:tc>
              <w:tc>
                <w:tcPr>
                  <w:tcW w:w="500" w:type="pct"/>
                  <w:vAlign w:val="center"/>
                </w:tcPr>
                <w:p w14:paraId="35792189">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车间</w:t>
                  </w:r>
                </w:p>
              </w:tc>
              <w:tc>
                <w:tcPr>
                  <w:tcW w:w="1755" w:type="pct"/>
                  <w:vAlign w:val="center"/>
                </w:tcPr>
                <w:p w14:paraId="501F525E">
                  <w:pPr>
                    <w:pStyle w:val="39"/>
                    <w:jc w:val="both"/>
                    <w:rPr>
                      <w:rFonts w:hint="default" w:ascii="Times New Roman" w:hAnsi="Times New Roman" w:cs="Times New Roman" w:eastAsiaTheme="minorEastAsia"/>
                      <w:color w:val="auto"/>
                      <w:szCs w:val="21"/>
                      <w:highlight w:val="none"/>
                      <w:u w:val="none"/>
                    </w:rPr>
                  </w:pPr>
                  <w:r>
                    <w:rPr>
                      <w:rFonts w:hint="default" w:ascii="Times New Roman" w:hAnsi="Times New Roman" w:cs="Times New Roman" w:eastAsiaTheme="minorEastAsia"/>
                      <w:color w:val="auto"/>
                      <w:szCs w:val="21"/>
                      <w:highlight w:val="none"/>
                      <w:u w:val="none"/>
                    </w:rPr>
                    <w:t>建筑面积为</w:t>
                  </w:r>
                  <w:r>
                    <w:rPr>
                      <w:rFonts w:hint="default" w:ascii="Times New Roman" w:hAnsi="Times New Roman" w:cs="Times New Roman" w:eastAsiaTheme="minorEastAsia"/>
                      <w:color w:val="auto"/>
                      <w:szCs w:val="21"/>
                      <w:highlight w:val="none"/>
                      <w:u w:val="none"/>
                      <w:lang w:val="en-US" w:eastAsia="zh-CN"/>
                    </w:rPr>
                    <w:t>840</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rPr>
                    <w:t>，</w:t>
                  </w:r>
                  <w:r>
                    <w:rPr>
                      <w:rFonts w:hint="default" w:ascii="Times New Roman" w:hAnsi="Times New Roman" w:cs="Times New Roman" w:eastAsiaTheme="minorEastAsia"/>
                      <w:color w:val="auto"/>
                      <w:szCs w:val="21"/>
                      <w:highlight w:val="none"/>
                      <w:u w:val="none"/>
                      <w:lang w:val="en-US" w:eastAsia="zh-CN"/>
                    </w:rPr>
                    <w:t>高度5m，</w:t>
                  </w:r>
                  <w:r>
                    <w:rPr>
                      <w:rFonts w:hint="default" w:ascii="Times New Roman" w:hAnsi="Times New Roman" w:cs="Times New Roman" w:eastAsiaTheme="minorEastAsia"/>
                      <w:color w:val="auto"/>
                      <w:szCs w:val="21"/>
                      <w:highlight w:val="none"/>
                      <w:u w:val="none"/>
                    </w:rPr>
                    <w:t>全封闭。</w:t>
                  </w:r>
                  <w:r>
                    <w:rPr>
                      <w:rFonts w:hint="default" w:ascii="Times New Roman" w:hAnsi="Times New Roman" w:cs="Times New Roman" w:eastAsiaTheme="minorEastAsia"/>
                      <w:color w:val="auto"/>
                      <w:szCs w:val="21"/>
                      <w:highlight w:val="none"/>
                      <w:u w:val="none"/>
                      <w:lang w:val="en-US" w:eastAsia="zh-CN"/>
                    </w:rPr>
                    <w:t>内设一间790</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lang w:val="en-US" w:eastAsia="zh-CN"/>
                    </w:rPr>
                    <w:t>拆解车间和50</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lang w:val="en-US" w:eastAsia="zh-CN"/>
                    </w:rPr>
                    <w:t>危废贮存库。拆解车间</w:t>
                  </w:r>
                  <w:r>
                    <w:rPr>
                      <w:rFonts w:hint="default" w:ascii="Times New Roman" w:hAnsi="Times New Roman" w:cs="Times New Roman" w:eastAsiaTheme="minorEastAsia"/>
                      <w:color w:val="auto"/>
                      <w:szCs w:val="21"/>
                      <w:highlight w:val="none"/>
                      <w:u w:val="none"/>
                    </w:rPr>
                    <w:t>新建一条年拆解</w:t>
                  </w:r>
                  <w:r>
                    <w:rPr>
                      <w:rFonts w:hint="default" w:ascii="Times New Roman" w:hAnsi="Times New Roman" w:cs="Times New Roman" w:eastAsiaTheme="minorEastAsia"/>
                      <w:color w:val="auto"/>
                      <w:szCs w:val="21"/>
                      <w:highlight w:val="none"/>
                      <w:u w:val="none"/>
                      <w:lang w:val="en-US" w:eastAsia="zh-CN"/>
                    </w:rPr>
                    <w:t>10000辆</w:t>
                  </w:r>
                  <w:r>
                    <w:rPr>
                      <w:rFonts w:hint="default" w:ascii="Times New Roman" w:hAnsi="Times New Roman" w:cs="Times New Roman" w:eastAsiaTheme="minorEastAsia"/>
                      <w:color w:val="auto"/>
                      <w:szCs w:val="21"/>
                      <w:highlight w:val="none"/>
                      <w:u w:val="none"/>
                    </w:rPr>
                    <w:t>报废农业机械生产线。内设置油液油排设备、等离子切割机等设备。</w:t>
                  </w:r>
                </w:p>
              </w:tc>
              <w:tc>
                <w:tcPr>
                  <w:tcW w:w="1776" w:type="pct"/>
                  <w:vAlign w:val="center"/>
                </w:tcPr>
                <w:p w14:paraId="50B913C5">
                  <w:pPr>
                    <w:pStyle w:val="39"/>
                    <w:jc w:val="both"/>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建筑面积为</w:t>
                  </w:r>
                  <w:r>
                    <w:rPr>
                      <w:rFonts w:hint="default" w:ascii="Times New Roman" w:hAnsi="Times New Roman" w:cs="Times New Roman" w:eastAsiaTheme="minorEastAsia"/>
                      <w:color w:val="auto"/>
                      <w:szCs w:val="21"/>
                      <w:highlight w:val="none"/>
                      <w:u w:val="none"/>
                      <w:lang w:val="en-US" w:eastAsia="zh-CN"/>
                    </w:rPr>
                    <w:t>750</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rPr>
                    <w:t>，</w:t>
                  </w:r>
                  <w:r>
                    <w:rPr>
                      <w:rFonts w:hint="default" w:ascii="Times New Roman" w:hAnsi="Times New Roman" w:cs="Times New Roman" w:eastAsiaTheme="minorEastAsia"/>
                      <w:color w:val="auto"/>
                      <w:szCs w:val="21"/>
                      <w:highlight w:val="none"/>
                      <w:u w:val="none"/>
                      <w:lang w:val="en-US" w:eastAsia="zh-CN"/>
                    </w:rPr>
                    <w:t>高度7m，</w:t>
                  </w:r>
                  <w:r>
                    <w:rPr>
                      <w:rFonts w:hint="default" w:ascii="Times New Roman" w:hAnsi="Times New Roman" w:cs="Times New Roman" w:eastAsiaTheme="minorEastAsia"/>
                      <w:color w:val="auto"/>
                      <w:szCs w:val="21"/>
                      <w:highlight w:val="none"/>
                      <w:u w:val="none"/>
                    </w:rPr>
                    <w:t>全封闭。</w:t>
                  </w:r>
                  <w:r>
                    <w:rPr>
                      <w:rFonts w:hint="default" w:ascii="Times New Roman" w:hAnsi="Times New Roman" w:cs="Times New Roman" w:eastAsiaTheme="minorEastAsia"/>
                      <w:color w:val="auto"/>
                      <w:szCs w:val="21"/>
                      <w:highlight w:val="none"/>
                      <w:u w:val="none"/>
                      <w:lang w:val="en-US" w:eastAsia="zh-CN"/>
                    </w:rPr>
                    <w:t>内设一间725</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lang w:val="en-US" w:eastAsia="zh-CN"/>
                    </w:rPr>
                    <w:t>拆解车间和25</w:t>
                  </w:r>
                  <w:r>
                    <w:rPr>
                      <w:rFonts w:hint="default" w:ascii="Times New Roman" w:hAnsi="Times New Roman" w:cs="Times New Roman" w:eastAsiaTheme="minorEastAsia"/>
                      <w:color w:val="auto"/>
                      <w:szCs w:val="21"/>
                      <w:highlight w:val="none"/>
                      <w:u w:val="none"/>
                    </w:rPr>
                    <w:t>m</w:t>
                  </w:r>
                  <w:r>
                    <w:rPr>
                      <w:rFonts w:hint="default" w:ascii="Times New Roman" w:hAnsi="Times New Roman" w:cs="Times New Roman" w:eastAsiaTheme="minorEastAsia"/>
                      <w:color w:val="auto"/>
                      <w:szCs w:val="21"/>
                      <w:highlight w:val="none"/>
                      <w:u w:val="none"/>
                      <w:vertAlign w:val="superscript"/>
                    </w:rPr>
                    <w:t>2</w:t>
                  </w:r>
                  <w:r>
                    <w:rPr>
                      <w:rFonts w:hint="default" w:ascii="Times New Roman" w:hAnsi="Times New Roman" w:cs="Times New Roman" w:eastAsiaTheme="minorEastAsia"/>
                      <w:color w:val="auto"/>
                      <w:szCs w:val="21"/>
                      <w:highlight w:val="none"/>
                      <w:u w:val="none"/>
                      <w:lang w:val="en-US" w:eastAsia="zh-CN"/>
                    </w:rPr>
                    <w:t>危废贮存库。</w:t>
                  </w:r>
                  <w:r>
                    <w:rPr>
                      <w:rFonts w:hint="default" w:ascii="Times New Roman" w:hAnsi="Times New Roman" w:cs="Times New Roman" w:eastAsiaTheme="minorEastAsia"/>
                      <w:color w:val="auto"/>
                      <w:szCs w:val="21"/>
                      <w:u w:val="none"/>
                      <w:lang w:val="en-US" w:eastAsia="zh-CN"/>
                    </w:rPr>
                    <w:t>拆解车间</w:t>
                  </w:r>
                  <w:r>
                    <w:rPr>
                      <w:rFonts w:hint="default" w:ascii="Times New Roman" w:hAnsi="Times New Roman" w:cs="Times New Roman" w:eastAsiaTheme="minorEastAsia"/>
                      <w:color w:val="auto"/>
                      <w:szCs w:val="21"/>
                      <w:u w:val="none"/>
                    </w:rPr>
                    <w:t>新建一条年拆解</w:t>
                  </w:r>
                  <w:r>
                    <w:rPr>
                      <w:rFonts w:hint="default" w:ascii="Times New Roman" w:hAnsi="Times New Roman" w:cs="Times New Roman" w:eastAsiaTheme="minorEastAsia"/>
                      <w:color w:val="auto"/>
                      <w:szCs w:val="21"/>
                      <w:u w:val="none"/>
                      <w:lang w:val="en-US" w:eastAsia="zh-CN"/>
                    </w:rPr>
                    <w:t>10000辆</w:t>
                  </w:r>
                  <w:r>
                    <w:rPr>
                      <w:rFonts w:hint="default" w:ascii="Times New Roman" w:hAnsi="Times New Roman" w:cs="Times New Roman" w:eastAsiaTheme="minorEastAsia"/>
                      <w:color w:val="auto"/>
                      <w:szCs w:val="21"/>
                      <w:u w:val="none"/>
                    </w:rPr>
                    <w:t>报废农业机械生产线。内设置油液油排设备、等离子切割机等设备。</w:t>
                  </w:r>
                </w:p>
              </w:tc>
              <w:tc>
                <w:tcPr>
                  <w:tcW w:w="630" w:type="pct"/>
                  <w:vAlign w:val="center"/>
                </w:tcPr>
                <w:p w14:paraId="7B6B7FB3">
                  <w:pPr>
                    <w:pStyle w:val="39"/>
                    <w:rPr>
                      <w:rFonts w:hint="default" w:ascii="Times New Roman" w:hAnsi="Times New Roman" w:cs="Times New Roman" w:eastAsiaTheme="minorEastAsia"/>
                      <w:color w:val="auto"/>
                      <w:szCs w:val="21"/>
                      <w:u w:val="none"/>
                      <w:lang w:val="en-US" w:eastAsia="zh-CN"/>
                    </w:rPr>
                  </w:pPr>
                  <w:r>
                    <w:rPr>
                      <w:rFonts w:hint="default" w:ascii="Times New Roman" w:hAnsi="Times New Roman" w:cs="Times New Roman" w:eastAsiaTheme="minorEastAsia"/>
                      <w:color w:val="auto"/>
                      <w:szCs w:val="21"/>
                      <w:u w:val="none"/>
                      <w:lang w:val="en-US" w:eastAsia="zh-CN"/>
                    </w:rPr>
                    <w:t>车间面积由840</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lang w:val="en-US" w:eastAsia="zh-CN"/>
                    </w:rPr>
                    <w:t>，高5m变为750</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lang w:val="en-US" w:eastAsia="zh-CN"/>
                    </w:rPr>
                    <w:t>，高7m，拆解车间790</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lang w:val="en-US" w:eastAsia="zh-CN"/>
                    </w:rPr>
                    <w:t>变为725</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lang w:val="en-US" w:eastAsia="zh-CN"/>
                    </w:rPr>
                    <w:t>，50</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lang w:val="en-US" w:eastAsia="zh-CN"/>
                    </w:rPr>
                    <w:t>危废贮存库变为25</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p>
              </w:tc>
            </w:tr>
            <w:tr w14:paraId="4442B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336" w:type="pct"/>
                  <w:vMerge w:val="restart"/>
                  <w:vAlign w:val="center"/>
                </w:tcPr>
                <w:p w14:paraId="07EF745B">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储运工程</w:t>
                  </w:r>
                </w:p>
              </w:tc>
              <w:tc>
                <w:tcPr>
                  <w:tcW w:w="500" w:type="pct"/>
                  <w:vAlign w:val="center"/>
                </w:tcPr>
                <w:p w14:paraId="7CF02E49">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snapToGrid w:val="0"/>
                      <w:color w:val="auto"/>
                      <w:highlight w:val="none"/>
                      <w:u w:val="none"/>
                    </w:rPr>
                    <w:t>待拆车辆贮存场地</w:t>
                  </w:r>
                </w:p>
              </w:tc>
              <w:tc>
                <w:tcPr>
                  <w:tcW w:w="1755" w:type="pct"/>
                  <w:vAlign w:val="center"/>
                </w:tcPr>
                <w:p w14:paraId="1140CBD6">
                  <w:pPr>
                    <w:pStyle w:val="39"/>
                    <w:jc w:val="both"/>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占地面积为</w:t>
                  </w:r>
                  <w:r>
                    <w:rPr>
                      <w:rFonts w:hint="default" w:ascii="Times New Roman" w:hAnsi="Times New Roman" w:cs="Times New Roman" w:eastAsiaTheme="minorEastAsia"/>
                      <w:color w:val="auto"/>
                      <w:szCs w:val="21"/>
                      <w:u w:val="none"/>
                      <w:lang w:val="en-US" w:eastAsia="zh-CN"/>
                    </w:rPr>
                    <w:t>3422.34</w:t>
                  </w:r>
                  <w:r>
                    <w:rPr>
                      <w:rFonts w:hint="default" w:ascii="Times New Roman" w:hAnsi="Times New Roman" w:cs="Times New Roman" w:eastAsiaTheme="minorEastAsia"/>
                      <w:color w:val="auto"/>
                      <w:szCs w:val="21"/>
                      <w:u w:val="none"/>
                    </w:rPr>
                    <w:t>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，用于存放待拆解报废车辆，堆放方式为露天形式，地面进行硬化防渗。</w:t>
                  </w:r>
                </w:p>
              </w:tc>
              <w:tc>
                <w:tcPr>
                  <w:tcW w:w="1776" w:type="pct"/>
                  <w:vAlign w:val="center"/>
                </w:tcPr>
                <w:p w14:paraId="2FBC8B65">
                  <w:pPr>
                    <w:pStyle w:val="39"/>
                    <w:jc w:val="both"/>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占</w:t>
                  </w:r>
                  <w:r>
                    <w:rPr>
                      <w:rFonts w:hint="default" w:ascii="Times New Roman" w:hAnsi="Times New Roman" w:cs="Times New Roman" w:eastAsiaTheme="minorEastAsia"/>
                      <w:color w:val="auto"/>
                      <w:szCs w:val="21"/>
                      <w:highlight w:val="none"/>
                      <w:u w:val="none"/>
                    </w:rPr>
                    <w:t>地面积为</w:t>
                  </w:r>
                  <w:r>
                    <w:rPr>
                      <w:rFonts w:hint="eastAsia" w:ascii="Times New Roman" w:hAnsi="Times New Roman" w:cs="Times New Roman" w:eastAsiaTheme="minorEastAsia"/>
                      <w:color w:val="auto"/>
                      <w:szCs w:val="21"/>
                      <w:highlight w:val="none"/>
                      <w:u w:val="none"/>
                      <w:lang w:val="en-US" w:eastAsia="zh-CN"/>
                    </w:rPr>
                    <w:t>1100</w:t>
                  </w:r>
                  <w:r>
                    <w:rPr>
                      <w:rFonts w:hint="default" w:ascii="Times New Roman" w:hAnsi="Times New Roman" w:cs="Times New Roman" w:eastAsiaTheme="minorEastAsia"/>
                      <w:color w:val="auto"/>
                      <w:szCs w:val="21"/>
                      <w:u w:val="none"/>
                    </w:rPr>
                    <w:t>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，用于存放待拆解报废车辆，堆放方式为露天形式，地面进行硬化防渗。</w:t>
                  </w:r>
                </w:p>
              </w:tc>
              <w:tc>
                <w:tcPr>
                  <w:tcW w:w="630" w:type="pct"/>
                  <w:vAlign w:val="center"/>
                </w:tcPr>
                <w:p w14:paraId="7A1885CB">
                  <w:pPr>
                    <w:pStyle w:val="39"/>
                    <w:rPr>
                      <w:rFonts w:hint="default" w:ascii="Times New Roman" w:hAnsi="Times New Roman" w:cs="Times New Roman" w:eastAsiaTheme="minorEastAsia"/>
                      <w:color w:val="auto"/>
                      <w:szCs w:val="21"/>
                      <w:u w:val="none"/>
                      <w:lang w:val="en-US" w:eastAsia="zh-CN"/>
                    </w:rPr>
                  </w:pPr>
                  <w:r>
                    <w:rPr>
                      <w:rFonts w:hint="default" w:ascii="Times New Roman" w:hAnsi="Times New Roman" w:cs="Times New Roman" w:eastAsiaTheme="minorEastAsia"/>
                      <w:color w:val="auto"/>
                      <w:szCs w:val="21"/>
                      <w:u w:val="none"/>
                    </w:rPr>
                    <w:t>占地面积为</w:t>
                  </w:r>
                  <w:r>
                    <w:rPr>
                      <w:rFonts w:hint="default" w:ascii="Times New Roman" w:hAnsi="Times New Roman" w:cs="Times New Roman" w:eastAsiaTheme="minorEastAsia"/>
                      <w:color w:val="auto"/>
                      <w:szCs w:val="21"/>
                      <w:u w:val="none"/>
                      <w:lang w:val="en-US" w:eastAsia="zh-CN"/>
                    </w:rPr>
                    <w:t>3422.34</w:t>
                  </w:r>
                  <w:r>
                    <w:rPr>
                      <w:rFonts w:hint="default" w:ascii="Times New Roman" w:hAnsi="Times New Roman" w:cs="Times New Roman" w:eastAsiaTheme="minorEastAsia"/>
                      <w:color w:val="auto"/>
                      <w:szCs w:val="21"/>
                      <w:u w:val="none"/>
                    </w:rPr>
                    <w:t>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vertAlign w:val="baseline"/>
                      <w:lang w:val="en-US" w:eastAsia="zh-CN"/>
                    </w:rPr>
                    <w:t>变为</w:t>
                  </w:r>
                  <w:r>
                    <w:rPr>
                      <w:rFonts w:hint="eastAsia" w:ascii="Times New Roman" w:hAnsi="Times New Roman" w:cs="Times New Roman" w:eastAsiaTheme="minorEastAsia"/>
                      <w:color w:val="auto"/>
                      <w:szCs w:val="21"/>
                      <w:u w:val="none"/>
                      <w:vertAlign w:val="baseline"/>
                      <w:lang w:val="en-US" w:eastAsia="zh-CN"/>
                    </w:rPr>
                    <w:t>1100</w:t>
                  </w:r>
                  <w:r>
                    <w:rPr>
                      <w:rFonts w:hint="eastAsia" w:ascii="Times New Roman" w:hAnsi="Times New Roman" w:cs="Times New Roman" w:eastAsiaTheme="minorEastAsia"/>
                      <w:color w:val="auto"/>
                      <w:szCs w:val="21"/>
                      <w:u w:val="none"/>
                      <w:lang w:val="en-US" w:eastAsia="zh-CN"/>
                    </w:rPr>
                    <w:t>m</w:t>
                  </w:r>
                  <w:r>
                    <w:rPr>
                      <w:rFonts w:hint="eastAsia" w:ascii="Times New Roman" w:hAnsi="Times New Roman" w:cs="Times New Roman" w:eastAsiaTheme="minorEastAsia"/>
                      <w:color w:val="auto"/>
                      <w:szCs w:val="21"/>
                      <w:u w:val="none"/>
                      <w:vertAlign w:val="superscript"/>
                      <w:lang w:val="en-US" w:eastAsia="zh-CN"/>
                    </w:rPr>
                    <w:t>2</w:t>
                  </w:r>
                  <w:r>
                    <w:rPr>
                      <w:rFonts w:hint="default" w:ascii="Times New Roman" w:hAnsi="Times New Roman" w:cs="Times New Roman" w:eastAsiaTheme="minorEastAsia"/>
                      <w:color w:val="auto"/>
                      <w:szCs w:val="21"/>
                      <w:u w:val="none"/>
                      <w:vertAlign w:val="superscript"/>
                      <w:lang w:val="en-US" w:eastAsia="zh-CN"/>
                    </w:rPr>
                    <w:t xml:space="preserve">   </w:t>
                  </w:r>
                </w:p>
              </w:tc>
            </w:tr>
            <w:tr w14:paraId="6C0528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06683A08">
                  <w:pPr>
                    <w:pStyle w:val="39"/>
                    <w:rPr>
                      <w:rFonts w:hint="default" w:ascii="Times New Roman" w:hAnsi="Times New Roman" w:cs="Times New Roman" w:eastAsiaTheme="minorEastAsia"/>
                      <w:color w:val="auto"/>
                      <w:szCs w:val="21"/>
                      <w:u w:val="none"/>
                    </w:rPr>
                  </w:pPr>
                </w:p>
              </w:tc>
              <w:tc>
                <w:tcPr>
                  <w:tcW w:w="500" w:type="pct"/>
                  <w:vAlign w:val="center"/>
                </w:tcPr>
                <w:p w14:paraId="15D61F8C">
                  <w:pPr>
                    <w:pStyle w:val="39"/>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rPr>
                    <w:t>农机拆除成品半成品及零件贮存库</w:t>
                  </w:r>
                </w:p>
              </w:tc>
              <w:tc>
                <w:tcPr>
                  <w:tcW w:w="1755" w:type="pct"/>
                  <w:vAlign w:val="center"/>
                </w:tcPr>
                <w:p w14:paraId="6DCBCEDE">
                  <w:pPr>
                    <w:pStyle w:val="39"/>
                    <w:jc w:val="both"/>
                    <w:rPr>
                      <w:rFonts w:hint="default" w:ascii="Times New Roman" w:hAnsi="Times New Roman" w:cs="Times New Roman" w:eastAsiaTheme="minorEastAsia"/>
                      <w:snapToGrid w:val="0"/>
                      <w:color w:val="auto"/>
                      <w:u w:val="none"/>
                    </w:rPr>
                  </w:pPr>
                  <w:r>
                    <w:rPr>
                      <w:rFonts w:hint="default" w:ascii="Times New Roman" w:hAnsi="Times New Roman" w:cs="Times New Roman" w:eastAsiaTheme="minorEastAsia"/>
                      <w:color w:val="auto"/>
                      <w:szCs w:val="21"/>
                      <w:u w:val="none"/>
                    </w:rPr>
                    <w:t>建筑面积</w:t>
                  </w:r>
                  <w:r>
                    <w:rPr>
                      <w:rFonts w:hint="default" w:ascii="Times New Roman" w:hAnsi="Times New Roman" w:cs="Times New Roman" w:eastAsiaTheme="minorEastAsia"/>
                      <w:color w:val="auto"/>
                      <w:szCs w:val="21"/>
                      <w:u w:val="none"/>
                      <w:lang w:val="en-US" w:eastAsia="zh-CN"/>
                    </w:rPr>
                    <w:t>5</w:t>
                  </w:r>
                  <w:r>
                    <w:rPr>
                      <w:rFonts w:hint="default" w:ascii="Times New Roman" w:hAnsi="Times New Roman" w:cs="Times New Roman" w:eastAsiaTheme="minorEastAsia"/>
                      <w:color w:val="auto"/>
                      <w:szCs w:val="21"/>
                      <w:u w:val="none"/>
                    </w:rPr>
                    <w:t>0m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w:t>
                  </w:r>
                  <w:r>
                    <w:rPr>
                      <w:rFonts w:hint="default" w:ascii="Times New Roman" w:hAnsi="Times New Roman" w:cs="Times New Roman" w:eastAsiaTheme="minorEastAsia"/>
                      <w:color w:val="auto"/>
                      <w:szCs w:val="21"/>
                      <w:u w:val="none"/>
                      <w:lang w:val="en-US" w:eastAsia="zh-CN"/>
                    </w:rPr>
                    <w:t>高度5m，</w:t>
                  </w:r>
                  <w:r>
                    <w:rPr>
                      <w:rFonts w:hint="default" w:ascii="Times New Roman" w:hAnsi="Times New Roman" w:cs="Times New Roman" w:eastAsiaTheme="minorEastAsia"/>
                      <w:color w:val="auto"/>
                      <w:szCs w:val="21"/>
                      <w:u w:val="none"/>
                    </w:rPr>
                    <w:t>全封闭</w:t>
                  </w:r>
                  <w:r>
                    <w:rPr>
                      <w:rFonts w:hint="default" w:ascii="Times New Roman" w:hAnsi="Times New Roman" w:cs="Times New Roman" w:eastAsiaTheme="minorEastAsia"/>
                      <w:snapToGrid w:val="0"/>
                      <w:color w:val="auto"/>
                      <w:u w:val="none"/>
                    </w:rPr>
                    <w:t>。</w:t>
                  </w:r>
                  <w:r>
                    <w:rPr>
                      <w:rFonts w:hint="default" w:ascii="Times New Roman" w:hAnsi="Times New Roman" w:cs="Times New Roman" w:eastAsiaTheme="minorEastAsia"/>
                      <w:color w:val="auto"/>
                      <w:szCs w:val="21"/>
                      <w:u w:val="none"/>
                    </w:rPr>
                    <w:t>用于储存拆解产品与一般固体废物</w:t>
                  </w:r>
                  <w:r>
                    <w:rPr>
                      <w:rFonts w:hint="default" w:ascii="Times New Roman" w:hAnsi="Times New Roman" w:cs="Times New Roman" w:eastAsiaTheme="minorEastAsia"/>
                      <w:color w:val="auto"/>
                      <w:szCs w:val="21"/>
                      <w:u w:val="none"/>
                      <w:lang w:eastAsia="zh-CN"/>
                    </w:rPr>
                    <w:t>，</w:t>
                  </w:r>
                  <w:r>
                    <w:rPr>
                      <w:rFonts w:hint="default" w:ascii="Times New Roman" w:hAnsi="Times New Roman" w:cs="Times New Roman" w:eastAsiaTheme="minorEastAsia"/>
                      <w:color w:val="auto"/>
                      <w:szCs w:val="21"/>
                      <w:u w:val="none"/>
                      <w:lang w:val="en-US" w:eastAsia="zh-CN"/>
                    </w:rPr>
                    <w:t>分类分区储存</w:t>
                  </w:r>
                  <w:r>
                    <w:rPr>
                      <w:rFonts w:hint="default" w:ascii="Times New Roman" w:hAnsi="Times New Roman" w:cs="Times New Roman" w:eastAsiaTheme="minorEastAsia"/>
                      <w:color w:val="auto"/>
                      <w:szCs w:val="21"/>
                      <w:u w:val="none"/>
                    </w:rPr>
                    <w:t>。本项目</w:t>
                  </w:r>
                  <w:r>
                    <w:rPr>
                      <w:rFonts w:hint="default" w:ascii="Times New Roman" w:hAnsi="Times New Roman" w:cs="Times New Roman" w:eastAsiaTheme="minorEastAsia"/>
                      <w:color w:val="auto"/>
                      <w:szCs w:val="21"/>
                      <w:u w:val="none"/>
                      <w:lang w:val="en-US" w:eastAsia="zh-CN"/>
                    </w:rPr>
                    <w:t>拆解产品</w:t>
                  </w:r>
                  <w:r>
                    <w:rPr>
                      <w:rFonts w:hint="default" w:ascii="Times New Roman" w:hAnsi="Times New Roman" w:cs="Times New Roman" w:eastAsiaTheme="minorEastAsia"/>
                      <w:color w:val="auto"/>
                      <w:szCs w:val="21"/>
                      <w:u w:val="none"/>
                    </w:rPr>
                    <w:t>定期拉运出场外售，</w:t>
                  </w:r>
                  <w:r>
                    <w:rPr>
                      <w:rFonts w:hint="default" w:ascii="Times New Roman" w:hAnsi="Times New Roman" w:cs="Times New Roman" w:eastAsiaTheme="minorEastAsia"/>
                      <w:color w:val="auto"/>
                      <w:szCs w:val="21"/>
                      <w:u w:val="none"/>
                      <w:lang w:val="en-US" w:eastAsia="zh-CN"/>
                    </w:rPr>
                    <w:t>一般固体废物定期外售综合利用或交由市政部门统一清运，均</w:t>
                  </w:r>
                  <w:r>
                    <w:rPr>
                      <w:rFonts w:hint="default" w:ascii="Times New Roman" w:hAnsi="Times New Roman" w:cs="Times New Roman" w:eastAsiaTheme="minorEastAsia"/>
                      <w:color w:val="auto"/>
                      <w:szCs w:val="21"/>
                      <w:u w:val="none"/>
                    </w:rPr>
                    <w:t>不做长期储存。</w:t>
                  </w:r>
                </w:p>
              </w:tc>
              <w:tc>
                <w:tcPr>
                  <w:tcW w:w="1776" w:type="pct"/>
                  <w:vAlign w:val="center"/>
                </w:tcPr>
                <w:p w14:paraId="3D0B86BA">
                  <w:pPr>
                    <w:pStyle w:val="39"/>
                    <w:jc w:val="both"/>
                    <w:rPr>
                      <w:rFonts w:hint="default" w:ascii="Times New Roman" w:hAnsi="Times New Roman" w:cs="Times New Roman" w:eastAsiaTheme="minorEastAsia"/>
                      <w:color w:val="auto"/>
                      <w:szCs w:val="21"/>
                      <w:u w:val="none"/>
                    </w:rPr>
                  </w:pPr>
                  <w:r>
                    <w:rPr>
                      <w:rFonts w:hint="default" w:ascii="Times New Roman" w:hAnsi="Times New Roman" w:cs="Times New Roman" w:eastAsiaTheme="minorEastAsia"/>
                      <w:color w:val="auto"/>
                      <w:szCs w:val="21"/>
                      <w:u w:val="none"/>
                      <w:lang w:eastAsia="zh-CN"/>
                    </w:rPr>
                    <w:t>位于厂区东侧，</w:t>
                  </w:r>
                  <w:r>
                    <w:rPr>
                      <w:rFonts w:hint="default" w:ascii="Times New Roman" w:hAnsi="Times New Roman" w:cs="Times New Roman" w:eastAsiaTheme="minorEastAsia"/>
                      <w:color w:val="auto"/>
                      <w:szCs w:val="21"/>
                      <w:u w:val="none"/>
                    </w:rPr>
                    <w:t>建筑面积</w:t>
                  </w:r>
                  <w:r>
                    <w:rPr>
                      <w:rFonts w:hint="default" w:ascii="Times New Roman" w:hAnsi="Times New Roman" w:cs="Times New Roman" w:eastAsiaTheme="minorEastAsia"/>
                      <w:color w:val="auto"/>
                      <w:szCs w:val="21"/>
                      <w:u w:val="none"/>
                      <w:lang w:val="en-US" w:eastAsia="zh-CN"/>
                    </w:rPr>
                    <w:t>15</w:t>
                  </w:r>
                  <w:r>
                    <w:rPr>
                      <w:rFonts w:hint="default" w:ascii="Times New Roman" w:hAnsi="Times New Roman" w:cs="Times New Roman" w:eastAsiaTheme="minorEastAsia"/>
                      <w:color w:val="auto"/>
                      <w:szCs w:val="21"/>
                      <w:u w:val="none"/>
                    </w:rPr>
                    <w:t>0m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w:t>
                  </w:r>
                  <w:r>
                    <w:rPr>
                      <w:rFonts w:hint="default" w:ascii="Times New Roman" w:hAnsi="Times New Roman" w:cs="Times New Roman" w:eastAsiaTheme="minorEastAsia"/>
                      <w:color w:val="auto"/>
                      <w:szCs w:val="21"/>
                      <w:u w:val="none"/>
                      <w:lang w:val="en-US" w:eastAsia="zh-CN"/>
                    </w:rPr>
                    <w:t>高度4m，</w:t>
                  </w:r>
                  <w:r>
                    <w:rPr>
                      <w:rFonts w:hint="default" w:ascii="Times New Roman" w:hAnsi="Times New Roman" w:cs="Times New Roman" w:eastAsiaTheme="minorEastAsia"/>
                      <w:color w:val="auto"/>
                      <w:szCs w:val="21"/>
                      <w:u w:val="none"/>
                    </w:rPr>
                    <w:t>全封闭</w:t>
                  </w:r>
                  <w:r>
                    <w:rPr>
                      <w:rFonts w:hint="default" w:ascii="Times New Roman" w:hAnsi="Times New Roman" w:cs="Times New Roman" w:eastAsiaTheme="minorEastAsia"/>
                      <w:snapToGrid w:val="0"/>
                      <w:color w:val="auto"/>
                      <w:u w:val="none"/>
                    </w:rPr>
                    <w:t>。</w:t>
                  </w:r>
                  <w:r>
                    <w:rPr>
                      <w:rFonts w:hint="default" w:ascii="Times New Roman" w:hAnsi="Times New Roman" w:cs="Times New Roman" w:eastAsiaTheme="minorEastAsia"/>
                      <w:color w:val="auto"/>
                      <w:szCs w:val="21"/>
                      <w:u w:val="none"/>
                    </w:rPr>
                    <w:t>用于储存拆解产品与一般固体废物</w:t>
                  </w:r>
                  <w:r>
                    <w:rPr>
                      <w:rFonts w:hint="default" w:ascii="Times New Roman" w:hAnsi="Times New Roman" w:cs="Times New Roman" w:eastAsiaTheme="minorEastAsia"/>
                      <w:color w:val="auto"/>
                      <w:szCs w:val="21"/>
                      <w:u w:val="none"/>
                      <w:lang w:eastAsia="zh-CN"/>
                    </w:rPr>
                    <w:t>，</w:t>
                  </w:r>
                  <w:r>
                    <w:rPr>
                      <w:rFonts w:hint="default" w:ascii="Times New Roman" w:hAnsi="Times New Roman" w:cs="Times New Roman" w:eastAsiaTheme="minorEastAsia"/>
                      <w:color w:val="auto"/>
                      <w:szCs w:val="21"/>
                      <w:u w:val="none"/>
                      <w:lang w:val="en-US" w:eastAsia="zh-CN"/>
                    </w:rPr>
                    <w:t>分类分区储存</w:t>
                  </w:r>
                  <w:r>
                    <w:rPr>
                      <w:rFonts w:hint="default" w:ascii="Times New Roman" w:hAnsi="Times New Roman" w:cs="Times New Roman" w:eastAsiaTheme="minorEastAsia"/>
                      <w:color w:val="auto"/>
                      <w:szCs w:val="21"/>
                      <w:u w:val="none"/>
                    </w:rPr>
                    <w:t>。本项目</w:t>
                  </w:r>
                  <w:r>
                    <w:rPr>
                      <w:rFonts w:hint="default" w:ascii="Times New Roman" w:hAnsi="Times New Roman" w:cs="Times New Roman" w:eastAsiaTheme="minorEastAsia"/>
                      <w:color w:val="auto"/>
                      <w:szCs w:val="21"/>
                      <w:u w:val="none"/>
                      <w:lang w:val="en-US" w:eastAsia="zh-CN"/>
                    </w:rPr>
                    <w:t>拆解产品</w:t>
                  </w:r>
                  <w:r>
                    <w:rPr>
                      <w:rFonts w:hint="default" w:ascii="Times New Roman" w:hAnsi="Times New Roman" w:cs="Times New Roman" w:eastAsiaTheme="minorEastAsia"/>
                      <w:color w:val="auto"/>
                      <w:szCs w:val="21"/>
                      <w:u w:val="none"/>
                    </w:rPr>
                    <w:t>定期拉运出场外售，</w:t>
                  </w:r>
                  <w:r>
                    <w:rPr>
                      <w:rFonts w:hint="default" w:ascii="Times New Roman" w:hAnsi="Times New Roman" w:cs="Times New Roman" w:eastAsiaTheme="minorEastAsia"/>
                      <w:color w:val="auto"/>
                      <w:szCs w:val="21"/>
                      <w:u w:val="none"/>
                      <w:lang w:val="en-US" w:eastAsia="zh-CN"/>
                    </w:rPr>
                    <w:t>一般固体废物定期外售综合利用或交由市政部门统一清运，均</w:t>
                  </w:r>
                  <w:r>
                    <w:rPr>
                      <w:rFonts w:hint="default" w:ascii="Times New Roman" w:hAnsi="Times New Roman" w:cs="Times New Roman" w:eastAsiaTheme="minorEastAsia"/>
                      <w:color w:val="auto"/>
                      <w:szCs w:val="21"/>
                      <w:u w:val="none"/>
                    </w:rPr>
                    <w:t>不做长期储存。</w:t>
                  </w:r>
                </w:p>
              </w:tc>
              <w:tc>
                <w:tcPr>
                  <w:tcW w:w="630" w:type="pct"/>
                  <w:vAlign w:val="center"/>
                </w:tcPr>
                <w:p w14:paraId="4F48D27E">
                  <w:pPr>
                    <w:pStyle w:val="39"/>
                    <w:rPr>
                      <w:rFonts w:hint="default" w:ascii="Times New Roman" w:hAnsi="Times New Roman" w:cs="Times New Roman" w:eastAsiaTheme="minorEastAsia"/>
                      <w:color w:val="auto"/>
                      <w:szCs w:val="21"/>
                      <w:u w:val="none"/>
                      <w:lang w:val="en-US"/>
                    </w:rPr>
                  </w:pPr>
                  <w:r>
                    <w:rPr>
                      <w:rFonts w:hint="default" w:ascii="Times New Roman" w:hAnsi="Times New Roman" w:cs="Times New Roman" w:eastAsiaTheme="minorEastAsia"/>
                      <w:color w:val="auto"/>
                      <w:szCs w:val="21"/>
                      <w:u w:val="none"/>
                    </w:rPr>
                    <w:t>建筑面积</w:t>
                  </w:r>
                  <w:r>
                    <w:rPr>
                      <w:rFonts w:hint="default" w:ascii="Times New Roman" w:hAnsi="Times New Roman" w:cs="Times New Roman" w:eastAsiaTheme="minorEastAsia"/>
                      <w:color w:val="auto"/>
                      <w:szCs w:val="21"/>
                      <w:u w:val="none"/>
                      <w:lang w:val="en-US" w:eastAsia="zh-CN"/>
                    </w:rPr>
                    <w:t>5</w:t>
                  </w:r>
                  <w:r>
                    <w:rPr>
                      <w:rFonts w:hint="default" w:ascii="Times New Roman" w:hAnsi="Times New Roman" w:cs="Times New Roman" w:eastAsiaTheme="minorEastAsia"/>
                      <w:color w:val="auto"/>
                      <w:szCs w:val="21"/>
                      <w:u w:val="none"/>
                    </w:rPr>
                    <w:t>0m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w:t>
                  </w:r>
                  <w:r>
                    <w:rPr>
                      <w:rFonts w:hint="default" w:ascii="Times New Roman" w:hAnsi="Times New Roman" w:cs="Times New Roman" w:eastAsiaTheme="minorEastAsia"/>
                      <w:color w:val="auto"/>
                      <w:szCs w:val="21"/>
                      <w:u w:val="none"/>
                      <w:lang w:val="en-US" w:eastAsia="zh-CN"/>
                    </w:rPr>
                    <w:t>高度5m变为</w:t>
                  </w:r>
                  <w:r>
                    <w:rPr>
                      <w:rFonts w:hint="default" w:ascii="Times New Roman" w:hAnsi="Times New Roman" w:cs="Times New Roman" w:eastAsiaTheme="minorEastAsia"/>
                      <w:color w:val="auto"/>
                      <w:szCs w:val="21"/>
                      <w:u w:val="none"/>
                    </w:rPr>
                    <w:t>建筑面积</w:t>
                  </w:r>
                  <w:r>
                    <w:rPr>
                      <w:rFonts w:hint="default" w:ascii="Times New Roman" w:hAnsi="Times New Roman" w:cs="Times New Roman" w:eastAsiaTheme="minorEastAsia"/>
                      <w:color w:val="auto"/>
                      <w:szCs w:val="21"/>
                      <w:u w:val="none"/>
                      <w:lang w:val="en-US" w:eastAsia="zh-CN"/>
                    </w:rPr>
                    <w:t>15</w:t>
                  </w:r>
                  <w:r>
                    <w:rPr>
                      <w:rFonts w:hint="default" w:ascii="Times New Roman" w:hAnsi="Times New Roman" w:cs="Times New Roman" w:eastAsiaTheme="minorEastAsia"/>
                      <w:color w:val="auto"/>
                      <w:szCs w:val="21"/>
                      <w:u w:val="none"/>
                    </w:rPr>
                    <w:t>0m</w:t>
                  </w:r>
                  <w:r>
                    <w:rPr>
                      <w:rFonts w:hint="default" w:ascii="Times New Roman" w:hAnsi="Times New Roman" w:cs="Times New Roman" w:eastAsiaTheme="minorEastAsia"/>
                      <w:color w:val="auto"/>
                      <w:szCs w:val="21"/>
                      <w:u w:val="none"/>
                      <w:vertAlign w:val="superscript"/>
                    </w:rPr>
                    <w:t>2</w:t>
                  </w:r>
                  <w:r>
                    <w:rPr>
                      <w:rFonts w:hint="default" w:ascii="Times New Roman" w:hAnsi="Times New Roman" w:cs="Times New Roman" w:eastAsiaTheme="minorEastAsia"/>
                      <w:color w:val="auto"/>
                      <w:szCs w:val="21"/>
                      <w:u w:val="none"/>
                    </w:rPr>
                    <w:t>，</w:t>
                  </w:r>
                  <w:r>
                    <w:rPr>
                      <w:rFonts w:hint="default" w:ascii="Times New Roman" w:hAnsi="Times New Roman" w:cs="Times New Roman" w:eastAsiaTheme="minorEastAsia"/>
                      <w:color w:val="auto"/>
                      <w:szCs w:val="21"/>
                      <w:u w:val="none"/>
                      <w:lang w:val="en-US" w:eastAsia="zh-CN"/>
                    </w:rPr>
                    <w:t>高度4m</w:t>
                  </w:r>
                </w:p>
              </w:tc>
            </w:tr>
            <w:tr w14:paraId="5CE6F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336" w:type="pct"/>
                  <w:vMerge w:val="continue"/>
                  <w:vAlign w:val="center"/>
                </w:tcPr>
                <w:p w14:paraId="0B63D762">
                  <w:pPr>
                    <w:pStyle w:val="39"/>
                    <w:rPr>
                      <w:rFonts w:hint="default" w:ascii="Times New Roman" w:hAnsi="Times New Roman" w:cs="Times New Roman" w:eastAsiaTheme="minorEastAsia"/>
                      <w:color w:val="auto"/>
                      <w:szCs w:val="21"/>
                    </w:rPr>
                  </w:pPr>
                </w:p>
              </w:tc>
              <w:tc>
                <w:tcPr>
                  <w:tcW w:w="500" w:type="pct"/>
                  <w:vAlign w:val="center"/>
                </w:tcPr>
                <w:p w14:paraId="6A9B362A">
                  <w:pPr>
                    <w:pStyle w:val="39"/>
                    <w:rPr>
                      <w:rFonts w:hint="default"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szCs w:val="21"/>
                      <w:lang w:eastAsia="zh-CN"/>
                    </w:rPr>
                    <w:t>危险废物贮存库</w:t>
                  </w:r>
                </w:p>
              </w:tc>
              <w:tc>
                <w:tcPr>
                  <w:tcW w:w="1755" w:type="pct"/>
                  <w:vAlign w:val="center"/>
                </w:tcPr>
                <w:p w14:paraId="153C5E00">
                  <w:pPr>
                    <w:pStyle w:val="39"/>
                    <w:jc w:val="both"/>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bCs/>
                      <w:color w:val="auto"/>
                      <w:szCs w:val="21"/>
                    </w:rPr>
                    <w:t>位于</w:t>
                  </w:r>
                  <w:r>
                    <w:rPr>
                      <w:rFonts w:hint="default" w:ascii="Times New Roman" w:hAnsi="Times New Roman" w:cs="Times New Roman" w:eastAsiaTheme="minorEastAsia"/>
                      <w:bCs/>
                      <w:color w:val="auto"/>
                      <w:szCs w:val="21"/>
                      <w:lang w:val="en-US" w:eastAsia="zh-CN"/>
                    </w:rPr>
                    <w:t>车间内</w:t>
                  </w:r>
                  <w:r>
                    <w:rPr>
                      <w:rFonts w:hint="default" w:ascii="Times New Roman" w:hAnsi="Times New Roman" w:cs="Times New Roman" w:eastAsiaTheme="minorEastAsia"/>
                      <w:bCs/>
                      <w:color w:val="auto"/>
                      <w:szCs w:val="21"/>
                    </w:rPr>
                    <w:t>，面积为</w:t>
                  </w:r>
                  <w:r>
                    <w:rPr>
                      <w:rFonts w:hint="default" w:ascii="Times New Roman" w:hAnsi="Times New Roman" w:cs="Times New Roman" w:eastAsiaTheme="minorEastAsia"/>
                      <w:bCs/>
                      <w:color w:val="auto"/>
                      <w:szCs w:val="21"/>
                      <w:lang w:val="en-US" w:eastAsia="zh-CN"/>
                    </w:rPr>
                    <w:t>50</w:t>
                  </w:r>
                  <w:r>
                    <w:rPr>
                      <w:rFonts w:hint="default" w:ascii="Times New Roman" w:hAnsi="Times New Roman" w:cs="Times New Roman" w:eastAsiaTheme="minorEastAsia"/>
                      <w:bCs/>
                      <w:color w:val="auto"/>
                      <w:szCs w:val="21"/>
                    </w:rPr>
                    <w:t>m</w:t>
                  </w:r>
                  <w:r>
                    <w:rPr>
                      <w:rFonts w:hint="default" w:ascii="Times New Roman" w:hAnsi="Times New Roman" w:cs="Times New Roman" w:eastAsiaTheme="minorEastAsia"/>
                      <w:bCs/>
                      <w:color w:val="auto"/>
                      <w:szCs w:val="21"/>
                      <w:vertAlign w:val="superscript"/>
                    </w:rPr>
                    <w:t>2</w:t>
                  </w:r>
                  <w:r>
                    <w:rPr>
                      <w:rFonts w:hint="default" w:ascii="Times New Roman" w:hAnsi="Times New Roman" w:cs="Times New Roman" w:eastAsiaTheme="minorEastAsia"/>
                      <w:bCs/>
                      <w:color w:val="auto"/>
                      <w:szCs w:val="21"/>
                    </w:rPr>
                    <w:t>，全封闭，用于暂存生产过程中产生的危险废物。建设严格按照</w:t>
                  </w:r>
                  <w:r>
                    <w:rPr>
                      <w:rFonts w:hint="default" w:ascii="Times New Roman" w:hAnsi="Times New Roman" w:cs="Times New Roman" w:eastAsiaTheme="minorEastAsia"/>
                      <w:bCs/>
                      <w:color w:val="auto"/>
                      <w:szCs w:val="21"/>
                      <w:lang w:eastAsia="zh-CN"/>
                    </w:rPr>
                    <w:t>《危险废物贮存污染控制标准》（GB18597-2023）</w:t>
                  </w:r>
                  <w:r>
                    <w:rPr>
                      <w:rFonts w:hint="default" w:ascii="Times New Roman" w:hAnsi="Times New Roman" w:cs="Times New Roman" w:eastAsiaTheme="minorEastAsia"/>
                      <w:bCs/>
                      <w:color w:val="auto"/>
                      <w:szCs w:val="21"/>
                    </w:rPr>
                    <w:t>中相关规定进行设置，地面防渗、</w:t>
                  </w:r>
                  <w:r>
                    <w:rPr>
                      <w:rFonts w:hint="default" w:ascii="Times New Roman" w:hAnsi="Times New Roman" w:cs="Times New Roman" w:eastAsiaTheme="minorEastAsia"/>
                      <w:bCs/>
                      <w:color w:val="auto"/>
                      <w:szCs w:val="21"/>
                      <w:lang w:eastAsia="zh-CN"/>
                    </w:rPr>
                    <w:t>裙脚</w:t>
                  </w:r>
                  <w:r>
                    <w:rPr>
                      <w:rFonts w:hint="default" w:ascii="Times New Roman" w:hAnsi="Times New Roman" w:cs="Times New Roman" w:eastAsiaTheme="minorEastAsia"/>
                      <w:bCs/>
                      <w:color w:val="auto"/>
                      <w:szCs w:val="21"/>
                    </w:rPr>
                    <w:t>防渗，防渗层为至少1米厚粘土层（渗透系数≤10</w:t>
                  </w:r>
                  <w:r>
                    <w:rPr>
                      <w:rFonts w:hint="default" w:ascii="Times New Roman" w:hAnsi="Times New Roman" w:cs="Times New Roman" w:eastAsiaTheme="minorEastAsia"/>
                      <w:bCs/>
                      <w:color w:val="auto"/>
                      <w:szCs w:val="21"/>
                      <w:vertAlign w:val="superscript"/>
                    </w:rPr>
                    <w:t>-7</w:t>
                  </w:r>
                  <w:r>
                    <w:rPr>
                      <w:rFonts w:hint="default" w:ascii="Times New Roman" w:hAnsi="Times New Roman" w:cs="Times New Roman" w:eastAsiaTheme="minorEastAsia"/>
                      <w:bCs/>
                      <w:color w:val="auto"/>
                      <w:szCs w:val="21"/>
                    </w:rPr>
                    <w:t>cm/s），或2mm厚高密度聚乙烯膜等人工防渗材料</w:t>
                  </w:r>
                  <w:r>
                    <w:rPr>
                      <w:rFonts w:hint="default" w:ascii="Times New Roman" w:hAnsi="Times New Roman" w:cs="Times New Roman" w:eastAsiaTheme="minorEastAsia"/>
                      <w:bCs/>
                      <w:color w:val="auto"/>
                      <w:szCs w:val="21"/>
                      <w:lang w:eastAsia="zh-CN"/>
                    </w:rPr>
                    <w:t>（</w:t>
                  </w:r>
                  <w:r>
                    <w:rPr>
                      <w:rFonts w:hint="default" w:ascii="Times New Roman" w:hAnsi="Times New Roman" w:cs="Times New Roman" w:eastAsiaTheme="minorEastAsia"/>
                      <w:bCs/>
                      <w:color w:val="auto"/>
                      <w:szCs w:val="21"/>
                    </w:rPr>
                    <w:t>渗透系数≤10</w:t>
                  </w:r>
                  <w:r>
                    <w:rPr>
                      <w:rFonts w:hint="default" w:ascii="Times New Roman" w:hAnsi="Times New Roman" w:cs="Times New Roman" w:eastAsiaTheme="minorEastAsia"/>
                      <w:bCs/>
                      <w:color w:val="auto"/>
                      <w:szCs w:val="21"/>
                      <w:vertAlign w:val="superscript"/>
                    </w:rPr>
                    <w:t>-10</w:t>
                  </w:r>
                  <w:r>
                    <w:rPr>
                      <w:rFonts w:hint="default" w:ascii="Times New Roman" w:hAnsi="Times New Roman" w:cs="Times New Roman" w:eastAsiaTheme="minorEastAsia"/>
                      <w:bCs/>
                      <w:color w:val="auto"/>
                      <w:szCs w:val="21"/>
                    </w:rPr>
                    <w:t>cm/s</w:t>
                  </w:r>
                  <w:r>
                    <w:rPr>
                      <w:rFonts w:hint="default" w:ascii="Times New Roman" w:hAnsi="Times New Roman" w:cs="Times New Roman" w:eastAsiaTheme="minorEastAsia"/>
                      <w:bCs/>
                      <w:color w:val="auto"/>
                      <w:szCs w:val="21"/>
                      <w:lang w:eastAsia="zh-CN"/>
                    </w:rPr>
                    <w:t>）</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eastAsia="zh-CN"/>
                    </w:rPr>
                    <w:t>危险废物贮存库</w:t>
                  </w:r>
                  <w:r>
                    <w:rPr>
                      <w:rFonts w:hint="default" w:ascii="Times New Roman" w:hAnsi="Times New Roman" w:cs="Times New Roman" w:eastAsiaTheme="minorEastAsia"/>
                      <w:bCs/>
                      <w:color w:val="auto"/>
                      <w:szCs w:val="21"/>
                    </w:rPr>
                    <w:t>内设置泄漏液体收集装置等。危险废物采用密闭容器包装，控制挥发性有机气体的产生。</w:t>
                  </w:r>
                </w:p>
              </w:tc>
              <w:tc>
                <w:tcPr>
                  <w:tcW w:w="1776" w:type="pct"/>
                  <w:vAlign w:val="center"/>
                </w:tcPr>
                <w:p w14:paraId="085AFEFF">
                  <w:pPr>
                    <w:pStyle w:val="39"/>
                    <w:jc w:val="both"/>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bCs/>
                      <w:color w:val="auto"/>
                      <w:szCs w:val="21"/>
                    </w:rPr>
                    <w:t>位于</w:t>
                  </w:r>
                  <w:r>
                    <w:rPr>
                      <w:rFonts w:hint="default" w:ascii="Times New Roman" w:hAnsi="Times New Roman" w:cs="Times New Roman" w:eastAsiaTheme="minorEastAsia"/>
                      <w:bCs/>
                      <w:color w:val="auto"/>
                      <w:szCs w:val="21"/>
                      <w:lang w:val="en-US" w:eastAsia="zh-CN"/>
                    </w:rPr>
                    <w:t>车间内</w:t>
                  </w:r>
                  <w:r>
                    <w:rPr>
                      <w:rFonts w:hint="default" w:ascii="Times New Roman" w:hAnsi="Times New Roman" w:cs="Times New Roman" w:eastAsiaTheme="minorEastAsia"/>
                      <w:bCs/>
                      <w:color w:val="auto"/>
                      <w:szCs w:val="21"/>
                    </w:rPr>
                    <w:t>，面积为</w:t>
                  </w:r>
                  <w:r>
                    <w:rPr>
                      <w:rFonts w:hint="default" w:ascii="Times New Roman" w:hAnsi="Times New Roman" w:cs="Times New Roman" w:eastAsiaTheme="minorEastAsia"/>
                      <w:bCs/>
                      <w:color w:val="auto"/>
                      <w:szCs w:val="21"/>
                      <w:lang w:val="en-US" w:eastAsia="zh-CN"/>
                    </w:rPr>
                    <w:t>25</w:t>
                  </w:r>
                  <w:r>
                    <w:rPr>
                      <w:rFonts w:hint="default" w:ascii="Times New Roman" w:hAnsi="Times New Roman" w:cs="Times New Roman" w:eastAsiaTheme="minorEastAsia"/>
                      <w:bCs/>
                      <w:color w:val="auto"/>
                      <w:szCs w:val="21"/>
                    </w:rPr>
                    <w:t>m</w:t>
                  </w:r>
                  <w:r>
                    <w:rPr>
                      <w:rFonts w:hint="default" w:ascii="Times New Roman" w:hAnsi="Times New Roman" w:cs="Times New Roman" w:eastAsiaTheme="minorEastAsia"/>
                      <w:bCs/>
                      <w:color w:val="auto"/>
                      <w:szCs w:val="21"/>
                      <w:vertAlign w:val="superscript"/>
                    </w:rPr>
                    <w:t>2</w:t>
                  </w:r>
                  <w:r>
                    <w:rPr>
                      <w:rFonts w:hint="default" w:ascii="Times New Roman" w:hAnsi="Times New Roman" w:cs="Times New Roman" w:eastAsiaTheme="minorEastAsia"/>
                      <w:bCs/>
                      <w:color w:val="auto"/>
                      <w:szCs w:val="21"/>
                    </w:rPr>
                    <w:t>，全封闭，用于暂存生产过程中产生的危险废物。建设严格按照</w:t>
                  </w:r>
                  <w:r>
                    <w:rPr>
                      <w:rFonts w:hint="default" w:ascii="Times New Roman" w:hAnsi="Times New Roman" w:cs="Times New Roman" w:eastAsiaTheme="minorEastAsia"/>
                      <w:bCs/>
                      <w:color w:val="auto"/>
                      <w:szCs w:val="21"/>
                      <w:lang w:eastAsia="zh-CN"/>
                    </w:rPr>
                    <w:t>《危险废物贮存污染控制标准》（GB18597-2023）</w:t>
                  </w:r>
                  <w:r>
                    <w:rPr>
                      <w:rFonts w:hint="default" w:ascii="Times New Roman" w:hAnsi="Times New Roman" w:cs="Times New Roman" w:eastAsiaTheme="minorEastAsia"/>
                      <w:bCs/>
                      <w:color w:val="auto"/>
                      <w:szCs w:val="21"/>
                    </w:rPr>
                    <w:t>中相关规定进行设置，地面防渗、</w:t>
                  </w:r>
                  <w:r>
                    <w:rPr>
                      <w:rFonts w:hint="default" w:ascii="Times New Roman" w:hAnsi="Times New Roman" w:cs="Times New Roman" w:eastAsiaTheme="minorEastAsia"/>
                      <w:bCs/>
                      <w:color w:val="auto"/>
                      <w:szCs w:val="21"/>
                      <w:lang w:eastAsia="zh-CN"/>
                    </w:rPr>
                    <w:t>裙脚</w:t>
                  </w:r>
                  <w:r>
                    <w:rPr>
                      <w:rFonts w:hint="default" w:ascii="Times New Roman" w:hAnsi="Times New Roman" w:cs="Times New Roman" w:eastAsiaTheme="minorEastAsia"/>
                      <w:bCs/>
                      <w:color w:val="auto"/>
                      <w:szCs w:val="21"/>
                    </w:rPr>
                    <w:t>防渗，防渗层为至少1米厚粘土层（渗透系数≤10</w:t>
                  </w:r>
                  <w:r>
                    <w:rPr>
                      <w:rFonts w:hint="default" w:ascii="Times New Roman" w:hAnsi="Times New Roman" w:cs="Times New Roman" w:eastAsiaTheme="minorEastAsia"/>
                      <w:bCs/>
                      <w:color w:val="auto"/>
                      <w:szCs w:val="21"/>
                      <w:vertAlign w:val="superscript"/>
                    </w:rPr>
                    <w:t>-7</w:t>
                  </w:r>
                  <w:r>
                    <w:rPr>
                      <w:rFonts w:hint="default" w:ascii="Times New Roman" w:hAnsi="Times New Roman" w:cs="Times New Roman" w:eastAsiaTheme="minorEastAsia"/>
                      <w:bCs/>
                      <w:color w:val="auto"/>
                      <w:szCs w:val="21"/>
                    </w:rPr>
                    <w:t>cm/s），或2mm厚高密度聚乙烯膜等人工防渗材料</w:t>
                  </w:r>
                  <w:r>
                    <w:rPr>
                      <w:rFonts w:hint="default" w:ascii="Times New Roman" w:hAnsi="Times New Roman" w:cs="Times New Roman" w:eastAsiaTheme="minorEastAsia"/>
                      <w:bCs/>
                      <w:color w:val="auto"/>
                      <w:szCs w:val="21"/>
                      <w:lang w:eastAsia="zh-CN"/>
                    </w:rPr>
                    <w:t>（</w:t>
                  </w:r>
                  <w:r>
                    <w:rPr>
                      <w:rFonts w:hint="default" w:ascii="Times New Roman" w:hAnsi="Times New Roman" w:cs="Times New Roman" w:eastAsiaTheme="minorEastAsia"/>
                      <w:bCs/>
                      <w:color w:val="auto"/>
                      <w:szCs w:val="21"/>
                    </w:rPr>
                    <w:t>渗透系数≤10</w:t>
                  </w:r>
                  <w:r>
                    <w:rPr>
                      <w:rFonts w:hint="default" w:ascii="Times New Roman" w:hAnsi="Times New Roman" w:cs="Times New Roman" w:eastAsiaTheme="minorEastAsia"/>
                      <w:bCs/>
                      <w:color w:val="auto"/>
                      <w:szCs w:val="21"/>
                      <w:vertAlign w:val="superscript"/>
                    </w:rPr>
                    <w:t>-10</w:t>
                  </w:r>
                  <w:r>
                    <w:rPr>
                      <w:rFonts w:hint="default" w:ascii="Times New Roman" w:hAnsi="Times New Roman" w:cs="Times New Roman" w:eastAsiaTheme="minorEastAsia"/>
                      <w:bCs/>
                      <w:color w:val="auto"/>
                      <w:szCs w:val="21"/>
                    </w:rPr>
                    <w:t>cm/s</w:t>
                  </w:r>
                  <w:r>
                    <w:rPr>
                      <w:rFonts w:hint="default" w:ascii="Times New Roman" w:hAnsi="Times New Roman" w:cs="Times New Roman" w:eastAsiaTheme="minorEastAsia"/>
                      <w:bCs/>
                      <w:color w:val="auto"/>
                      <w:szCs w:val="21"/>
                      <w:lang w:eastAsia="zh-CN"/>
                    </w:rPr>
                    <w:t>）</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eastAsia="zh-CN"/>
                    </w:rPr>
                    <w:t>危险废物贮存库</w:t>
                  </w:r>
                  <w:r>
                    <w:rPr>
                      <w:rFonts w:hint="default" w:ascii="Times New Roman" w:hAnsi="Times New Roman" w:cs="Times New Roman" w:eastAsiaTheme="minorEastAsia"/>
                      <w:bCs/>
                      <w:color w:val="auto"/>
                      <w:szCs w:val="21"/>
                    </w:rPr>
                    <w:t>内设置泄漏液体收集装置等。危险废物采用密闭容器包装，控制挥发性有机气体的产生。</w:t>
                  </w:r>
                </w:p>
              </w:tc>
              <w:tc>
                <w:tcPr>
                  <w:tcW w:w="630" w:type="pct"/>
                  <w:vAlign w:val="center"/>
                </w:tcPr>
                <w:p w14:paraId="3A19F261">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bCs/>
                      <w:color w:val="auto"/>
                      <w:szCs w:val="21"/>
                    </w:rPr>
                    <w:t>面积</w:t>
                  </w:r>
                  <w:r>
                    <w:rPr>
                      <w:rFonts w:hint="default" w:ascii="Times New Roman" w:hAnsi="Times New Roman" w:cs="Times New Roman" w:eastAsiaTheme="minorEastAsia"/>
                      <w:bCs/>
                      <w:color w:val="auto"/>
                      <w:szCs w:val="21"/>
                      <w:lang w:val="en-US" w:eastAsia="zh-CN"/>
                    </w:rPr>
                    <w:t>50</w:t>
                  </w:r>
                  <w:r>
                    <w:rPr>
                      <w:rFonts w:hint="default" w:ascii="Times New Roman" w:hAnsi="Times New Roman" w:cs="Times New Roman" w:eastAsiaTheme="minorEastAsia"/>
                      <w:bCs/>
                      <w:color w:val="auto"/>
                      <w:szCs w:val="21"/>
                    </w:rPr>
                    <w:t>m</w:t>
                  </w:r>
                  <w:r>
                    <w:rPr>
                      <w:rFonts w:hint="default" w:ascii="Times New Roman" w:hAnsi="Times New Roman" w:cs="Times New Roman" w:eastAsiaTheme="minorEastAsia"/>
                      <w:bCs/>
                      <w:color w:val="auto"/>
                      <w:szCs w:val="21"/>
                      <w:vertAlign w:val="superscript"/>
                    </w:rPr>
                    <w:t>2</w:t>
                  </w:r>
                  <w:r>
                    <w:rPr>
                      <w:rFonts w:hint="default" w:ascii="Times New Roman" w:hAnsi="Times New Roman" w:cs="Times New Roman" w:eastAsiaTheme="minorEastAsia"/>
                      <w:bCs/>
                      <w:color w:val="auto"/>
                      <w:szCs w:val="21"/>
                      <w:vertAlign w:val="baseline"/>
                      <w:lang w:val="en-US" w:eastAsia="zh-CN"/>
                    </w:rPr>
                    <w:t>变为</w:t>
                  </w:r>
                  <w:r>
                    <w:rPr>
                      <w:rFonts w:hint="default" w:ascii="Times New Roman" w:hAnsi="Times New Roman" w:cs="Times New Roman" w:eastAsiaTheme="minorEastAsia"/>
                      <w:bCs/>
                      <w:color w:val="auto"/>
                      <w:szCs w:val="21"/>
                      <w:lang w:val="en-US" w:eastAsia="zh-CN"/>
                    </w:rPr>
                    <w:t>面积25m</w:t>
                  </w:r>
                  <w:r>
                    <w:rPr>
                      <w:rFonts w:hint="default" w:ascii="Times New Roman" w:hAnsi="Times New Roman" w:cs="Times New Roman" w:eastAsiaTheme="minorEastAsia"/>
                      <w:bCs/>
                      <w:color w:val="auto"/>
                      <w:szCs w:val="21"/>
                      <w:vertAlign w:val="superscript"/>
                      <w:lang w:val="en-US" w:eastAsia="zh-CN"/>
                    </w:rPr>
                    <w:t>2</w:t>
                  </w:r>
                </w:p>
              </w:tc>
            </w:tr>
            <w:tr w14:paraId="7BAF0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restart"/>
                  <w:vAlign w:val="center"/>
                </w:tcPr>
                <w:p w14:paraId="16CD868E">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公用工程</w:t>
                  </w:r>
                </w:p>
              </w:tc>
              <w:tc>
                <w:tcPr>
                  <w:tcW w:w="500" w:type="pct"/>
                  <w:vAlign w:val="center"/>
                </w:tcPr>
                <w:p w14:paraId="763FC50D">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给水</w:t>
                  </w:r>
                </w:p>
              </w:tc>
              <w:tc>
                <w:tcPr>
                  <w:tcW w:w="1755" w:type="pct"/>
                  <w:vAlign w:val="center"/>
                </w:tcPr>
                <w:p w14:paraId="5110D831">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由</w:t>
                  </w:r>
                  <w:r>
                    <w:rPr>
                      <w:rFonts w:hint="default" w:ascii="Times New Roman" w:hAnsi="Times New Roman" w:cs="Times New Roman" w:eastAsiaTheme="minorEastAsia"/>
                      <w:color w:val="auto"/>
                      <w:szCs w:val="21"/>
                      <w:lang w:val="en-US" w:eastAsia="zh-CN"/>
                    </w:rPr>
                    <w:t>市政</w:t>
                  </w:r>
                  <w:r>
                    <w:rPr>
                      <w:rFonts w:hint="default" w:ascii="Times New Roman" w:hAnsi="Times New Roman" w:cs="Times New Roman" w:eastAsiaTheme="minorEastAsia"/>
                      <w:color w:val="auto"/>
                      <w:szCs w:val="21"/>
                    </w:rPr>
                    <w:t>供</w:t>
                  </w:r>
                  <w:r>
                    <w:rPr>
                      <w:rFonts w:hint="default" w:ascii="Times New Roman" w:hAnsi="Times New Roman" w:cs="Times New Roman" w:eastAsiaTheme="minorEastAsia"/>
                      <w:color w:val="auto"/>
                      <w:szCs w:val="21"/>
                      <w:lang w:val="en-US" w:eastAsia="zh-CN"/>
                    </w:rPr>
                    <w:t>水</w:t>
                  </w:r>
                  <w:r>
                    <w:rPr>
                      <w:rFonts w:hint="default" w:ascii="Times New Roman" w:hAnsi="Times New Roman" w:cs="Times New Roman" w:eastAsiaTheme="minorEastAsia"/>
                      <w:color w:val="auto"/>
                      <w:szCs w:val="21"/>
                    </w:rPr>
                    <w:t>。</w:t>
                  </w:r>
                </w:p>
              </w:tc>
              <w:tc>
                <w:tcPr>
                  <w:tcW w:w="1776" w:type="pct"/>
                  <w:vAlign w:val="center"/>
                </w:tcPr>
                <w:p w14:paraId="2FFC9132">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由</w:t>
                  </w:r>
                  <w:r>
                    <w:rPr>
                      <w:rFonts w:hint="default" w:ascii="Times New Roman" w:hAnsi="Times New Roman" w:cs="Times New Roman" w:eastAsiaTheme="minorEastAsia"/>
                      <w:color w:val="auto"/>
                      <w:szCs w:val="21"/>
                      <w:lang w:val="en-US" w:eastAsia="zh-CN"/>
                    </w:rPr>
                    <w:t>市政</w:t>
                  </w:r>
                  <w:r>
                    <w:rPr>
                      <w:rFonts w:hint="default" w:ascii="Times New Roman" w:hAnsi="Times New Roman" w:cs="Times New Roman" w:eastAsiaTheme="minorEastAsia"/>
                      <w:color w:val="auto"/>
                      <w:szCs w:val="21"/>
                    </w:rPr>
                    <w:t>供</w:t>
                  </w:r>
                  <w:r>
                    <w:rPr>
                      <w:rFonts w:hint="default" w:ascii="Times New Roman" w:hAnsi="Times New Roman" w:cs="Times New Roman" w:eastAsiaTheme="minorEastAsia"/>
                      <w:color w:val="auto"/>
                      <w:szCs w:val="21"/>
                      <w:lang w:val="en-US" w:eastAsia="zh-CN"/>
                    </w:rPr>
                    <w:t>水</w:t>
                  </w:r>
                  <w:r>
                    <w:rPr>
                      <w:rFonts w:hint="default" w:ascii="Times New Roman" w:hAnsi="Times New Roman" w:cs="Times New Roman" w:eastAsiaTheme="minorEastAsia"/>
                      <w:color w:val="auto"/>
                      <w:szCs w:val="21"/>
                    </w:rPr>
                    <w:t>。</w:t>
                  </w:r>
                </w:p>
              </w:tc>
              <w:tc>
                <w:tcPr>
                  <w:tcW w:w="630" w:type="pct"/>
                  <w:vAlign w:val="center"/>
                </w:tcPr>
                <w:p w14:paraId="2582FEE5">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r w14:paraId="6C2C4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1E41D858">
                  <w:pPr>
                    <w:pStyle w:val="39"/>
                    <w:rPr>
                      <w:rFonts w:hint="default" w:ascii="Times New Roman" w:hAnsi="Times New Roman" w:cs="Times New Roman" w:eastAsiaTheme="minorEastAsia"/>
                      <w:color w:val="auto"/>
                      <w:szCs w:val="21"/>
                    </w:rPr>
                  </w:pPr>
                </w:p>
              </w:tc>
              <w:tc>
                <w:tcPr>
                  <w:tcW w:w="500" w:type="pct"/>
                  <w:vAlign w:val="center"/>
                </w:tcPr>
                <w:p w14:paraId="174EDE88">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排水</w:t>
                  </w:r>
                </w:p>
              </w:tc>
              <w:tc>
                <w:tcPr>
                  <w:tcW w:w="1755" w:type="pct"/>
                  <w:vAlign w:val="center"/>
                </w:tcPr>
                <w:p w14:paraId="2259BA78">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rPr>
                    <w:t>本项目不进行拆解车间地面清洗，因此本项目无拆解车间地面冲洗废水产生</w:t>
                  </w:r>
                  <w:r>
                    <w:rPr>
                      <w:rFonts w:hint="default" w:ascii="Times New Roman" w:hAnsi="Times New Roman" w:cs="Times New Roman" w:eastAsiaTheme="minorEastAsia"/>
                      <w:color w:val="auto"/>
                      <w:szCs w:val="21"/>
                    </w:rPr>
                    <w:t>，主要为生活污水和待拆车辆存放区初期雨水。</w:t>
                  </w:r>
                </w:p>
                <w:p w14:paraId="4B3FBEB3">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①本项目生活污水排入</w:t>
                  </w:r>
                  <w:r>
                    <w:rPr>
                      <w:rFonts w:hint="default" w:ascii="Times New Roman" w:hAnsi="Times New Roman" w:cs="Times New Roman" w:eastAsiaTheme="minorEastAsia"/>
                      <w:color w:val="auto"/>
                      <w:szCs w:val="21"/>
                      <w:lang w:val="en-US" w:eastAsia="zh-CN"/>
                    </w:rPr>
                    <w:t>防渗旱厕，定期清掏</w:t>
                  </w:r>
                  <w:r>
                    <w:rPr>
                      <w:rFonts w:hint="default" w:ascii="Times New Roman" w:hAnsi="Times New Roman" w:cs="Times New Roman" w:eastAsiaTheme="minorEastAsia"/>
                      <w:color w:val="auto"/>
                      <w:szCs w:val="21"/>
                    </w:rPr>
                    <w:t>。</w:t>
                  </w:r>
                </w:p>
                <w:p w14:paraId="57D86E9D">
                  <w:pPr>
                    <w:pStyle w:val="39"/>
                    <w:jc w:val="both"/>
                    <w:rPr>
                      <w:rFonts w:hint="default" w:ascii="Times New Roman" w:hAnsi="Times New Roman" w:cs="Times New Roman" w:eastAsiaTheme="minorEastAsia"/>
                      <w:b/>
                      <w:bCs/>
                      <w:color w:val="auto"/>
                      <w:szCs w:val="21"/>
                      <w:lang w:val="en-US" w:eastAsia="zh-CN"/>
                    </w:rPr>
                  </w:pPr>
                  <w:r>
                    <w:rPr>
                      <w:rFonts w:hint="default" w:ascii="Times New Roman" w:hAnsi="Times New Roman" w:cs="Times New Roman" w:eastAsiaTheme="minorEastAsia"/>
                      <w:color w:val="auto"/>
                      <w:szCs w:val="21"/>
                      <w:lang w:eastAsia="ja-JP"/>
                    </w:rPr>
                    <w:t>②</w:t>
                  </w:r>
                  <w:r>
                    <w:rPr>
                      <w:rFonts w:hint="default" w:ascii="Times New Roman" w:hAnsi="Times New Roman" w:cs="Times New Roman" w:eastAsiaTheme="minorEastAsia"/>
                      <w:color w:val="auto"/>
                      <w:szCs w:val="21"/>
                    </w:rPr>
                    <w:t>初期雨水</w:t>
                  </w:r>
                  <w:r>
                    <w:rPr>
                      <w:rFonts w:hint="default" w:ascii="Times New Roman" w:hAnsi="Times New Roman" w:cs="Times New Roman" w:eastAsiaTheme="minorEastAsia"/>
                      <w:color w:val="auto"/>
                    </w:rPr>
                    <w:t>经待拆车辆存放区四周排水沟汇入厂区一座</w:t>
                  </w:r>
                  <w:r>
                    <w:rPr>
                      <w:rFonts w:hint="default" w:ascii="Times New Roman" w:hAnsi="Times New Roman" w:cs="Times New Roman" w:eastAsiaTheme="minorEastAsia"/>
                      <w:color w:val="auto"/>
                      <w:lang w:val="en-US" w:eastAsia="zh-CN"/>
                    </w:rPr>
                    <w:t>8</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初期雨水收集池内，经油水分离器隔油处理</w:t>
                  </w:r>
                  <w:r>
                    <w:rPr>
                      <w:rFonts w:hint="default" w:ascii="Times New Roman" w:hAnsi="Times New Roman" w:cs="Times New Roman" w:eastAsiaTheme="minorEastAsia"/>
                      <w:color w:val="auto"/>
                      <w:lang w:val="en-US" w:eastAsia="zh-CN"/>
                    </w:rPr>
                    <w:t>用于厂区洒扫降尘</w:t>
                  </w:r>
                  <w:r>
                    <w:rPr>
                      <w:rFonts w:hint="default" w:ascii="Times New Roman" w:hAnsi="Times New Roman" w:cs="Times New Roman" w:eastAsiaTheme="minorEastAsia"/>
                      <w:color w:val="auto"/>
                    </w:rPr>
                    <w:t>。</w:t>
                  </w:r>
                </w:p>
              </w:tc>
              <w:tc>
                <w:tcPr>
                  <w:tcW w:w="1776" w:type="pct"/>
                  <w:vAlign w:val="center"/>
                </w:tcPr>
                <w:p w14:paraId="6F76D9F9">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rPr>
                    <w:t>本项目不进行拆解车间地面清洗，因此本项目无拆解车间地面冲洗废水产生</w:t>
                  </w:r>
                  <w:r>
                    <w:rPr>
                      <w:rFonts w:hint="default" w:ascii="Times New Roman" w:hAnsi="Times New Roman" w:cs="Times New Roman" w:eastAsiaTheme="minorEastAsia"/>
                      <w:color w:val="auto"/>
                      <w:szCs w:val="21"/>
                    </w:rPr>
                    <w:t>，主要为生活污水和待拆车辆存放区初期雨水。</w:t>
                  </w:r>
                </w:p>
                <w:p w14:paraId="6C1A8C85">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①本项目生活污水排入</w:t>
                  </w:r>
                  <w:r>
                    <w:rPr>
                      <w:rFonts w:hint="default" w:ascii="Times New Roman" w:hAnsi="Times New Roman" w:cs="Times New Roman" w:eastAsiaTheme="minorEastAsia"/>
                      <w:color w:val="auto"/>
                      <w:szCs w:val="21"/>
                      <w:lang w:val="en-US" w:eastAsia="zh-CN"/>
                    </w:rPr>
                    <w:t>防渗旱厕，定期清掏</w:t>
                  </w:r>
                  <w:r>
                    <w:rPr>
                      <w:rFonts w:hint="default" w:ascii="Times New Roman" w:hAnsi="Times New Roman" w:cs="Times New Roman" w:eastAsiaTheme="minorEastAsia"/>
                      <w:color w:val="auto"/>
                      <w:szCs w:val="21"/>
                    </w:rPr>
                    <w:t>。</w:t>
                  </w:r>
                </w:p>
                <w:p w14:paraId="38DDE695">
                  <w:pPr>
                    <w:pStyle w:val="39"/>
                    <w:jc w:val="both"/>
                    <w:rPr>
                      <w:rFonts w:hint="default" w:ascii="Times New Roman" w:hAnsi="Times New Roman" w:cs="Times New Roman" w:eastAsiaTheme="minorEastAsia"/>
                      <w:color w:val="auto"/>
                      <w:szCs w:val="21"/>
                      <w:lang w:eastAsia="ja-JP"/>
                    </w:rPr>
                  </w:pPr>
                  <w:r>
                    <w:rPr>
                      <w:rFonts w:hint="default" w:ascii="Times New Roman" w:hAnsi="Times New Roman" w:cs="Times New Roman" w:eastAsiaTheme="minorEastAsia"/>
                      <w:color w:val="auto"/>
                      <w:szCs w:val="21"/>
                      <w:lang w:eastAsia="ja-JP"/>
                    </w:rPr>
                    <w:t>②</w:t>
                  </w:r>
                  <w:r>
                    <w:rPr>
                      <w:rFonts w:hint="default" w:ascii="Times New Roman" w:hAnsi="Times New Roman" w:cs="Times New Roman" w:eastAsiaTheme="minorEastAsia"/>
                      <w:color w:val="auto"/>
                      <w:szCs w:val="21"/>
                    </w:rPr>
                    <w:t>初期雨水</w:t>
                  </w:r>
                  <w:r>
                    <w:rPr>
                      <w:rFonts w:hint="default" w:ascii="Times New Roman" w:hAnsi="Times New Roman" w:cs="Times New Roman" w:eastAsiaTheme="minorEastAsia"/>
                      <w:color w:val="auto"/>
                    </w:rPr>
                    <w:t>经待拆车辆存放区四周排水沟汇入厂区一座</w:t>
                  </w:r>
                  <w:r>
                    <w:rPr>
                      <w:rFonts w:hint="default"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初期雨水收集池内，经油水分离器隔油处理</w:t>
                  </w:r>
                  <w:r>
                    <w:rPr>
                      <w:rFonts w:hint="default" w:ascii="Times New Roman" w:hAnsi="Times New Roman" w:cs="Times New Roman" w:eastAsiaTheme="minorEastAsia"/>
                      <w:color w:val="auto"/>
                      <w:lang w:val="en-US" w:eastAsia="zh-CN"/>
                    </w:rPr>
                    <w:t>用于厂区洒扫降尘</w:t>
                  </w:r>
                  <w:r>
                    <w:rPr>
                      <w:rFonts w:hint="default" w:ascii="Times New Roman" w:hAnsi="Times New Roman" w:cs="Times New Roman" w:eastAsiaTheme="minorEastAsia"/>
                      <w:color w:val="auto"/>
                    </w:rPr>
                    <w:t>。</w:t>
                  </w:r>
                </w:p>
              </w:tc>
              <w:tc>
                <w:tcPr>
                  <w:tcW w:w="630" w:type="pct"/>
                  <w:vAlign w:val="center"/>
                </w:tcPr>
                <w:p w14:paraId="7FC4AE1A">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lang w:val="en-US" w:eastAsia="zh-CN"/>
                    </w:rPr>
                    <w:t>8</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w:t>
                  </w:r>
                  <w:r>
                    <w:rPr>
                      <w:rFonts w:hint="default" w:ascii="Times New Roman" w:hAnsi="Times New Roman" w:cs="Times New Roman" w:eastAsiaTheme="minorEastAsia"/>
                      <w:color w:val="auto"/>
                      <w:lang w:val="en-US" w:eastAsia="zh-CN"/>
                    </w:rPr>
                    <w:t>变为2</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w:t>
                  </w:r>
                </w:p>
              </w:tc>
            </w:tr>
            <w:tr w14:paraId="2E16C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2CD3E932">
                  <w:pPr>
                    <w:pStyle w:val="39"/>
                    <w:rPr>
                      <w:rFonts w:hint="default" w:ascii="Times New Roman" w:hAnsi="Times New Roman" w:cs="Times New Roman" w:eastAsiaTheme="minorEastAsia"/>
                      <w:color w:val="auto"/>
                      <w:szCs w:val="21"/>
                    </w:rPr>
                  </w:pPr>
                </w:p>
              </w:tc>
              <w:tc>
                <w:tcPr>
                  <w:tcW w:w="500" w:type="pct"/>
                  <w:vAlign w:val="center"/>
                </w:tcPr>
                <w:p w14:paraId="1744EDE5">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供电</w:t>
                  </w:r>
                </w:p>
              </w:tc>
              <w:tc>
                <w:tcPr>
                  <w:tcW w:w="1755" w:type="pct"/>
                  <w:vAlign w:val="center"/>
                </w:tcPr>
                <w:p w14:paraId="446B6220">
                  <w:pPr>
                    <w:pStyle w:val="39"/>
                    <w:jc w:val="left"/>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本项目由市政电网提供。</w:t>
                  </w:r>
                </w:p>
              </w:tc>
              <w:tc>
                <w:tcPr>
                  <w:tcW w:w="1776" w:type="pct"/>
                  <w:vAlign w:val="center"/>
                </w:tcPr>
                <w:p w14:paraId="2148ED53">
                  <w:pPr>
                    <w:pStyle w:val="39"/>
                    <w:jc w:val="left"/>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本项目由市政电网提供。</w:t>
                  </w:r>
                </w:p>
              </w:tc>
              <w:tc>
                <w:tcPr>
                  <w:tcW w:w="630" w:type="pct"/>
                  <w:vAlign w:val="center"/>
                </w:tcPr>
                <w:p w14:paraId="64437996">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r w14:paraId="0E340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47E72835">
                  <w:pPr>
                    <w:pStyle w:val="39"/>
                    <w:rPr>
                      <w:rFonts w:hint="default" w:ascii="Times New Roman" w:hAnsi="Times New Roman" w:cs="Times New Roman" w:eastAsiaTheme="minorEastAsia"/>
                      <w:color w:val="auto"/>
                      <w:szCs w:val="21"/>
                    </w:rPr>
                  </w:pPr>
                </w:p>
              </w:tc>
              <w:tc>
                <w:tcPr>
                  <w:tcW w:w="500" w:type="pct"/>
                  <w:vAlign w:val="center"/>
                </w:tcPr>
                <w:p w14:paraId="67434583">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供热</w:t>
                  </w:r>
                </w:p>
              </w:tc>
              <w:tc>
                <w:tcPr>
                  <w:tcW w:w="1755" w:type="pct"/>
                  <w:vAlign w:val="center"/>
                </w:tcPr>
                <w:p w14:paraId="1A8F87BB">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本项目冬季采取电取暖。</w:t>
                  </w:r>
                </w:p>
              </w:tc>
              <w:tc>
                <w:tcPr>
                  <w:tcW w:w="1776" w:type="pct"/>
                  <w:vAlign w:val="center"/>
                </w:tcPr>
                <w:p w14:paraId="11C07F51">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本项目冬季采取电取暖。</w:t>
                  </w:r>
                </w:p>
              </w:tc>
              <w:tc>
                <w:tcPr>
                  <w:tcW w:w="630" w:type="pct"/>
                  <w:vAlign w:val="center"/>
                </w:tcPr>
                <w:p w14:paraId="48DA56B6">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r w14:paraId="606DD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restart"/>
                  <w:vAlign w:val="center"/>
                </w:tcPr>
                <w:p w14:paraId="2E997B98">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环保工程</w:t>
                  </w:r>
                </w:p>
              </w:tc>
              <w:tc>
                <w:tcPr>
                  <w:tcW w:w="500" w:type="pct"/>
                  <w:vAlign w:val="center"/>
                </w:tcPr>
                <w:p w14:paraId="33DE809B">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废气</w:t>
                  </w:r>
                </w:p>
              </w:tc>
              <w:tc>
                <w:tcPr>
                  <w:tcW w:w="1755" w:type="pct"/>
                  <w:vAlign w:val="center"/>
                </w:tcPr>
                <w:p w14:paraId="1872A45A">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本项目废气主要为拆解车间废气。</w:t>
                  </w:r>
                </w:p>
                <w:p w14:paraId="770E300F">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①粉尘：</w:t>
                  </w:r>
                </w:p>
                <w:p w14:paraId="73056014">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kern w:val="0"/>
                      <w:highlight w:val="none"/>
                    </w:rPr>
                    <w:t>本项目在全封闭拆解车间内切割工位设置移动式</w:t>
                  </w:r>
                  <w:r>
                    <w:rPr>
                      <w:rFonts w:hint="default" w:ascii="Times New Roman" w:hAnsi="Times New Roman" w:cs="Times New Roman" w:eastAsiaTheme="minorEastAsia"/>
                      <w:color w:val="auto"/>
                      <w:kern w:val="0"/>
                      <w:highlight w:val="none"/>
                      <w:lang w:val="en-US" w:eastAsia="zh-CN"/>
                    </w:rPr>
                    <w:t>布袋除尘</w:t>
                  </w:r>
                  <w:r>
                    <w:rPr>
                      <w:rFonts w:hint="default" w:ascii="Times New Roman" w:hAnsi="Times New Roman" w:cs="Times New Roman" w:eastAsiaTheme="minorEastAsia"/>
                      <w:color w:val="auto"/>
                      <w:kern w:val="0"/>
                      <w:highlight w:val="none"/>
                    </w:rPr>
                    <w:t>器，除尘效率按99%计，净化处理后排出的气体经车间侧壁通风设施以无组织形式排放。</w:t>
                  </w:r>
                  <w:r>
                    <w:rPr>
                      <w:rFonts w:hint="default" w:ascii="Times New Roman" w:hAnsi="Times New Roman" w:cs="Times New Roman" w:eastAsiaTheme="minorEastAsia"/>
                      <w:color w:val="auto"/>
                      <w:szCs w:val="21"/>
                      <w:highlight w:val="none"/>
                    </w:rPr>
                    <w:t>拆解工段无组织颗粒物排放浓度执行《大气污染物综合排放标准》（GB16297-1996）表2中无组织排放监控浓度限值要求。</w:t>
                  </w:r>
                </w:p>
                <w:p w14:paraId="0D103937">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②非甲烷总烃：</w:t>
                  </w:r>
                </w:p>
                <w:p w14:paraId="6FA53B3F">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在</w:t>
                  </w:r>
                  <w:r>
                    <w:rPr>
                      <w:rFonts w:hint="default" w:ascii="Times New Roman" w:hAnsi="Times New Roman" w:cs="Times New Roman" w:eastAsiaTheme="minorEastAsia"/>
                      <w:color w:val="auto"/>
                      <w:szCs w:val="21"/>
                      <w:highlight w:val="none"/>
                      <w:lang w:val="en-US" w:eastAsia="zh-CN"/>
                    </w:rPr>
                    <w:t>油液抽取</w:t>
                  </w:r>
                  <w:r>
                    <w:rPr>
                      <w:rFonts w:hint="default" w:ascii="Times New Roman" w:hAnsi="Times New Roman" w:cs="Times New Roman" w:eastAsiaTheme="minorEastAsia"/>
                      <w:color w:val="auto"/>
                      <w:szCs w:val="21"/>
                      <w:highlight w:val="none"/>
                    </w:rPr>
                    <w:t>工序上方设置集气罩（收集效率80%）+活性炭吸附（吸附效率60%）装置进行处理，车间应设置抽排风系统进行车间换气，有机废气通过无组织方式排至室外</w:t>
                  </w:r>
                  <w:r>
                    <w:rPr>
                      <w:rFonts w:hint="default" w:ascii="Times New Roman" w:hAnsi="Times New Roman"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p w14:paraId="6656DAE0">
                  <w:pPr>
                    <w:pStyle w:val="39"/>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rPr>
                    <w:fldChar w:fldCharType="begin"/>
                  </w:r>
                  <w:r>
                    <w:rPr>
                      <w:rFonts w:hint="default" w:ascii="Times New Roman" w:hAnsi="Times New Roman" w:cs="Times New Roman" w:eastAsiaTheme="minorEastAsia"/>
                      <w:color w:val="auto"/>
                      <w:szCs w:val="21"/>
                      <w:highlight w:val="none"/>
                    </w:rPr>
                    <w:instrText xml:space="preserve"> = 3 \* GB3 \* MERGEFORMAT </w:instrText>
                  </w:r>
                  <w:r>
                    <w:rPr>
                      <w:rFonts w:hint="default" w:ascii="Times New Roman" w:hAnsi="Times New Roman" w:cs="Times New Roman" w:eastAsiaTheme="minorEastAsia"/>
                      <w:color w:val="auto"/>
                      <w:szCs w:val="21"/>
                      <w:highlight w:val="none"/>
                    </w:rPr>
                    <w:fldChar w:fldCharType="separate"/>
                  </w:r>
                  <w:r>
                    <w:rPr>
                      <w:rFonts w:hint="default" w:ascii="Times New Roman" w:hAnsi="Times New Roman" w:cs="Times New Roman" w:eastAsiaTheme="minorEastAsia"/>
                      <w:color w:val="auto"/>
                      <w:highlight w:val="none"/>
                    </w:rPr>
                    <w:t>③</w:t>
                  </w:r>
                  <w:r>
                    <w:rPr>
                      <w:rFonts w:hint="default" w:ascii="Times New Roman" w:hAnsi="Times New Roman" w:cs="Times New Roman" w:eastAsiaTheme="minorEastAsia"/>
                      <w:color w:val="auto"/>
                      <w:szCs w:val="21"/>
                      <w:highlight w:val="none"/>
                    </w:rPr>
                    <w:fldChar w:fldCharType="end"/>
                  </w:r>
                  <w:r>
                    <w:rPr>
                      <w:rFonts w:hint="default" w:ascii="Times New Roman" w:hAnsi="Times New Roman" w:cs="Times New Roman" w:eastAsiaTheme="minorEastAsia"/>
                      <w:color w:val="auto"/>
                      <w:szCs w:val="21"/>
                      <w:highlight w:val="none"/>
                      <w:lang w:val="en-US" w:eastAsia="zh-CN"/>
                    </w:rPr>
                    <w:t>危废贮存库：</w:t>
                  </w:r>
                </w:p>
                <w:p w14:paraId="4EA87CE1">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lang w:val="en-US" w:eastAsia="zh-CN"/>
                    </w:rPr>
                    <w:t>本项目危废贮存库内的危险废物产生的非甲烷总烃，采用活性炭吸附（吸附效率90%）处理后由1根15m高排气筒P1排放。非甲烷总烃排放浓度满足《大气污染物综合排放标准》（GB16297-1996）表2排放浓度限值。</w:t>
                  </w:r>
                </w:p>
              </w:tc>
              <w:tc>
                <w:tcPr>
                  <w:tcW w:w="1776" w:type="pct"/>
                  <w:vAlign w:val="center"/>
                </w:tcPr>
                <w:p w14:paraId="0D50E326">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本项目废气主要为拆解车间废气。</w:t>
                  </w:r>
                </w:p>
                <w:p w14:paraId="13764DD8">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①粉尘：</w:t>
                  </w:r>
                </w:p>
                <w:p w14:paraId="4EFB09F7">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kern w:val="0"/>
                    </w:rPr>
                    <w:t>本项目在全封闭拆解车间内</w:t>
                  </w:r>
                  <w:r>
                    <w:rPr>
                      <w:rFonts w:hint="eastAsia" w:ascii="Times New Roman" w:hAnsi="Times New Roman" w:cs="Times New Roman" w:eastAsiaTheme="minorEastAsia"/>
                      <w:color w:val="auto"/>
                      <w:kern w:val="0"/>
                      <w:lang w:val="en-US" w:eastAsia="zh-CN"/>
                    </w:rPr>
                    <w:t>设置固定</w:t>
                  </w:r>
                  <w:r>
                    <w:rPr>
                      <w:rFonts w:hint="default" w:ascii="Times New Roman" w:hAnsi="Times New Roman" w:cs="Times New Roman" w:eastAsiaTheme="minorEastAsia"/>
                      <w:color w:val="auto"/>
                      <w:kern w:val="0"/>
                    </w:rPr>
                    <w:t>切割工位</w:t>
                  </w:r>
                  <w:r>
                    <w:rPr>
                      <w:rFonts w:hint="eastAsia" w:ascii="Times New Roman" w:hAnsi="Times New Roman" w:cs="Times New Roman" w:eastAsiaTheme="minorEastAsia"/>
                      <w:color w:val="auto"/>
                      <w:kern w:val="0"/>
                      <w:highlight w:val="none"/>
                      <w:lang w:val="en-US" w:eastAsia="zh-CN"/>
                    </w:rPr>
                    <w:t>并配套设置一套固定</w:t>
                  </w:r>
                  <w:r>
                    <w:rPr>
                      <w:rFonts w:hint="default" w:ascii="Times New Roman" w:hAnsi="Times New Roman" w:cs="Times New Roman" w:eastAsiaTheme="minorEastAsia"/>
                      <w:color w:val="auto"/>
                      <w:kern w:val="0"/>
                      <w:highlight w:val="none"/>
                      <w:lang w:val="en-US" w:eastAsia="zh-CN"/>
                    </w:rPr>
                    <w:t>布袋除尘</w:t>
                  </w:r>
                  <w:r>
                    <w:rPr>
                      <w:rFonts w:hint="default" w:ascii="Times New Roman" w:hAnsi="Times New Roman" w:cs="Times New Roman" w:eastAsiaTheme="minorEastAsia"/>
                      <w:color w:val="auto"/>
                      <w:kern w:val="0"/>
                      <w:highlight w:val="none"/>
                    </w:rPr>
                    <w:t>器</w:t>
                  </w:r>
                  <w:r>
                    <w:rPr>
                      <w:rFonts w:hint="default" w:ascii="Times New Roman" w:hAnsi="Times New Roman" w:cs="Times New Roman" w:eastAsiaTheme="minorEastAsia"/>
                      <w:color w:val="auto"/>
                      <w:kern w:val="0"/>
                    </w:rPr>
                    <w:t>，</w:t>
                  </w:r>
                  <w:r>
                    <w:rPr>
                      <w:rFonts w:hint="eastAsia" w:ascii="Times New Roman" w:hAnsi="Times New Roman" w:cs="Times New Roman" w:eastAsiaTheme="minorEastAsia"/>
                      <w:color w:val="auto"/>
                      <w:kern w:val="0"/>
                      <w:lang w:val="en-US" w:eastAsia="zh-CN"/>
                    </w:rPr>
                    <w:t>经集气罩收集后进入</w:t>
                  </w:r>
                  <w:r>
                    <w:rPr>
                      <w:rFonts w:hint="default" w:ascii="Times New Roman" w:hAnsi="Times New Roman" w:cs="Times New Roman" w:eastAsiaTheme="minorEastAsia"/>
                      <w:color w:val="auto"/>
                      <w:kern w:val="0"/>
                      <w:lang w:eastAsia="zh-CN"/>
                    </w:rPr>
                    <w:t>布袋除尘器</w:t>
                  </w:r>
                  <w:r>
                    <w:rPr>
                      <w:rFonts w:hint="default" w:ascii="Times New Roman" w:hAnsi="Times New Roman" w:cs="Times New Roman" w:eastAsiaTheme="minorEastAsia"/>
                      <w:color w:val="auto"/>
                      <w:kern w:val="0"/>
                      <w:lang w:val="en-US" w:eastAsia="zh-CN"/>
                    </w:rPr>
                    <w:t>后由1根15m高排气筒</w:t>
                  </w:r>
                  <w:r>
                    <w:rPr>
                      <w:rFonts w:hint="eastAsia" w:ascii="Times New Roman" w:hAnsi="Times New Roman" w:cs="Times New Roman" w:eastAsiaTheme="minorEastAsia"/>
                      <w:color w:val="auto"/>
                      <w:kern w:val="0"/>
                      <w:lang w:val="en-US" w:eastAsia="zh-CN"/>
                    </w:rPr>
                    <w:t>DA001</w:t>
                  </w:r>
                  <w:r>
                    <w:rPr>
                      <w:rFonts w:hint="default" w:ascii="Times New Roman" w:hAnsi="Times New Roman" w:cs="Times New Roman" w:eastAsiaTheme="minorEastAsia"/>
                      <w:color w:val="auto"/>
                      <w:kern w:val="0"/>
                      <w:lang w:val="en-US" w:eastAsia="zh-CN"/>
                    </w:rPr>
                    <w:t>排放</w:t>
                  </w:r>
                  <w:r>
                    <w:rPr>
                      <w:rFonts w:hint="eastAsia" w:ascii="Times New Roman" w:hAnsi="Times New Roman" w:cs="Times New Roman" w:eastAsiaTheme="minorEastAsia"/>
                      <w:color w:val="auto"/>
                      <w:kern w:val="0"/>
                      <w:lang w:val="en-US" w:eastAsia="zh-CN"/>
                    </w:rPr>
                    <w:t>。</w:t>
                  </w:r>
                  <w:r>
                    <w:rPr>
                      <w:rFonts w:hint="default" w:ascii="Times New Roman" w:hAnsi="Times New Roman" w:cs="Times New Roman" w:eastAsiaTheme="minorEastAsia"/>
                      <w:color w:val="auto"/>
                      <w:szCs w:val="21"/>
                      <w:highlight w:val="none"/>
                    </w:rPr>
                    <w:t>拆解工段颗粒物排放浓度执行《大气污染物综合排放标准》（GB16297-1996）表2中排放监控浓度限值要求。</w:t>
                  </w:r>
                </w:p>
                <w:p w14:paraId="3601E6AA">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②非甲烷总烃：</w:t>
                  </w:r>
                </w:p>
                <w:p w14:paraId="15658103">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在</w:t>
                  </w:r>
                  <w:r>
                    <w:rPr>
                      <w:rFonts w:hint="default" w:ascii="Times New Roman" w:hAnsi="Times New Roman" w:cs="Times New Roman" w:eastAsiaTheme="minorEastAsia"/>
                      <w:color w:val="auto"/>
                      <w:szCs w:val="21"/>
                      <w:highlight w:val="none"/>
                      <w:lang w:val="en-US" w:eastAsia="zh-CN"/>
                    </w:rPr>
                    <w:t>油液抽取</w:t>
                  </w:r>
                  <w:r>
                    <w:rPr>
                      <w:rFonts w:hint="default" w:ascii="Times New Roman" w:hAnsi="Times New Roman" w:cs="Times New Roman" w:eastAsiaTheme="minorEastAsia"/>
                      <w:color w:val="auto"/>
                      <w:szCs w:val="21"/>
                      <w:highlight w:val="none"/>
                    </w:rPr>
                    <w:t>工序上方设置集气罩+活性炭吸附装置进行处理，车间应设置抽排风系统进行车间换气，有机废气通过无组织方式排至室外</w:t>
                  </w:r>
                  <w:r>
                    <w:rPr>
                      <w:rFonts w:hint="default" w:ascii="Times New Roman" w:hAnsi="Times New Roman"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p w14:paraId="7F9CC82C">
                  <w:pPr>
                    <w:pStyle w:val="39"/>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rPr>
                    <w:fldChar w:fldCharType="begin"/>
                  </w:r>
                  <w:r>
                    <w:rPr>
                      <w:rFonts w:hint="default" w:ascii="Times New Roman" w:hAnsi="Times New Roman" w:cs="Times New Roman" w:eastAsiaTheme="minorEastAsia"/>
                      <w:color w:val="auto"/>
                      <w:szCs w:val="21"/>
                      <w:highlight w:val="none"/>
                    </w:rPr>
                    <w:instrText xml:space="preserve"> = 3 \* GB3 \* MERGEFORMAT </w:instrText>
                  </w:r>
                  <w:r>
                    <w:rPr>
                      <w:rFonts w:hint="default" w:ascii="Times New Roman" w:hAnsi="Times New Roman" w:cs="Times New Roman" w:eastAsiaTheme="minorEastAsia"/>
                      <w:color w:val="auto"/>
                      <w:szCs w:val="21"/>
                      <w:highlight w:val="none"/>
                    </w:rPr>
                    <w:fldChar w:fldCharType="separate"/>
                  </w:r>
                  <w:r>
                    <w:rPr>
                      <w:rFonts w:hint="default" w:ascii="Times New Roman" w:hAnsi="Times New Roman" w:cs="Times New Roman" w:eastAsiaTheme="minorEastAsia"/>
                      <w:color w:val="auto"/>
                      <w:highlight w:val="none"/>
                    </w:rPr>
                    <w:t>③</w:t>
                  </w:r>
                  <w:r>
                    <w:rPr>
                      <w:rFonts w:hint="default" w:ascii="Times New Roman" w:hAnsi="Times New Roman" w:cs="Times New Roman" w:eastAsiaTheme="minorEastAsia"/>
                      <w:color w:val="auto"/>
                      <w:szCs w:val="21"/>
                      <w:highlight w:val="none"/>
                    </w:rPr>
                    <w:fldChar w:fldCharType="end"/>
                  </w:r>
                  <w:r>
                    <w:rPr>
                      <w:rFonts w:hint="default" w:ascii="Times New Roman" w:hAnsi="Times New Roman" w:cs="Times New Roman" w:eastAsiaTheme="minorEastAsia"/>
                      <w:color w:val="auto"/>
                      <w:szCs w:val="21"/>
                      <w:highlight w:val="none"/>
                      <w:lang w:val="en-US" w:eastAsia="zh-CN"/>
                    </w:rPr>
                    <w:t>危废贮存库：</w:t>
                  </w:r>
                </w:p>
                <w:p w14:paraId="10380474">
                  <w:pPr>
                    <w:pStyle w:val="39"/>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highlight w:val="none"/>
                      <w:lang w:val="en-US" w:eastAsia="zh-CN"/>
                    </w:rPr>
                    <w:t>本项目危废贮存库内的危险废物产生的非甲烷总烃，采用活性炭吸附处理后由1根15m高排气筒P1排放。非甲烷总烃排放浓度满足《大气污染物综合排放标准》（GB16297-1996）表2排放浓度限值。</w:t>
                  </w:r>
                </w:p>
              </w:tc>
              <w:tc>
                <w:tcPr>
                  <w:tcW w:w="630" w:type="pct"/>
                  <w:vAlign w:val="center"/>
                </w:tcPr>
                <w:p w14:paraId="789CABFC">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kern w:val="0"/>
                      <w:highlight w:val="none"/>
                    </w:rPr>
                    <w:t>移动式</w:t>
                  </w:r>
                  <w:r>
                    <w:rPr>
                      <w:rFonts w:hint="default" w:ascii="Times New Roman" w:hAnsi="Times New Roman" w:cs="Times New Roman" w:eastAsiaTheme="minorEastAsia"/>
                      <w:color w:val="auto"/>
                      <w:kern w:val="0"/>
                      <w:highlight w:val="none"/>
                      <w:lang w:val="en-US" w:eastAsia="zh-CN"/>
                    </w:rPr>
                    <w:t>布袋除尘</w:t>
                  </w:r>
                  <w:r>
                    <w:rPr>
                      <w:rFonts w:hint="default" w:ascii="Times New Roman" w:hAnsi="Times New Roman" w:cs="Times New Roman" w:eastAsiaTheme="minorEastAsia"/>
                      <w:color w:val="auto"/>
                      <w:kern w:val="0"/>
                      <w:highlight w:val="none"/>
                    </w:rPr>
                    <w:t>器</w:t>
                  </w:r>
                  <w:r>
                    <w:rPr>
                      <w:rFonts w:hint="default" w:ascii="Times New Roman" w:hAnsi="Times New Roman" w:cs="Times New Roman" w:eastAsiaTheme="minorEastAsia"/>
                      <w:color w:val="auto"/>
                      <w:kern w:val="0"/>
                      <w:highlight w:val="none"/>
                      <w:lang w:val="en-US" w:eastAsia="zh-CN"/>
                    </w:rPr>
                    <w:t>变为</w:t>
                  </w:r>
                  <w:r>
                    <w:rPr>
                      <w:rFonts w:hint="eastAsia" w:ascii="Times New Roman" w:hAnsi="Times New Roman" w:cs="Times New Roman" w:eastAsiaTheme="minorEastAsia"/>
                      <w:color w:val="auto"/>
                      <w:kern w:val="0"/>
                      <w:highlight w:val="none"/>
                      <w:lang w:val="en-US" w:eastAsia="zh-CN"/>
                    </w:rPr>
                    <w:t>固定式</w:t>
                  </w:r>
                  <w:r>
                    <w:rPr>
                      <w:rFonts w:hint="default" w:ascii="Times New Roman" w:hAnsi="Times New Roman" w:cs="Times New Roman" w:eastAsiaTheme="minorEastAsia"/>
                      <w:color w:val="auto"/>
                      <w:kern w:val="0"/>
                      <w:highlight w:val="none"/>
                      <w:lang w:val="en-US" w:eastAsia="zh-CN"/>
                    </w:rPr>
                    <w:t>布袋除尘器</w:t>
                  </w:r>
                  <w:r>
                    <w:rPr>
                      <w:rFonts w:hint="eastAsia" w:ascii="Times New Roman" w:hAnsi="Times New Roman" w:cs="Times New Roman" w:eastAsiaTheme="minorEastAsia"/>
                      <w:color w:val="auto"/>
                      <w:kern w:val="0"/>
                      <w:highlight w:val="none"/>
                      <w:lang w:val="en-US" w:eastAsia="zh-CN"/>
                    </w:rPr>
                    <w:t>，拆解工段颗粒物无组织排放变为有组织排放。</w:t>
                  </w:r>
                </w:p>
              </w:tc>
            </w:tr>
            <w:tr w14:paraId="66E97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36011E26">
                  <w:pPr>
                    <w:pStyle w:val="39"/>
                    <w:rPr>
                      <w:rFonts w:hint="default" w:ascii="Times New Roman" w:hAnsi="Times New Roman" w:cs="Times New Roman" w:eastAsiaTheme="minorEastAsia"/>
                      <w:color w:val="auto"/>
                      <w:szCs w:val="21"/>
                    </w:rPr>
                  </w:pPr>
                </w:p>
              </w:tc>
              <w:tc>
                <w:tcPr>
                  <w:tcW w:w="500" w:type="pct"/>
                  <w:vAlign w:val="center"/>
                </w:tcPr>
                <w:p w14:paraId="30AA40F4">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废水</w:t>
                  </w:r>
                </w:p>
              </w:tc>
              <w:tc>
                <w:tcPr>
                  <w:tcW w:w="1755" w:type="pct"/>
                  <w:vAlign w:val="center"/>
                </w:tcPr>
                <w:p w14:paraId="1392D68A">
                  <w:pPr>
                    <w:pStyle w:val="39"/>
                    <w:jc w:val="both"/>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生活污水排入</w:t>
                  </w:r>
                  <w:r>
                    <w:rPr>
                      <w:rFonts w:hint="default" w:ascii="Times New Roman" w:hAnsi="Times New Roman" w:cs="Times New Roman" w:eastAsiaTheme="minorEastAsia"/>
                      <w:color w:val="auto"/>
                      <w:szCs w:val="21"/>
                      <w:highlight w:val="none"/>
                      <w:lang w:val="en-US" w:eastAsia="zh-CN"/>
                    </w:rPr>
                    <w:t>防渗旱厕，定期清掏</w:t>
                  </w:r>
                  <w:r>
                    <w:rPr>
                      <w:rFonts w:hint="default" w:ascii="Times New Roman" w:hAnsi="Times New Roman" w:cs="Times New Roman" w:eastAsiaTheme="minorEastAsia"/>
                      <w:color w:val="auto"/>
                      <w:highlight w:val="none"/>
                      <w:lang w:val="en-US" w:eastAsia="zh-CN"/>
                    </w:rPr>
                    <w:t>。</w:t>
                  </w:r>
                  <w:r>
                    <w:rPr>
                      <w:rFonts w:hint="default" w:ascii="Times New Roman" w:hAnsi="Times New Roman" w:cs="Times New Roman" w:eastAsiaTheme="minorEastAsia"/>
                      <w:color w:val="auto"/>
                      <w:szCs w:val="21"/>
                      <w:highlight w:val="none"/>
                    </w:rPr>
                    <w:t>初期雨水</w:t>
                  </w:r>
                  <w:r>
                    <w:rPr>
                      <w:rFonts w:hint="default" w:ascii="Times New Roman" w:hAnsi="Times New Roman" w:cs="Times New Roman" w:eastAsiaTheme="minorEastAsia"/>
                      <w:color w:val="auto"/>
                      <w:highlight w:val="none"/>
                    </w:rPr>
                    <w:t>经待拆车辆存放区四周排水沟汇入厂区一座</w:t>
                  </w:r>
                  <w:r>
                    <w:rPr>
                      <w:rFonts w:hint="default" w:ascii="Times New Roman" w:hAnsi="Times New Roman" w:cs="Times New Roman" w:eastAsiaTheme="minorEastAsia"/>
                      <w:color w:val="auto"/>
                      <w:highlight w:val="none"/>
                      <w:lang w:val="en-US" w:eastAsia="zh-CN"/>
                    </w:rPr>
                    <w:t>8</w:t>
                  </w:r>
                  <w:r>
                    <w:rPr>
                      <w:rFonts w:hint="default" w:ascii="Times New Roman" w:hAnsi="Times New Roman" w:cs="Times New Roman" w:eastAsiaTheme="minorEastAsia"/>
                      <w:color w:val="auto"/>
                      <w:highlight w:val="none"/>
                    </w:rPr>
                    <w:t>0m</w:t>
                  </w:r>
                  <w:r>
                    <w:rPr>
                      <w:rFonts w:hint="default" w:ascii="Times New Roman" w:hAnsi="Times New Roman" w:cs="Times New Roman" w:eastAsiaTheme="minorEastAsia"/>
                      <w:color w:val="auto"/>
                      <w:highlight w:val="none"/>
                      <w:vertAlign w:val="superscript"/>
                    </w:rPr>
                    <w:t>3</w:t>
                  </w:r>
                  <w:r>
                    <w:rPr>
                      <w:rFonts w:hint="default" w:ascii="Times New Roman" w:hAnsi="Times New Roman" w:cs="Times New Roman" w:eastAsiaTheme="minorEastAsia"/>
                      <w:color w:val="auto"/>
                      <w:highlight w:val="none"/>
                    </w:rPr>
                    <w:t>初期雨水收集池内，经油水分离器隔油处理</w:t>
                  </w:r>
                  <w:r>
                    <w:rPr>
                      <w:rFonts w:hint="default" w:ascii="Times New Roman" w:hAnsi="Times New Roman" w:cs="Times New Roman" w:eastAsiaTheme="minorEastAsia"/>
                      <w:color w:val="auto"/>
                      <w:highlight w:val="none"/>
                      <w:lang w:val="en-US" w:eastAsia="zh-CN"/>
                    </w:rPr>
                    <w:t>用于厂区洒扫降尘</w:t>
                  </w:r>
                  <w:r>
                    <w:rPr>
                      <w:rFonts w:hint="default" w:ascii="Times New Roman" w:hAnsi="Times New Roman" w:cs="Times New Roman" w:eastAsiaTheme="minorEastAsia"/>
                      <w:color w:val="auto"/>
                      <w:highlight w:val="none"/>
                    </w:rPr>
                    <w:t>。</w:t>
                  </w:r>
                </w:p>
              </w:tc>
              <w:tc>
                <w:tcPr>
                  <w:tcW w:w="1776" w:type="pct"/>
                  <w:vAlign w:val="center"/>
                </w:tcPr>
                <w:p w14:paraId="51323283">
                  <w:pPr>
                    <w:pStyle w:val="39"/>
                    <w:jc w:val="both"/>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生活污水排入</w:t>
                  </w:r>
                  <w:r>
                    <w:rPr>
                      <w:rFonts w:hint="default" w:ascii="Times New Roman" w:hAnsi="Times New Roman" w:cs="Times New Roman" w:eastAsiaTheme="minorEastAsia"/>
                      <w:color w:val="auto"/>
                      <w:szCs w:val="21"/>
                      <w:lang w:val="en-US" w:eastAsia="zh-CN"/>
                    </w:rPr>
                    <w:t>防渗旱厕，定期清掏</w:t>
                  </w:r>
                  <w:r>
                    <w:rPr>
                      <w:rFonts w:hint="default" w:ascii="Times New Roman" w:hAnsi="Times New Roman" w:cs="Times New Roman" w:eastAsiaTheme="minorEastAsia"/>
                      <w:color w:val="auto"/>
                      <w:lang w:val="en-US" w:eastAsia="zh-CN"/>
                    </w:rPr>
                    <w:t>。</w:t>
                  </w:r>
                  <w:r>
                    <w:rPr>
                      <w:rFonts w:hint="default" w:ascii="Times New Roman" w:hAnsi="Times New Roman" w:cs="Times New Roman" w:eastAsiaTheme="minorEastAsia"/>
                      <w:color w:val="auto"/>
                      <w:szCs w:val="21"/>
                    </w:rPr>
                    <w:t>初期雨水</w:t>
                  </w:r>
                  <w:r>
                    <w:rPr>
                      <w:rFonts w:hint="default" w:ascii="Times New Roman" w:hAnsi="Times New Roman" w:cs="Times New Roman" w:eastAsiaTheme="minorEastAsia"/>
                      <w:color w:val="auto"/>
                    </w:rPr>
                    <w:t>经待拆车辆存放区四周排水沟汇入厂区一座</w:t>
                  </w:r>
                  <w:r>
                    <w:rPr>
                      <w:rFonts w:hint="default"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初期雨水收集池内，经油水分离器隔油处理</w:t>
                  </w:r>
                  <w:r>
                    <w:rPr>
                      <w:rFonts w:hint="default" w:ascii="Times New Roman" w:hAnsi="Times New Roman" w:cs="Times New Roman" w:eastAsiaTheme="minorEastAsia"/>
                      <w:color w:val="auto"/>
                      <w:lang w:val="en-US" w:eastAsia="zh-CN"/>
                    </w:rPr>
                    <w:t>用于厂区洒扫降尘</w:t>
                  </w:r>
                  <w:r>
                    <w:rPr>
                      <w:rFonts w:hint="default" w:ascii="Times New Roman" w:hAnsi="Times New Roman" w:cs="Times New Roman" w:eastAsiaTheme="minorEastAsia"/>
                      <w:color w:val="auto"/>
                    </w:rPr>
                    <w:t>。</w:t>
                  </w:r>
                </w:p>
              </w:tc>
              <w:tc>
                <w:tcPr>
                  <w:tcW w:w="630" w:type="pct"/>
                  <w:vAlign w:val="center"/>
                </w:tcPr>
                <w:p w14:paraId="1F813F55">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lang w:val="en-US" w:eastAsia="zh-CN"/>
                    </w:rPr>
                    <w:t>8</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w:t>
                  </w:r>
                  <w:r>
                    <w:rPr>
                      <w:rFonts w:hint="default" w:ascii="Times New Roman" w:hAnsi="Times New Roman" w:cs="Times New Roman" w:eastAsiaTheme="minorEastAsia"/>
                      <w:color w:val="auto"/>
                      <w:lang w:val="en-US" w:eastAsia="zh-CN"/>
                    </w:rPr>
                    <w:t>变为2</w:t>
                  </w:r>
                  <w:r>
                    <w:rPr>
                      <w:rFonts w:hint="default" w:ascii="Times New Roman" w:hAnsi="Times New Roman" w:cs="Times New Roman" w:eastAsiaTheme="minorEastAsia"/>
                      <w:color w:val="auto"/>
                    </w:rPr>
                    <w:t>0m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初期雨水收集池</w:t>
                  </w:r>
                </w:p>
              </w:tc>
            </w:tr>
            <w:tr w14:paraId="5FA19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5AE7005F">
                  <w:pPr>
                    <w:pStyle w:val="39"/>
                    <w:rPr>
                      <w:rFonts w:hint="default" w:ascii="Times New Roman" w:hAnsi="Times New Roman" w:cs="Times New Roman" w:eastAsiaTheme="minorEastAsia"/>
                      <w:color w:val="auto"/>
                      <w:szCs w:val="21"/>
                    </w:rPr>
                  </w:pPr>
                </w:p>
              </w:tc>
              <w:tc>
                <w:tcPr>
                  <w:tcW w:w="500" w:type="pct"/>
                  <w:vAlign w:val="center"/>
                </w:tcPr>
                <w:p w14:paraId="2FE0908C">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噪声</w:t>
                  </w:r>
                </w:p>
              </w:tc>
              <w:tc>
                <w:tcPr>
                  <w:tcW w:w="1755" w:type="pct"/>
                  <w:vAlign w:val="center"/>
                </w:tcPr>
                <w:p w14:paraId="404E7FE9">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采取选用低噪声设备，通过厂房隔声、基础减振等措施，限制噪声向外传播。生产中产生的噪声通过厂房、厂区距离衰减后对外环境影响较小，厂界噪声可满足《工业企业厂界环境噪声排放标准》（GB12348-2008）表1中2类标准要求。</w:t>
                  </w:r>
                </w:p>
              </w:tc>
              <w:tc>
                <w:tcPr>
                  <w:tcW w:w="1776" w:type="pct"/>
                  <w:vAlign w:val="center"/>
                </w:tcPr>
                <w:p w14:paraId="33F97C13">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采取选用低噪声设备，通过厂房隔声、基础减振等措施，限制噪声向外传播。生产中产生的噪声通过厂房、厂区距离衰减后对外环境影响较小，厂界噪声可满足《工业企业厂界环境噪声排放标准》（GB12348-2008）表1中2类标准要求。</w:t>
                  </w:r>
                </w:p>
              </w:tc>
              <w:tc>
                <w:tcPr>
                  <w:tcW w:w="630" w:type="pct"/>
                  <w:vAlign w:val="center"/>
                </w:tcPr>
                <w:p w14:paraId="4AD809D9">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r w14:paraId="13064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4814C62A">
                  <w:pPr>
                    <w:pStyle w:val="39"/>
                    <w:rPr>
                      <w:rFonts w:hint="default" w:ascii="Times New Roman" w:hAnsi="Times New Roman" w:cs="Times New Roman" w:eastAsiaTheme="minorEastAsia"/>
                      <w:color w:val="auto"/>
                      <w:szCs w:val="21"/>
                    </w:rPr>
                  </w:pPr>
                </w:p>
              </w:tc>
              <w:tc>
                <w:tcPr>
                  <w:tcW w:w="500" w:type="pct"/>
                  <w:vAlign w:val="center"/>
                </w:tcPr>
                <w:p w14:paraId="0DC1A84C">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固体</w:t>
                  </w:r>
                </w:p>
                <w:p w14:paraId="310B541F">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废物</w:t>
                  </w:r>
                </w:p>
              </w:tc>
              <w:tc>
                <w:tcPr>
                  <w:tcW w:w="1755" w:type="pct"/>
                  <w:vAlign w:val="center"/>
                </w:tcPr>
                <w:p w14:paraId="04DE7D4C">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（1）生活垃圾：集中收集，</w:t>
                  </w:r>
                  <w:r>
                    <w:rPr>
                      <w:rFonts w:hint="default" w:ascii="Times New Roman" w:hAnsi="Times New Roman" w:cs="Times New Roman" w:eastAsiaTheme="minorEastAsia"/>
                      <w:color w:val="auto"/>
                      <w:szCs w:val="21"/>
                      <w:highlight w:val="none"/>
                      <w:lang w:val="en-US" w:eastAsia="zh-CN"/>
                    </w:rPr>
                    <w:t>定期</w:t>
                  </w:r>
                  <w:r>
                    <w:rPr>
                      <w:rFonts w:hint="default" w:ascii="Times New Roman" w:hAnsi="Times New Roman" w:cs="Times New Roman" w:eastAsiaTheme="minorEastAsia"/>
                      <w:color w:val="auto"/>
                      <w:szCs w:val="21"/>
                      <w:highlight w:val="none"/>
                    </w:rPr>
                    <w:t>清运；</w:t>
                  </w:r>
                </w:p>
                <w:p w14:paraId="0768C681">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（2）一般固体废物：</w:t>
                  </w:r>
                </w:p>
                <w:p w14:paraId="0FE17005">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①</w:t>
                  </w:r>
                  <w:r>
                    <w:rPr>
                      <w:rFonts w:hint="default" w:ascii="Times New Roman" w:hAnsi="Times New Roman" w:cs="Times New Roman" w:eastAsiaTheme="minorEastAsia"/>
                      <w:color w:val="auto"/>
                      <w:szCs w:val="21"/>
                      <w:highlight w:val="none"/>
                      <w:lang w:eastAsia="zh-CN"/>
                    </w:rPr>
                    <w:t>移动式布袋除尘器</w:t>
                  </w:r>
                  <w:r>
                    <w:rPr>
                      <w:rFonts w:hint="default" w:ascii="Times New Roman" w:hAnsi="Times New Roman" w:cs="Times New Roman" w:eastAsiaTheme="minorEastAsia"/>
                      <w:color w:val="auto"/>
                      <w:szCs w:val="21"/>
                      <w:highlight w:val="none"/>
                    </w:rPr>
                    <w:t>收尘：集中收集，外售综合利用。</w:t>
                  </w:r>
                </w:p>
                <w:p w14:paraId="2079C56D">
                  <w:pPr>
                    <w:pStyle w:val="39"/>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rPr>
                    <w:t>②拆解过程产生的一般固体废物：集中收集，外售综合利用。不能外售的与生活垃圾由市政部门统一处理。</w:t>
                  </w:r>
                  <w:r>
                    <w:rPr>
                      <w:rFonts w:hint="default" w:ascii="Times New Roman" w:hAnsi="Times New Roman" w:cs="Times New Roman" w:eastAsiaTheme="minorEastAsia"/>
                      <w:color w:val="auto"/>
                      <w:szCs w:val="21"/>
                      <w:highlight w:val="none"/>
                      <w:lang w:val="en-US" w:eastAsia="zh-CN"/>
                    </w:rPr>
                    <w:t>泥土</w:t>
                  </w:r>
                  <w:r>
                    <w:rPr>
                      <w:rFonts w:hint="default" w:ascii="Times New Roman" w:hAnsi="Times New Roman" w:cs="Times New Roman" w:eastAsiaTheme="minorEastAsia"/>
                      <w:color w:val="auto"/>
                      <w:szCs w:val="21"/>
                      <w:highlight w:val="none"/>
                    </w:rPr>
                    <w:t>由市政部门统一处理。</w:t>
                  </w:r>
                </w:p>
                <w:p w14:paraId="65997354">
                  <w:pPr>
                    <w:pStyle w:val="39"/>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（3）危险废物：分类暂存于</w:t>
                  </w:r>
                  <w:r>
                    <w:rPr>
                      <w:rFonts w:hint="default" w:ascii="Times New Roman" w:hAnsi="Times New Roman" w:cs="Times New Roman" w:eastAsiaTheme="minorEastAsia"/>
                      <w:color w:val="auto"/>
                      <w:szCs w:val="21"/>
                      <w:highlight w:val="none"/>
                      <w:lang w:eastAsia="zh-CN"/>
                    </w:rPr>
                    <w:t>危险废物贮存库</w:t>
                  </w:r>
                  <w:r>
                    <w:rPr>
                      <w:rFonts w:hint="default" w:ascii="Times New Roman" w:hAnsi="Times New Roman" w:cs="Times New Roman" w:eastAsiaTheme="minorEastAsia"/>
                      <w:color w:val="auto"/>
                      <w:szCs w:val="21"/>
                      <w:highlight w:val="none"/>
                    </w:rPr>
                    <w:t>专用容器中，定期交由有资质单位回收处置。</w:t>
                  </w:r>
                </w:p>
              </w:tc>
              <w:tc>
                <w:tcPr>
                  <w:tcW w:w="1776" w:type="pct"/>
                  <w:vAlign w:val="center"/>
                </w:tcPr>
                <w:p w14:paraId="44C5DAF7">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（1）生活垃圾：集中收集，</w:t>
                  </w:r>
                  <w:r>
                    <w:rPr>
                      <w:rFonts w:hint="default" w:ascii="Times New Roman" w:hAnsi="Times New Roman" w:cs="Times New Roman" w:eastAsiaTheme="minorEastAsia"/>
                      <w:color w:val="auto"/>
                      <w:szCs w:val="21"/>
                      <w:lang w:val="en-US" w:eastAsia="zh-CN"/>
                    </w:rPr>
                    <w:t>定期</w:t>
                  </w:r>
                  <w:r>
                    <w:rPr>
                      <w:rFonts w:hint="default" w:ascii="Times New Roman" w:hAnsi="Times New Roman" w:cs="Times New Roman" w:eastAsiaTheme="minorEastAsia"/>
                      <w:color w:val="auto"/>
                      <w:szCs w:val="21"/>
                    </w:rPr>
                    <w:t>清运；</w:t>
                  </w:r>
                </w:p>
                <w:p w14:paraId="29BA57BA">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（2）一般固体废物：</w:t>
                  </w:r>
                </w:p>
                <w:p w14:paraId="4876AC51">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①</w:t>
                  </w:r>
                  <w:r>
                    <w:rPr>
                      <w:rFonts w:hint="default" w:ascii="Times New Roman" w:hAnsi="Times New Roman" w:cs="Times New Roman" w:eastAsiaTheme="minorEastAsia"/>
                      <w:color w:val="auto"/>
                      <w:szCs w:val="21"/>
                      <w:highlight w:val="none"/>
                      <w:lang w:eastAsia="zh-CN"/>
                    </w:rPr>
                    <w:t>布袋除尘器</w:t>
                  </w:r>
                  <w:r>
                    <w:rPr>
                      <w:rFonts w:hint="default" w:ascii="Times New Roman" w:hAnsi="Times New Roman" w:cs="Times New Roman" w:eastAsiaTheme="minorEastAsia"/>
                      <w:color w:val="auto"/>
                      <w:szCs w:val="21"/>
                    </w:rPr>
                    <w:t>收尘：集中收集，外售综合利用。</w:t>
                  </w:r>
                </w:p>
                <w:p w14:paraId="3C3A6E16">
                  <w:pPr>
                    <w:pStyle w:val="39"/>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rPr>
                    <w:t>②拆解过程产生的一般固体废物：集中收集，外售综合利用。不能外售的与生活垃圾由市政部门统一处理。</w:t>
                  </w:r>
                  <w:r>
                    <w:rPr>
                      <w:rFonts w:hint="default" w:ascii="Times New Roman" w:hAnsi="Times New Roman" w:cs="Times New Roman" w:eastAsiaTheme="minorEastAsia"/>
                      <w:color w:val="auto"/>
                      <w:szCs w:val="21"/>
                      <w:lang w:val="en-US" w:eastAsia="zh-CN"/>
                    </w:rPr>
                    <w:t>泥土</w:t>
                  </w:r>
                  <w:r>
                    <w:rPr>
                      <w:rFonts w:hint="default" w:ascii="Times New Roman" w:hAnsi="Times New Roman" w:cs="Times New Roman" w:eastAsiaTheme="minorEastAsia"/>
                      <w:color w:val="auto"/>
                      <w:szCs w:val="21"/>
                    </w:rPr>
                    <w:t>由市政部门统一处理。</w:t>
                  </w:r>
                </w:p>
                <w:p w14:paraId="2CAE079D">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（3）危险废物：分类暂存于</w:t>
                  </w:r>
                  <w:r>
                    <w:rPr>
                      <w:rFonts w:hint="default" w:ascii="Times New Roman" w:hAnsi="Times New Roman" w:cs="Times New Roman" w:eastAsiaTheme="minorEastAsia"/>
                      <w:color w:val="auto"/>
                      <w:szCs w:val="21"/>
                      <w:lang w:eastAsia="zh-CN"/>
                    </w:rPr>
                    <w:t>危险废物贮存库</w:t>
                  </w:r>
                  <w:r>
                    <w:rPr>
                      <w:rFonts w:hint="default" w:ascii="Times New Roman" w:hAnsi="Times New Roman" w:cs="Times New Roman" w:eastAsiaTheme="minorEastAsia"/>
                      <w:color w:val="auto"/>
                      <w:szCs w:val="21"/>
                    </w:rPr>
                    <w:t>专用容器中，定期交由有资质单位回收处置。</w:t>
                  </w:r>
                </w:p>
              </w:tc>
              <w:tc>
                <w:tcPr>
                  <w:tcW w:w="630" w:type="pct"/>
                  <w:vAlign w:val="center"/>
                </w:tcPr>
                <w:p w14:paraId="375AF1F6">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kern w:val="0"/>
                      <w:highlight w:val="none"/>
                    </w:rPr>
                    <w:t>移动式</w:t>
                  </w:r>
                  <w:r>
                    <w:rPr>
                      <w:rFonts w:hint="default" w:ascii="Times New Roman" w:hAnsi="Times New Roman" w:cs="Times New Roman" w:eastAsiaTheme="minorEastAsia"/>
                      <w:color w:val="auto"/>
                      <w:kern w:val="0"/>
                      <w:highlight w:val="none"/>
                      <w:lang w:val="en-US" w:eastAsia="zh-CN"/>
                    </w:rPr>
                    <w:t>布袋除尘</w:t>
                  </w:r>
                  <w:r>
                    <w:rPr>
                      <w:rFonts w:hint="default" w:ascii="Times New Roman" w:hAnsi="Times New Roman" w:cs="Times New Roman" w:eastAsiaTheme="minorEastAsia"/>
                      <w:color w:val="auto"/>
                      <w:kern w:val="0"/>
                      <w:highlight w:val="none"/>
                    </w:rPr>
                    <w:t>器</w:t>
                  </w:r>
                  <w:r>
                    <w:rPr>
                      <w:rFonts w:hint="default" w:ascii="Times New Roman" w:hAnsi="Times New Roman" w:cs="Times New Roman" w:eastAsiaTheme="minorEastAsia"/>
                      <w:color w:val="auto"/>
                      <w:kern w:val="0"/>
                      <w:highlight w:val="none"/>
                      <w:lang w:val="en-US" w:eastAsia="zh-CN"/>
                    </w:rPr>
                    <w:t>变为布袋除尘器</w:t>
                  </w:r>
                </w:p>
              </w:tc>
            </w:tr>
            <w:tr w14:paraId="52195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4B32DD63">
                  <w:pPr>
                    <w:pStyle w:val="39"/>
                    <w:rPr>
                      <w:rFonts w:hint="default" w:ascii="Times New Roman" w:hAnsi="Times New Roman" w:cs="Times New Roman" w:eastAsiaTheme="minorEastAsia"/>
                      <w:color w:val="auto"/>
                      <w:szCs w:val="21"/>
                    </w:rPr>
                  </w:pPr>
                </w:p>
              </w:tc>
              <w:tc>
                <w:tcPr>
                  <w:tcW w:w="500" w:type="pct"/>
                  <w:vAlign w:val="center"/>
                </w:tcPr>
                <w:p w14:paraId="12DB5ED4">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地下水污染防治</w:t>
                  </w:r>
                </w:p>
              </w:tc>
              <w:tc>
                <w:tcPr>
                  <w:tcW w:w="1755" w:type="pct"/>
                  <w:vAlign w:val="center"/>
                </w:tcPr>
                <w:p w14:paraId="66DB7EE7">
                  <w:pPr>
                    <w:pStyle w:val="39"/>
                    <w:jc w:val="both"/>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①重点防渗区：</w:t>
                  </w:r>
                </w:p>
                <w:p w14:paraId="7B43EDC3">
                  <w:pPr>
                    <w:pStyle w:val="39"/>
                    <w:jc w:val="both"/>
                    <w:rPr>
                      <w:rFonts w:hint="default" w:ascii="Times New Roman" w:hAnsi="Times New Roman" w:cs="Times New Roman" w:eastAsiaTheme="minorEastAsia"/>
                      <w:bCs/>
                      <w:color w:val="auto"/>
                      <w:highlight w:val="none"/>
                    </w:rPr>
                  </w:pPr>
                  <w:r>
                    <w:rPr>
                      <w:rFonts w:hint="default" w:ascii="Times New Roman" w:hAnsi="Times New Roman" w:cs="Times New Roman" w:eastAsiaTheme="minorEastAsia"/>
                      <w:color w:val="auto"/>
                      <w:highlight w:val="none"/>
                    </w:rPr>
                    <w:t>包括</w:t>
                  </w:r>
                  <w:r>
                    <w:rPr>
                      <w:rFonts w:hint="default" w:ascii="Times New Roman" w:hAnsi="Times New Roman" w:cs="Times New Roman" w:eastAsiaTheme="minorEastAsia"/>
                      <w:color w:val="auto"/>
                      <w:highlight w:val="none"/>
                      <w:lang w:eastAsia="zh-CN"/>
                    </w:rPr>
                    <w:t>危险废物贮存库</w:t>
                  </w:r>
                  <w:r>
                    <w:rPr>
                      <w:rFonts w:hint="default" w:ascii="Times New Roman" w:hAnsi="Times New Roman" w:cs="Times New Roman" w:eastAsiaTheme="minorEastAsia"/>
                      <w:color w:val="auto"/>
                      <w:highlight w:val="none"/>
                    </w:rPr>
                    <w:t>。采取抗渗钢纤维混凝土或高密度聚乙烯膜(HDPE)进行防渗，防渗技术要求达到等效黏土防渗层Mb≥6.0m，K≤1×10</w:t>
                  </w:r>
                  <w:r>
                    <w:rPr>
                      <w:rFonts w:hint="default" w:ascii="Times New Roman" w:hAnsi="Times New Roman" w:cs="Times New Roman" w:eastAsiaTheme="minorEastAsia"/>
                      <w:color w:val="auto"/>
                      <w:highlight w:val="none"/>
                      <w:vertAlign w:val="superscript"/>
                    </w:rPr>
                    <w:t>-7</w:t>
                  </w:r>
                  <w:r>
                    <w:rPr>
                      <w:rFonts w:hint="default" w:ascii="Times New Roman" w:hAnsi="Times New Roman" w:cs="Times New Roman" w:eastAsiaTheme="minorEastAsia"/>
                      <w:color w:val="auto"/>
                      <w:highlight w:val="none"/>
                    </w:rPr>
                    <w:t>cm/s的要求；</w:t>
                  </w:r>
                  <w:r>
                    <w:rPr>
                      <w:rFonts w:hint="default" w:ascii="Times New Roman" w:hAnsi="Times New Roman" w:cs="Times New Roman" w:eastAsiaTheme="minorEastAsia"/>
                      <w:color w:val="auto"/>
                      <w:highlight w:val="none"/>
                      <w:lang w:eastAsia="zh-CN"/>
                    </w:rPr>
                    <w:t>危险废物贮存库</w:t>
                  </w:r>
                  <w:r>
                    <w:rPr>
                      <w:rFonts w:hint="default" w:ascii="Times New Roman" w:hAnsi="Times New Roman" w:cs="Times New Roman" w:eastAsiaTheme="minorEastAsia"/>
                      <w:bCs/>
                      <w:color w:val="auto"/>
                      <w:highlight w:val="none"/>
                    </w:rPr>
                    <w:t>建设严格按照</w:t>
                  </w:r>
                  <w:r>
                    <w:rPr>
                      <w:rFonts w:hint="default" w:ascii="Times New Roman" w:hAnsi="Times New Roman" w:cs="Times New Roman" w:eastAsiaTheme="minorEastAsia"/>
                      <w:bCs/>
                      <w:color w:val="auto"/>
                      <w:highlight w:val="none"/>
                      <w:lang w:eastAsia="zh-CN"/>
                    </w:rPr>
                    <w:t>《危险废物贮存污染控制标准》（GB18597-2023）</w:t>
                  </w:r>
                  <w:r>
                    <w:rPr>
                      <w:rFonts w:hint="default" w:ascii="Times New Roman" w:hAnsi="Times New Roman" w:cs="Times New Roman" w:eastAsiaTheme="minorEastAsia"/>
                      <w:bCs/>
                      <w:color w:val="auto"/>
                      <w:highlight w:val="none"/>
                    </w:rPr>
                    <w:t>中相关规定进行设置，地面防渗、</w:t>
                  </w:r>
                  <w:r>
                    <w:rPr>
                      <w:rFonts w:hint="default" w:ascii="Times New Roman" w:hAnsi="Times New Roman" w:cs="Times New Roman" w:eastAsiaTheme="minorEastAsia"/>
                      <w:bCs/>
                      <w:color w:val="auto"/>
                      <w:highlight w:val="none"/>
                      <w:lang w:eastAsia="zh-CN"/>
                    </w:rPr>
                    <w:t>裙脚</w:t>
                  </w:r>
                  <w:r>
                    <w:rPr>
                      <w:rFonts w:hint="default" w:ascii="Times New Roman" w:hAnsi="Times New Roman" w:cs="Times New Roman" w:eastAsiaTheme="minorEastAsia"/>
                      <w:bCs/>
                      <w:color w:val="auto"/>
                      <w:highlight w:val="none"/>
                    </w:rPr>
                    <w:t>防渗，防渗层为至少1米厚粘土层（渗透系数≤10</w:t>
                  </w:r>
                  <w:r>
                    <w:rPr>
                      <w:rFonts w:hint="default" w:ascii="Times New Roman" w:hAnsi="Times New Roman" w:cs="Times New Roman" w:eastAsiaTheme="minorEastAsia"/>
                      <w:bCs/>
                      <w:color w:val="auto"/>
                      <w:highlight w:val="none"/>
                      <w:vertAlign w:val="superscript"/>
                    </w:rPr>
                    <w:t>-7</w:t>
                  </w:r>
                  <w:r>
                    <w:rPr>
                      <w:rFonts w:hint="default" w:ascii="Times New Roman" w:hAnsi="Times New Roman" w:cs="Times New Roman" w:eastAsiaTheme="minorEastAsia"/>
                      <w:bCs/>
                      <w:color w:val="auto"/>
                      <w:highlight w:val="none"/>
                    </w:rPr>
                    <w:t>cm/s），或2mm厚高密度聚乙烯膜等人工防渗材料</w:t>
                  </w:r>
                  <w:r>
                    <w:rPr>
                      <w:rFonts w:hint="default" w:ascii="Times New Roman" w:hAnsi="Times New Roman" w:cs="Times New Roman" w:eastAsiaTheme="minorEastAsia"/>
                      <w:bCs/>
                      <w:color w:val="auto"/>
                      <w:highlight w:val="none"/>
                      <w:lang w:eastAsia="zh-CN"/>
                    </w:rPr>
                    <w:t>（</w:t>
                  </w:r>
                  <w:r>
                    <w:rPr>
                      <w:rFonts w:hint="default" w:ascii="Times New Roman" w:hAnsi="Times New Roman" w:cs="Times New Roman" w:eastAsiaTheme="minorEastAsia"/>
                      <w:bCs/>
                      <w:color w:val="auto"/>
                      <w:highlight w:val="none"/>
                    </w:rPr>
                    <w:t>渗透系数≤10</w:t>
                  </w:r>
                  <w:r>
                    <w:rPr>
                      <w:rFonts w:hint="default" w:ascii="Times New Roman" w:hAnsi="Times New Roman" w:cs="Times New Roman" w:eastAsiaTheme="minorEastAsia"/>
                      <w:bCs/>
                      <w:color w:val="auto"/>
                      <w:highlight w:val="none"/>
                      <w:vertAlign w:val="superscript"/>
                    </w:rPr>
                    <w:t>-10</w:t>
                  </w:r>
                  <w:r>
                    <w:rPr>
                      <w:rFonts w:hint="default" w:ascii="Times New Roman" w:hAnsi="Times New Roman" w:cs="Times New Roman" w:eastAsiaTheme="minorEastAsia"/>
                      <w:bCs/>
                      <w:color w:val="auto"/>
                      <w:highlight w:val="none"/>
                    </w:rPr>
                    <w:t>cm/s</w:t>
                  </w:r>
                  <w:r>
                    <w:rPr>
                      <w:rFonts w:hint="default" w:ascii="Times New Roman" w:hAnsi="Times New Roman" w:cs="Times New Roman" w:eastAsiaTheme="minorEastAsia"/>
                      <w:bCs/>
                      <w:color w:val="auto"/>
                      <w:highlight w:val="none"/>
                      <w:lang w:eastAsia="zh-CN"/>
                    </w:rPr>
                    <w:t>）</w:t>
                  </w:r>
                  <w:r>
                    <w:rPr>
                      <w:rFonts w:hint="default" w:ascii="Times New Roman" w:hAnsi="Times New Roman" w:cs="Times New Roman" w:eastAsiaTheme="minorEastAsia"/>
                      <w:bCs/>
                      <w:color w:val="auto"/>
                      <w:highlight w:val="none"/>
                    </w:rPr>
                    <w:t>。</w:t>
                  </w:r>
                </w:p>
                <w:p w14:paraId="14DC7A59">
                  <w:pPr>
                    <w:pStyle w:val="39"/>
                    <w:jc w:val="both"/>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②一般防渗区：</w:t>
                  </w:r>
                </w:p>
                <w:p w14:paraId="41D4DD66">
                  <w:pPr>
                    <w:pStyle w:val="39"/>
                    <w:jc w:val="both"/>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包括拆解车间、待拆车辆贮存场地、农机拆除成品半成品及零件贮存库和一般固废存放区。采用防渗混凝土或HDPE膜进行防渗，其防渗技术要求可满足等效黏土防渗层Mb≥1.5m，K≤1×10</w:t>
                  </w:r>
                  <w:r>
                    <w:rPr>
                      <w:rFonts w:hint="default" w:ascii="Times New Roman" w:hAnsi="Times New Roman" w:cs="Times New Roman" w:eastAsiaTheme="minorEastAsia"/>
                      <w:color w:val="auto"/>
                      <w:highlight w:val="none"/>
                      <w:vertAlign w:val="superscript"/>
                    </w:rPr>
                    <w:t>-7</w:t>
                  </w:r>
                  <w:r>
                    <w:rPr>
                      <w:rFonts w:hint="default" w:ascii="Times New Roman" w:hAnsi="Times New Roman" w:cs="Times New Roman" w:eastAsiaTheme="minorEastAsia"/>
                      <w:color w:val="auto"/>
                      <w:highlight w:val="none"/>
                    </w:rPr>
                    <w:t>cm/s的要求。</w:t>
                  </w:r>
                </w:p>
                <w:p w14:paraId="0468592B">
                  <w:pPr>
                    <w:pStyle w:val="39"/>
                    <w:jc w:val="both"/>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③简单防渗区：</w:t>
                  </w:r>
                </w:p>
                <w:p w14:paraId="4857DFD0">
                  <w:pPr>
                    <w:pStyle w:val="39"/>
                    <w:jc w:val="both"/>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包括厂区道路</w:t>
                  </w:r>
                  <w:r>
                    <w:rPr>
                      <w:rFonts w:hint="default"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lang w:val="en-US" w:eastAsia="zh-CN"/>
                    </w:rPr>
                    <w:t>办公室</w:t>
                  </w:r>
                  <w:r>
                    <w:rPr>
                      <w:rFonts w:hint="default" w:ascii="Times New Roman" w:hAnsi="Times New Roman" w:cs="Times New Roman" w:eastAsiaTheme="minorEastAsia"/>
                      <w:color w:val="auto"/>
                      <w:highlight w:val="none"/>
                    </w:rPr>
                    <w:t>。进行一般地面水泥硬化。</w:t>
                  </w:r>
                </w:p>
              </w:tc>
              <w:tc>
                <w:tcPr>
                  <w:tcW w:w="1776" w:type="pct"/>
                  <w:vAlign w:val="center"/>
                </w:tcPr>
                <w:p w14:paraId="44E2D43F">
                  <w:pPr>
                    <w:pStyle w:val="39"/>
                    <w:jc w:val="both"/>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①重点防渗区：</w:t>
                  </w:r>
                </w:p>
                <w:p w14:paraId="5B2A592E">
                  <w:pPr>
                    <w:pStyle w:val="39"/>
                    <w:jc w:val="both"/>
                    <w:rPr>
                      <w:rFonts w:hint="default" w:ascii="Times New Roman" w:hAnsi="Times New Roman" w:cs="Times New Roman" w:eastAsiaTheme="minorEastAsia"/>
                      <w:bCs/>
                      <w:color w:val="auto"/>
                      <w:highlight w:val="none"/>
                    </w:rPr>
                  </w:pPr>
                  <w:r>
                    <w:rPr>
                      <w:rFonts w:hint="default" w:ascii="Times New Roman" w:hAnsi="Times New Roman" w:cs="Times New Roman" w:eastAsiaTheme="minorEastAsia"/>
                      <w:color w:val="auto"/>
                    </w:rPr>
                    <w:t>包括</w:t>
                  </w:r>
                  <w:r>
                    <w:rPr>
                      <w:rFonts w:hint="default" w:ascii="Times New Roman" w:hAnsi="Times New Roman" w:cs="Times New Roman" w:eastAsiaTheme="minorEastAsia"/>
                      <w:color w:val="auto"/>
                      <w:lang w:eastAsia="zh-CN"/>
                    </w:rPr>
                    <w:t>危险废物贮存库</w:t>
                  </w:r>
                  <w:r>
                    <w:rPr>
                      <w:rFonts w:hint="default" w:ascii="Times New Roman" w:hAnsi="Times New Roman" w:cs="Times New Roman" w:eastAsiaTheme="minorEastAsia"/>
                      <w:color w:val="auto"/>
                    </w:rPr>
                    <w:t>。采取抗渗钢纤维混凝土或高密度聚乙烯膜(HDPE)进行防渗，防渗技术要</w:t>
                  </w:r>
                  <w:r>
                    <w:rPr>
                      <w:rFonts w:hint="default" w:ascii="Times New Roman" w:hAnsi="Times New Roman" w:cs="Times New Roman" w:eastAsiaTheme="minorEastAsia"/>
                      <w:bCs/>
                      <w:color w:val="auto"/>
                      <w:highlight w:val="none"/>
                    </w:rPr>
                    <w:t>求达到等效黏土防渗层Mb≥6.0m，K≤1×10</w:t>
                  </w:r>
                  <w:r>
                    <w:rPr>
                      <w:rFonts w:hint="default" w:ascii="Times New Roman" w:hAnsi="Times New Roman" w:cs="Times New Roman" w:eastAsiaTheme="minorEastAsia"/>
                      <w:bCs/>
                      <w:color w:val="auto"/>
                      <w:highlight w:val="none"/>
                      <w:vertAlign w:val="superscript"/>
                    </w:rPr>
                    <w:t>-7</w:t>
                  </w:r>
                  <w:r>
                    <w:rPr>
                      <w:rFonts w:hint="default" w:ascii="Times New Roman" w:hAnsi="Times New Roman" w:cs="Times New Roman" w:eastAsiaTheme="minorEastAsia"/>
                      <w:bCs/>
                      <w:color w:val="auto"/>
                      <w:highlight w:val="none"/>
                    </w:rPr>
                    <w:t>cm/s的要求；地面防渗、</w:t>
                  </w:r>
                  <w:r>
                    <w:rPr>
                      <w:rFonts w:hint="default" w:ascii="Times New Roman" w:hAnsi="Times New Roman" w:cs="Times New Roman" w:eastAsiaTheme="minorEastAsia"/>
                      <w:bCs/>
                      <w:color w:val="auto"/>
                      <w:highlight w:val="none"/>
                      <w:lang w:eastAsia="zh-CN"/>
                    </w:rPr>
                    <w:t>裙脚</w:t>
                  </w:r>
                  <w:r>
                    <w:rPr>
                      <w:rFonts w:hint="default" w:ascii="Times New Roman" w:hAnsi="Times New Roman" w:cs="Times New Roman" w:eastAsiaTheme="minorEastAsia"/>
                      <w:bCs/>
                      <w:color w:val="auto"/>
                      <w:highlight w:val="none"/>
                    </w:rPr>
                    <w:t>防渗，防渗层为至少1米厚粘土层（渗透系数≤10-7cm/s），或2mm厚高密度聚乙烯膜等人工防渗材料</w:t>
                  </w:r>
                  <w:r>
                    <w:rPr>
                      <w:rFonts w:hint="default" w:ascii="Times New Roman" w:hAnsi="Times New Roman" w:cs="Times New Roman" w:eastAsiaTheme="minorEastAsia"/>
                      <w:bCs/>
                      <w:color w:val="auto"/>
                      <w:highlight w:val="none"/>
                      <w:lang w:eastAsia="zh-CN"/>
                    </w:rPr>
                    <w:t>（</w:t>
                  </w:r>
                  <w:r>
                    <w:rPr>
                      <w:rFonts w:hint="default" w:ascii="Times New Roman" w:hAnsi="Times New Roman" w:cs="Times New Roman" w:eastAsiaTheme="minorEastAsia"/>
                      <w:bCs/>
                      <w:color w:val="auto"/>
                      <w:highlight w:val="none"/>
                    </w:rPr>
                    <w:t>渗透系数≤10-10cm/s</w:t>
                  </w:r>
                  <w:r>
                    <w:rPr>
                      <w:rFonts w:hint="default" w:ascii="Times New Roman" w:hAnsi="Times New Roman" w:cs="Times New Roman" w:eastAsiaTheme="minorEastAsia"/>
                      <w:bCs/>
                      <w:color w:val="auto"/>
                      <w:highlight w:val="none"/>
                      <w:lang w:eastAsia="zh-CN"/>
                    </w:rPr>
                    <w:t>）</w:t>
                  </w:r>
                  <w:r>
                    <w:rPr>
                      <w:rFonts w:hint="default" w:ascii="Times New Roman" w:hAnsi="Times New Roman" w:cs="Times New Roman" w:eastAsiaTheme="minorEastAsia"/>
                      <w:bCs/>
                      <w:color w:val="auto"/>
                      <w:highlight w:val="none"/>
                    </w:rPr>
                    <w:t>。</w:t>
                  </w:r>
                </w:p>
                <w:p w14:paraId="1D3AF5CD">
                  <w:pPr>
                    <w:pStyle w:val="39"/>
                    <w:jc w:val="both"/>
                    <w:rPr>
                      <w:rFonts w:hint="default" w:ascii="Times New Roman" w:hAnsi="Times New Roman" w:cs="Times New Roman" w:eastAsiaTheme="minorEastAsia"/>
                      <w:bCs/>
                      <w:color w:val="auto"/>
                      <w:highlight w:val="none"/>
                    </w:rPr>
                  </w:pPr>
                  <w:r>
                    <w:rPr>
                      <w:rFonts w:hint="default" w:ascii="Times New Roman" w:hAnsi="Times New Roman" w:cs="Times New Roman" w:eastAsiaTheme="minorEastAsia"/>
                      <w:bCs/>
                      <w:color w:val="auto"/>
                      <w:highlight w:val="none"/>
                    </w:rPr>
                    <w:t>②一般防渗区：</w:t>
                  </w:r>
                </w:p>
                <w:p w14:paraId="1E4C2A85">
                  <w:pPr>
                    <w:pStyle w:val="39"/>
                    <w:jc w:val="both"/>
                    <w:rPr>
                      <w:rFonts w:hint="default" w:ascii="Times New Roman" w:hAnsi="Times New Roman" w:cs="Times New Roman" w:eastAsiaTheme="minorEastAsia"/>
                      <w:bCs/>
                      <w:color w:val="auto"/>
                      <w:highlight w:val="none"/>
                    </w:rPr>
                  </w:pPr>
                  <w:r>
                    <w:rPr>
                      <w:rFonts w:hint="default" w:ascii="Times New Roman" w:hAnsi="Times New Roman" w:cs="Times New Roman" w:eastAsiaTheme="minorEastAsia"/>
                      <w:bCs/>
                      <w:color w:val="auto"/>
                      <w:highlight w:val="none"/>
                    </w:rPr>
                    <w:t>包括拆解车间、待拆车辆贮存场地、农机拆除成品半成品及零件贮存库和一般固废存放区。采用防渗混凝土或HDPE膜进行防渗，其防渗技术要求可满足等效黏土防渗层Mb≥1.5m，K≤1×10-7cm/s的要求。</w:t>
                  </w:r>
                </w:p>
                <w:p w14:paraId="2402B0DF">
                  <w:pPr>
                    <w:pStyle w:val="39"/>
                    <w:jc w:val="both"/>
                    <w:rPr>
                      <w:rFonts w:hint="default" w:ascii="Times New Roman" w:hAnsi="Times New Roman" w:cs="Times New Roman" w:eastAsiaTheme="minorEastAsia"/>
                      <w:bCs/>
                      <w:color w:val="auto"/>
                      <w:highlight w:val="none"/>
                    </w:rPr>
                  </w:pPr>
                  <w:r>
                    <w:rPr>
                      <w:rFonts w:hint="default" w:ascii="Times New Roman" w:hAnsi="Times New Roman" w:cs="Times New Roman" w:eastAsiaTheme="minorEastAsia"/>
                      <w:bCs/>
                      <w:color w:val="auto"/>
                      <w:highlight w:val="none"/>
                    </w:rPr>
                    <w:t>③简单防渗区：</w:t>
                  </w:r>
                </w:p>
                <w:p w14:paraId="62C25206">
                  <w:pPr>
                    <w:pStyle w:val="39"/>
                    <w:jc w:val="both"/>
                    <w:rPr>
                      <w:rFonts w:hint="default" w:ascii="Times New Roman" w:hAnsi="Times New Roman" w:cs="Times New Roman" w:eastAsiaTheme="minorEastAsia"/>
                      <w:color w:val="auto"/>
                    </w:rPr>
                  </w:pPr>
                  <w:r>
                    <w:rPr>
                      <w:rFonts w:hint="default" w:ascii="Times New Roman" w:hAnsi="Times New Roman" w:cs="Times New Roman" w:eastAsiaTheme="minorEastAsia"/>
                      <w:bCs/>
                      <w:color w:val="auto"/>
                      <w:highlight w:val="none"/>
                    </w:rPr>
                    <w:t>包括厂区道路</w:t>
                  </w:r>
                  <w:r>
                    <w:rPr>
                      <w:rFonts w:hint="default" w:ascii="Times New Roman" w:hAnsi="Times New Roman" w:cs="Times New Roman" w:eastAsiaTheme="minorEastAsia"/>
                      <w:bCs/>
                      <w:color w:val="auto"/>
                      <w:highlight w:val="none"/>
                      <w:lang w:eastAsia="zh-CN"/>
                    </w:rPr>
                    <w:t>、</w:t>
                  </w:r>
                  <w:r>
                    <w:rPr>
                      <w:rFonts w:hint="default" w:ascii="Times New Roman" w:hAnsi="Times New Roman" w:cs="Times New Roman" w:eastAsiaTheme="minorEastAsia"/>
                      <w:bCs/>
                      <w:color w:val="auto"/>
                      <w:highlight w:val="none"/>
                      <w:lang w:val="en-US" w:eastAsia="zh-CN"/>
                    </w:rPr>
                    <w:t>办公室</w:t>
                  </w:r>
                  <w:r>
                    <w:rPr>
                      <w:rFonts w:hint="default" w:ascii="Times New Roman" w:hAnsi="Times New Roman" w:cs="Times New Roman" w:eastAsiaTheme="minorEastAsia"/>
                      <w:bCs/>
                      <w:color w:val="auto"/>
                      <w:highlight w:val="none"/>
                    </w:rPr>
                    <w:t>。进行一般地面水泥硬化。</w:t>
                  </w:r>
                </w:p>
              </w:tc>
              <w:tc>
                <w:tcPr>
                  <w:tcW w:w="630" w:type="pct"/>
                  <w:vAlign w:val="center"/>
                </w:tcPr>
                <w:p w14:paraId="5E81E7DB">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r w14:paraId="62F879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Merge w:val="continue"/>
                  <w:vAlign w:val="center"/>
                </w:tcPr>
                <w:p w14:paraId="511887FD">
                  <w:pPr>
                    <w:pStyle w:val="39"/>
                    <w:rPr>
                      <w:rFonts w:hint="default" w:ascii="Times New Roman" w:hAnsi="Times New Roman" w:cs="Times New Roman" w:eastAsiaTheme="minorEastAsia"/>
                      <w:color w:val="auto"/>
                      <w:szCs w:val="21"/>
                    </w:rPr>
                  </w:pPr>
                </w:p>
              </w:tc>
              <w:tc>
                <w:tcPr>
                  <w:tcW w:w="500" w:type="pct"/>
                  <w:vAlign w:val="center"/>
                </w:tcPr>
                <w:p w14:paraId="10797BAD">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环境</w:t>
                  </w:r>
                </w:p>
                <w:p w14:paraId="3D069C34">
                  <w:pPr>
                    <w:pStyle w:val="39"/>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风险</w:t>
                  </w:r>
                </w:p>
              </w:tc>
              <w:tc>
                <w:tcPr>
                  <w:tcW w:w="1755" w:type="pct"/>
                  <w:vAlign w:val="center"/>
                </w:tcPr>
                <w:p w14:paraId="4ADBAA45">
                  <w:pPr>
                    <w:pStyle w:val="39"/>
                    <w:jc w:val="both"/>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szCs w:val="21"/>
                    </w:rPr>
                    <w:t>按照相关规范要求安装火灾自动报警系统、灭火系统。</w:t>
                  </w:r>
                </w:p>
              </w:tc>
              <w:tc>
                <w:tcPr>
                  <w:tcW w:w="1776" w:type="pct"/>
                  <w:vAlign w:val="center"/>
                </w:tcPr>
                <w:p w14:paraId="2BD72793">
                  <w:pPr>
                    <w:pStyle w:val="39"/>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按照相关规范要求安装火灾自动报警系统、灭火系统。</w:t>
                  </w:r>
                </w:p>
              </w:tc>
              <w:tc>
                <w:tcPr>
                  <w:tcW w:w="630" w:type="pct"/>
                  <w:vAlign w:val="center"/>
                </w:tcPr>
                <w:p w14:paraId="06931C52">
                  <w:pPr>
                    <w:pStyle w:val="39"/>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与环评一致</w:t>
                  </w:r>
                </w:p>
              </w:tc>
            </w:tr>
          </w:tbl>
          <w:p w14:paraId="3C3FD610"/>
          <w:p w14:paraId="279F4113">
            <w:pPr>
              <w:pStyle w:val="10"/>
              <w:spacing w:line="520" w:lineRule="exact"/>
              <w:ind w:firstLine="0" w:firstLineChars="0"/>
              <w:contextualSpacing/>
              <w:rPr>
                <w:rFonts w:ascii="Times New Roman" w:hAnsi="Times New Roman" w:eastAsiaTheme="minorEastAsia"/>
                <w:b/>
                <w:kern w:val="24"/>
              </w:rPr>
            </w:pPr>
            <w:r>
              <w:rPr>
                <w:rFonts w:ascii="Times New Roman" w:hAnsi="Times New Roman" w:eastAsiaTheme="minorEastAsia"/>
                <w:b/>
                <w:kern w:val="24"/>
              </w:rPr>
              <w:t>3.主要生产设备：</w:t>
            </w:r>
          </w:p>
          <w:p w14:paraId="31CD3CAB">
            <w:pPr>
              <w:pStyle w:val="10"/>
              <w:spacing w:line="520" w:lineRule="exact"/>
              <w:ind w:firstLine="0" w:firstLineChars="0"/>
              <w:contextualSpacing/>
              <w:jc w:val="center"/>
              <w:rPr>
                <w:rFonts w:ascii="Times New Roman" w:hAnsi="Times New Roman" w:eastAsiaTheme="minorEastAsia"/>
                <w:b/>
                <w:kern w:val="24"/>
              </w:rPr>
            </w:pPr>
            <w:r>
              <w:rPr>
                <w:rFonts w:ascii="Times New Roman" w:hAnsi="Times New Roman" w:eastAsiaTheme="minorEastAsia"/>
                <w:b/>
                <w:kern w:val="24"/>
              </w:rPr>
              <w:t>表2-2本项目主要设备清单</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7"/>
              <w:gridCol w:w="2928"/>
              <w:gridCol w:w="2099"/>
              <w:gridCol w:w="2291"/>
            </w:tblGrid>
            <w:tr w14:paraId="24D5E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0DA976A7">
                  <w:pPr>
                    <w:pStyle w:val="39"/>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3116" w:type="dxa"/>
                  <w:vAlign w:val="center"/>
                </w:tcPr>
                <w:p w14:paraId="09582748">
                  <w:pPr>
                    <w:pStyle w:val="39"/>
                    <w:rPr>
                      <w:rFonts w:hint="default" w:ascii="Times New Roman" w:hAnsi="Times New Roman" w:cs="Times New Roman"/>
                      <w:b/>
                      <w:bCs/>
                      <w:color w:val="auto"/>
                    </w:rPr>
                  </w:pPr>
                  <w:r>
                    <w:rPr>
                      <w:rFonts w:hint="default" w:ascii="Times New Roman" w:hAnsi="Times New Roman" w:cs="Times New Roman"/>
                      <w:b/>
                      <w:bCs/>
                      <w:color w:val="auto"/>
                    </w:rPr>
                    <w:t>设备名称</w:t>
                  </w:r>
                </w:p>
              </w:tc>
              <w:tc>
                <w:tcPr>
                  <w:tcW w:w="2225" w:type="dxa"/>
                </w:tcPr>
                <w:p w14:paraId="360EA47C">
                  <w:pPr>
                    <w:pStyle w:val="39"/>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2431" w:type="dxa"/>
                </w:tcPr>
                <w:p w14:paraId="2F52B438">
                  <w:pPr>
                    <w:pStyle w:val="39"/>
                    <w:rPr>
                      <w:rFonts w:hint="default" w:ascii="Times New Roman" w:hAnsi="Times New Roman" w:cs="Times New Roman"/>
                      <w:b/>
                      <w:bCs/>
                      <w:color w:val="auto"/>
                    </w:rPr>
                  </w:pPr>
                  <w:r>
                    <w:rPr>
                      <w:rFonts w:hint="default" w:ascii="Times New Roman" w:hAnsi="Times New Roman" w:cs="Times New Roman"/>
                      <w:b/>
                      <w:bCs/>
                      <w:color w:val="auto"/>
                    </w:rPr>
                    <w:t>数量</w:t>
                  </w:r>
                </w:p>
              </w:tc>
            </w:tr>
            <w:tr w14:paraId="26A52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0A129C32">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116" w:type="dxa"/>
                  <w:vAlign w:val="center"/>
                </w:tcPr>
                <w:p w14:paraId="61BD3497">
                  <w:pPr>
                    <w:pStyle w:val="3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挖掘机</w:t>
                  </w:r>
                </w:p>
              </w:tc>
              <w:tc>
                <w:tcPr>
                  <w:tcW w:w="2225" w:type="dxa"/>
                </w:tcPr>
                <w:p w14:paraId="45CB6B5D">
                  <w:pPr>
                    <w:pStyle w:val="3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辆</w:t>
                  </w:r>
                </w:p>
              </w:tc>
              <w:tc>
                <w:tcPr>
                  <w:tcW w:w="2431" w:type="dxa"/>
                  <w:vAlign w:val="center"/>
                </w:tcPr>
                <w:p w14:paraId="69A986A2">
                  <w:pPr>
                    <w:pStyle w:val="39"/>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39B75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6C9CE7F8">
                  <w:pPr>
                    <w:pStyle w:val="39"/>
                    <w:rPr>
                      <w:rFonts w:hint="default" w:ascii="Times New Roman" w:hAnsi="Times New Roman" w:cs="Times New Roman"/>
                      <w:color w:val="auto"/>
                    </w:rPr>
                  </w:pPr>
                  <w:r>
                    <w:rPr>
                      <w:rFonts w:hint="default" w:ascii="Times New Roman" w:hAnsi="Times New Roman" w:cs="Times New Roman"/>
                      <w:color w:val="auto"/>
                    </w:rPr>
                    <w:t>2</w:t>
                  </w:r>
                </w:p>
              </w:tc>
              <w:tc>
                <w:tcPr>
                  <w:tcW w:w="3116" w:type="dxa"/>
                  <w:vAlign w:val="center"/>
                </w:tcPr>
                <w:p w14:paraId="721536BB">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叉车</w:t>
                  </w:r>
                </w:p>
              </w:tc>
              <w:tc>
                <w:tcPr>
                  <w:tcW w:w="2225" w:type="dxa"/>
                </w:tcPr>
                <w:p w14:paraId="04C9BE52">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辆</w:t>
                  </w:r>
                </w:p>
              </w:tc>
              <w:tc>
                <w:tcPr>
                  <w:tcW w:w="2431" w:type="dxa"/>
                  <w:vAlign w:val="center"/>
                </w:tcPr>
                <w:p w14:paraId="75D9130D">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1</w:t>
                  </w:r>
                </w:p>
              </w:tc>
            </w:tr>
            <w:tr w14:paraId="5C272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318C907E">
                  <w:pPr>
                    <w:pStyle w:val="39"/>
                    <w:rPr>
                      <w:rFonts w:hint="default" w:ascii="Times New Roman" w:hAnsi="Times New Roman" w:cs="Times New Roman"/>
                      <w:color w:val="auto"/>
                    </w:rPr>
                  </w:pPr>
                  <w:r>
                    <w:rPr>
                      <w:rFonts w:hint="default" w:ascii="Times New Roman" w:hAnsi="Times New Roman" w:cs="Times New Roman"/>
                      <w:color w:val="auto"/>
                    </w:rPr>
                    <w:t>3</w:t>
                  </w:r>
                </w:p>
              </w:tc>
              <w:tc>
                <w:tcPr>
                  <w:tcW w:w="3116" w:type="dxa"/>
                  <w:vAlign w:val="center"/>
                </w:tcPr>
                <w:p w14:paraId="53371FEB">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救援车</w:t>
                  </w:r>
                </w:p>
              </w:tc>
              <w:tc>
                <w:tcPr>
                  <w:tcW w:w="2225" w:type="dxa"/>
                </w:tcPr>
                <w:p w14:paraId="44B8FB99">
                  <w:pPr>
                    <w:pStyle w:val="39"/>
                    <w:rPr>
                      <w:rFonts w:hint="default" w:ascii="Times New Roman" w:hAnsi="Times New Roman" w:eastAsia="宋体" w:cs="Times New Roman"/>
                      <w:b/>
                      <w:bCs/>
                      <w:color w:val="auto"/>
                      <w:lang w:val="en-US" w:eastAsia="zh-CN"/>
                    </w:rPr>
                  </w:pPr>
                  <w:r>
                    <w:rPr>
                      <w:rFonts w:hint="default" w:ascii="Times New Roman" w:hAnsi="Times New Roman" w:cs="Times New Roman"/>
                      <w:color w:val="auto"/>
                      <w:lang w:val="en-US" w:eastAsia="zh-CN"/>
                    </w:rPr>
                    <w:t>辆</w:t>
                  </w:r>
                </w:p>
              </w:tc>
              <w:tc>
                <w:tcPr>
                  <w:tcW w:w="2431" w:type="dxa"/>
                  <w:vAlign w:val="center"/>
                </w:tcPr>
                <w:p w14:paraId="4ABB39F3">
                  <w:pPr>
                    <w:pStyle w:val="39"/>
                    <w:rPr>
                      <w:rFonts w:hint="default" w:ascii="Times New Roman" w:hAnsi="Times New Roman" w:cs="Times New Roman"/>
                      <w:color w:val="auto"/>
                    </w:rPr>
                  </w:pPr>
                  <w:r>
                    <w:rPr>
                      <w:rFonts w:hint="default" w:ascii="Times New Roman" w:hAnsi="Times New Roman" w:cs="Times New Roman"/>
                      <w:color w:val="auto"/>
                    </w:rPr>
                    <w:t>1</w:t>
                  </w:r>
                </w:p>
              </w:tc>
            </w:tr>
            <w:tr w14:paraId="21F07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13DC112E">
                  <w:pPr>
                    <w:pStyle w:val="39"/>
                    <w:rPr>
                      <w:rFonts w:hint="default" w:ascii="Times New Roman" w:hAnsi="Times New Roman" w:cs="Times New Roman"/>
                      <w:color w:val="auto"/>
                    </w:rPr>
                  </w:pPr>
                  <w:r>
                    <w:rPr>
                      <w:rFonts w:hint="default" w:ascii="Times New Roman" w:hAnsi="Times New Roman" w:cs="Times New Roman"/>
                      <w:color w:val="auto"/>
                    </w:rPr>
                    <w:t>4</w:t>
                  </w:r>
                </w:p>
              </w:tc>
              <w:tc>
                <w:tcPr>
                  <w:tcW w:w="3116" w:type="dxa"/>
                  <w:vAlign w:val="center"/>
                </w:tcPr>
                <w:p w14:paraId="0758F46D">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等离子切割机</w:t>
                  </w:r>
                </w:p>
              </w:tc>
              <w:tc>
                <w:tcPr>
                  <w:tcW w:w="2225" w:type="dxa"/>
                </w:tcPr>
                <w:p w14:paraId="19630780">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台</w:t>
                  </w:r>
                </w:p>
              </w:tc>
              <w:tc>
                <w:tcPr>
                  <w:tcW w:w="2431" w:type="dxa"/>
                  <w:vAlign w:val="center"/>
                </w:tcPr>
                <w:p w14:paraId="27AADC4F">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w:t>
                  </w:r>
                </w:p>
              </w:tc>
            </w:tr>
            <w:tr w14:paraId="08C97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4F7069F6">
                  <w:pPr>
                    <w:pStyle w:val="39"/>
                    <w:rPr>
                      <w:rFonts w:hint="default" w:ascii="Times New Roman" w:hAnsi="Times New Roman" w:cs="Times New Roman"/>
                      <w:color w:val="auto"/>
                    </w:rPr>
                  </w:pPr>
                  <w:r>
                    <w:rPr>
                      <w:rFonts w:hint="default" w:ascii="Times New Roman" w:hAnsi="Times New Roman" w:cs="Times New Roman"/>
                      <w:color w:val="auto"/>
                    </w:rPr>
                    <w:t>5</w:t>
                  </w:r>
                </w:p>
              </w:tc>
              <w:tc>
                <w:tcPr>
                  <w:tcW w:w="3116" w:type="dxa"/>
                  <w:vAlign w:val="center"/>
                </w:tcPr>
                <w:p w14:paraId="2A276F5B">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电焊机</w:t>
                  </w:r>
                </w:p>
              </w:tc>
              <w:tc>
                <w:tcPr>
                  <w:tcW w:w="2225" w:type="dxa"/>
                </w:tcPr>
                <w:p w14:paraId="7A20ED03">
                  <w:pPr>
                    <w:pStyle w:val="39"/>
                    <w:rPr>
                      <w:rFonts w:hint="default" w:ascii="Times New Roman" w:hAnsi="Times New Roman" w:cs="Times New Roman"/>
                      <w:color w:val="auto"/>
                    </w:rPr>
                  </w:pPr>
                  <w:r>
                    <w:rPr>
                      <w:rFonts w:hint="default" w:ascii="Times New Roman" w:hAnsi="Times New Roman" w:cs="Times New Roman"/>
                      <w:color w:val="auto"/>
                    </w:rPr>
                    <w:t>台</w:t>
                  </w:r>
                </w:p>
              </w:tc>
              <w:tc>
                <w:tcPr>
                  <w:tcW w:w="2431" w:type="dxa"/>
                  <w:vAlign w:val="center"/>
                </w:tcPr>
                <w:p w14:paraId="5031F9D2">
                  <w:pPr>
                    <w:pStyle w:val="39"/>
                    <w:rPr>
                      <w:rFonts w:hint="default" w:ascii="Times New Roman" w:hAnsi="Times New Roman" w:cs="Times New Roman"/>
                      <w:color w:val="auto"/>
                    </w:rPr>
                  </w:pPr>
                  <w:r>
                    <w:rPr>
                      <w:rFonts w:hint="default" w:ascii="Times New Roman" w:hAnsi="Times New Roman" w:cs="Times New Roman"/>
                      <w:color w:val="auto"/>
                    </w:rPr>
                    <w:t>1</w:t>
                  </w:r>
                </w:p>
              </w:tc>
            </w:tr>
            <w:tr w14:paraId="6F58B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1796BDAB">
                  <w:pPr>
                    <w:pStyle w:val="39"/>
                    <w:rPr>
                      <w:rFonts w:hint="default" w:ascii="Times New Roman" w:hAnsi="Times New Roman" w:cs="Times New Roman"/>
                      <w:color w:val="auto"/>
                    </w:rPr>
                  </w:pPr>
                  <w:r>
                    <w:rPr>
                      <w:rFonts w:hint="default" w:ascii="Times New Roman" w:hAnsi="Times New Roman" w:cs="Times New Roman"/>
                      <w:color w:val="auto"/>
                    </w:rPr>
                    <w:t>6</w:t>
                  </w:r>
                </w:p>
              </w:tc>
              <w:tc>
                <w:tcPr>
                  <w:tcW w:w="3116" w:type="dxa"/>
                  <w:vAlign w:val="center"/>
                </w:tcPr>
                <w:p w14:paraId="74B8DC19">
                  <w:pPr>
                    <w:pStyle w:val="39"/>
                    <w:rPr>
                      <w:rFonts w:hint="default" w:ascii="Times New Roman" w:hAnsi="Times New Roman" w:eastAsia="宋体" w:cs="Times New Roman"/>
                      <w:color w:val="auto"/>
                      <w:lang w:eastAsia="zh-CN"/>
                    </w:rPr>
                  </w:pPr>
                  <w:r>
                    <w:rPr>
                      <w:rFonts w:hint="default" w:ascii="Times New Roman" w:hAnsi="Times New Roman" w:cs="Times New Roman"/>
                      <w:color w:val="auto"/>
                      <w:szCs w:val="21"/>
                      <w:lang w:val="en-US" w:eastAsia="zh-CN"/>
                    </w:rPr>
                    <w:t>拆解台</w:t>
                  </w:r>
                </w:p>
              </w:tc>
              <w:tc>
                <w:tcPr>
                  <w:tcW w:w="2225" w:type="dxa"/>
                </w:tcPr>
                <w:p w14:paraId="2A8C78DB">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台</w:t>
                  </w:r>
                </w:p>
              </w:tc>
              <w:tc>
                <w:tcPr>
                  <w:tcW w:w="2431" w:type="dxa"/>
                  <w:vAlign w:val="center"/>
                </w:tcPr>
                <w:p w14:paraId="002427C8">
                  <w:pPr>
                    <w:pStyle w:val="39"/>
                    <w:rPr>
                      <w:rFonts w:hint="default" w:ascii="Times New Roman" w:hAnsi="Times New Roman" w:cs="Times New Roman"/>
                      <w:color w:val="auto"/>
                    </w:rPr>
                  </w:pPr>
                  <w:r>
                    <w:rPr>
                      <w:rFonts w:hint="default" w:ascii="Times New Roman" w:hAnsi="Times New Roman" w:cs="Times New Roman"/>
                      <w:color w:val="auto"/>
                    </w:rPr>
                    <w:t>1</w:t>
                  </w:r>
                </w:p>
              </w:tc>
            </w:tr>
            <w:tr w14:paraId="69B1C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334FCA77">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w:t>
                  </w:r>
                </w:p>
              </w:tc>
              <w:tc>
                <w:tcPr>
                  <w:tcW w:w="3116" w:type="dxa"/>
                  <w:vAlign w:val="center"/>
                </w:tcPr>
                <w:p w14:paraId="555EBF21">
                  <w:pPr>
                    <w:pStyle w:val="3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活性炭吸附装置</w:t>
                  </w:r>
                </w:p>
              </w:tc>
              <w:tc>
                <w:tcPr>
                  <w:tcW w:w="2225" w:type="dxa"/>
                </w:tcPr>
                <w:p w14:paraId="578C2306">
                  <w:pPr>
                    <w:pStyle w:val="39"/>
                    <w:rPr>
                      <w:rFonts w:hint="default" w:ascii="Times New Roman" w:hAnsi="Times New Roman" w:cs="Times New Roman"/>
                      <w:color w:val="auto"/>
                    </w:rPr>
                  </w:pPr>
                  <w:r>
                    <w:rPr>
                      <w:rFonts w:hint="default" w:ascii="Times New Roman" w:hAnsi="Times New Roman" w:cs="Times New Roman"/>
                      <w:color w:val="auto"/>
                    </w:rPr>
                    <w:t>套</w:t>
                  </w:r>
                </w:p>
              </w:tc>
              <w:tc>
                <w:tcPr>
                  <w:tcW w:w="2431" w:type="dxa"/>
                  <w:vAlign w:val="center"/>
                </w:tcPr>
                <w:p w14:paraId="52EA8BA1">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w:t>
                  </w:r>
                </w:p>
              </w:tc>
            </w:tr>
            <w:tr w14:paraId="595D8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57" w:type="dxa"/>
                  <w:vAlign w:val="center"/>
                </w:tcPr>
                <w:p w14:paraId="13C53DD2">
                  <w:pPr>
                    <w:pStyle w:val="3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w:t>
                  </w:r>
                </w:p>
              </w:tc>
              <w:tc>
                <w:tcPr>
                  <w:tcW w:w="3116" w:type="dxa"/>
                  <w:vAlign w:val="center"/>
                </w:tcPr>
                <w:p w14:paraId="4E20D6C5">
                  <w:pPr>
                    <w:pStyle w:val="3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压块机</w:t>
                  </w:r>
                </w:p>
              </w:tc>
              <w:tc>
                <w:tcPr>
                  <w:tcW w:w="2225" w:type="dxa"/>
                  <w:vAlign w:val="top"/>
                </w:tcPr>
                <w:p w14:paraId="3BB8F5BD">
                  <w:pPr>
                    <w:pStyle w:val="39"/>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kern w:val="2"/>
                      <w:sz w:val="21"/>
                      <w:szCs w:val="24"/>
                      <w:lang w:val="en-US" w:eastAsia="zh-CN" w:bidi="ar-SA"/>
                    </w:rPr>
                    <w:t>台</w:t>
                  </w:r>
                </w:p>
              </w:tc>
              <w:tc>
                <w:tcPr>
                  <w:tcW w:w="2431" w:type="dxa"/>
                  <w:vAlign w:val="center"/>
                </w:tcPr>
                <w:p w14:paraId="721B03B5">
                  <w:pPr>
                    <w:pStyle w:val="39"/>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w:t>
                  </w:r>
                </w:p>
              </w:tc>
            </w:tr>
          </w:tbl>
          <w:p w14:paraId="7727DCE0">
            <w:pPr>
              <w:pStyle w:val="26"/>
              <w:spacing w:line="360" w:lineRule="auto"/>
              <w:jc w:val="both"/>
              <w:rPr>
                <w:rFonts w:ascii="Times New Roman" w:hAnsi="Times New Roman" w:eastAsiaTheme="minorEastAsia"/>
                <w:b/>
                <w:bCs/>
                <w:color w:val="auto"/>
              </w:rPr>
            </w:pPr>
            <w:r>
              <w:rPr>
                <w:rFonts w:ascii="Times New Roman" w:hAnsi="Times New Roman" w:eastAsiaTheme="minorEastAsia"/>
                <w:b/>
                <w:bCs/>
                <w:color w:val="auto"/>
              </w:rPr>
              <w:t>4.原辅材料消耗</w:t>
            </w:r>
          </w:p>
          <w:p w14:paraId="4F517C9A">
            <w:pPr>
              <w:adjustRightInd w:val="0"/>
              <w:spacing w:line="360" w:lineRule="auto"/>
              <w:jc w:val="left"/>
              <w:outlineLvl w:val="1"/>
              <w:rPr>
                <w:rFonts w:ascii="Times New Roman" w:hAnsi="Times New Roman" w:eastAsiaTheme="minorEastAsia"/>
                <w:b/>
                <w:bCs/>
                <w:sz w:val="24"/>
              </w:rPr>
            </w:pPr>
            <w:bookmarkStart w:id="29" w:name="_Toc14710"/>
            <w:r>
              <w:rPr>
                <w:rFonts w:ascii="Times New Roman" w:hAnsi="Times New Roman" w:eastAsiaTheme="minorEastAsia"/>
                <w:b/>
                <w:bCs/>
                <w:sz w:val="24"/>
              </w:rPr>
              <w:t>原辅材料消耗</w:t>
            </w:r>
          </w:p>
          <w:p w14:paraId="04260A46">
            <w:pPr>
              <w:spacing w:line="360" w:lineRule="auto"/>
              <w:ind w:firstLine="480"/>
              <w:rPr>
                <w:rFonts w:ascii="Times New Roman" w:hAnsi="Times New Roman" w:eastAsiaTheme="minorEastAsia"/>
              </w:rPr>
            </w:pPr>
            <w:r>
              <w:rPr>
                <w:rFonts w:ascii="Times New Roman" w:hAnsi="Times New Roman" w:eastAsiaTheme="minorEastAsia"/>
                <w:sz w:val="24"/>
              </w:rPr>
              <w:t>本项目主要原辅材料及用量见下表。</w:t>
            </w:r>
          </w:p>
          <w:p w14:paraId="4264C93D">
            <w:pPr>
              <w:spacing w:line="360" w:lineRule="auto"/>
              <w:ind w:firstLine="480"/>
              <w:jc w:val="center"/>
              <w:rPr>
                <w:rFonts w:ascii="Times New Roman" w:hAnsi="Times New Roman" w:eastAsiaTheme="minorEastAsia"/>
                <w:b/>
                <w:bCs/>
                <w:sz w:val="24"/>
              </w:rPr>
            </w:pPr>
            <w:r>
              <w:rPr>
                <w:rFonts w:ascii="Times New Roman" w:hAnsi="Times New Roman" w:eastAsiaTheme="minorEastAsia"/>
                <w:b/>
                <w:bCs/>
                <w:sz w:val="24"/>
              </w:rPr>
              <w:t>表2-3主要原辅材料及用量</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1677"/>
              <w:gridCol w:w="1832"/>
              <w:gridCol w:w="2016"/>
              <w:gridCol w:w="2373"/>
            </w:tblGrid>
            <w:tr w14:paraId="05D4D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509" w:type="pct"/>
                  <w:vAlign w:val="center"/>
                </w:tcPr>
                <w:p w14:paraId="159A3B7A">
                  <w:pPr>
                    <w:pStyle w:val="39"/>
                    <w:rPr>
                      <w:color w:val="auto"/>
                    </w:rPr>
                  </w:pPr>
                  <w:r>
                    <w:rPr>
                      <w:color w:val="auto"/>
                    </w:rPr>
                    <w:t>序号</w:t>
                  </w:r>
                </w:p>
              </w:tc>
              <w:tc>
                <w:tcPr>
                  <w:tcW w:w="953" w:type="pct"/>
                  <w:vAlign w:val="center"/>
                </w:tcPr>
                <w:p w14:paraId="2DDC22FB">
                  <w:pPr>
                    <w:pStyle w:val="39"/>
                    <w:rPr>
                      <w:color w:val="auto"/>
                    </w:rPr>
                  </w:pPr>
                  <w:r>
                    <w:rPr>
                      <w:color w:val="auto"/>
                    </w:rPr>
                    <w:t>原辅料名称</w:t>
                  </w:r>
                </w:p>
              </w:tc>
              <w:tc>
                <w:tcPr>
                  <w:tcW w:w="1041" w:type="pct"/>
                  <w:vAlign w:val="center"/>
                </w:tcPr>
                <w:p w14:paraId="6EC7CE17">
                  <w:pPr>
                    <w:pStyle w:val="39"/>
                    <w:rPr>
                      <w:color w:val="auto"/>
                    </w:rPr>
                  </w:pPr>
                  <w:r>
                    <w:rPr>
                      <w:color w:val="auto"/>
                    </w:rPr>
                    <w:t>数量（辆/a）</w:t>
                  </w:r>
                </w:p>
              </w:tc>
              <w:tc>
                <w:tcPr>
                  <w:tcW w:w="1146" w:type="pct"/>
                  <w:vAlign w:val="center"/>
                </w:tcPr>
                <w:p w14:paraId="28F1AE8A">
                  <w:pPr>
                    <w:pStyle w:val="39"/>
                    <w:rPr>
                      <w:color w:val="auto"/>
                    </w:rPr>
                  </w:pPr>
                  <w:r>
                    <w:rPr>
                      <w:color w:val="auto"/>
                    </w:rPr>
                    <w:t>拆解量（t/a）</w:t>
                  </w:r>
                </w:p>
              </w:tc>
              <w:tc>
                <w:tcPr>
                  <w:tcW w:w="1349" w:type="pct"/>
                  <w:vAlign w:val="center"/>
                </w:tcPr>
                <w:p w14:paraId="289E92C2">
                  <w:pPr>
                    <w:pStyle w:val="39"/>
                    <w:rPr>
                      <w:color w:val="auto"/>
                    </w:rPr>
                  </w:pPr>
                  <w:r>
                    <w:rPr>
                      <w:color w:val="auto"/>
                    </w:rPr>
                    <w:t>备注</w:t>
                  </w:r>
                </w:p>
              </w:tc>
            </w:tr>
            <w:tr w14:paraId="771B8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0" w:hRule="atLeast"/>
                <w:jc w:val="center"/>
              </w:trPr>
              <w:tc>
                <w:tcPr>
                  <w:tcW w:w="509" w:type="pct"/>
                  <w:tcBorders>
                    <w:bottom w:val="single" w:color="auto" w:sz="4" w:space="0"/>
                  </w:tcBorders>
                  <w:vAlign w:val="center"/>
                </w:tcPr>
                <w:p w14:paraId="65107B8C">
                  <w:pPr>
                    <w:pStyle w:val="39"/>
                    <w:rPr>
                      <w:color w:val="auto"/>
                    </w:rPr>
                  </w:pPr>
                  <w:r>
                    <w:rPr>
                      <w:color w:val="auto"/>
                    </w:rPr>
                    <w:t>1</w:t>
                  </w:r>
                </w:p>
              </w:tc>
              <w:tc>
                <w:tcPr>
                  <w:tcW w:w="953" w:type="pct"/>
                  <w:tcBorders>
                    <w:bottom w:val="single" w:color="auto" w:sz="4" w:space="0"/>
                  </w:tcBorders>
                  <w:vAlign w:val="center"/>
                </w:tcPr>
                <w:p w14:paraId="5098BA4A">
                  <w:pPr>
                    <w:pStyle w:val="39"/>
                    <w:rPr>
                      <w:color w:val="auto"/>
                    </w:rPr>
                  </w:pPr>
                  <w:r>
                    <w:rPr>
                      <w:color w:val="auto"/>
                    </w:rPr>
                    <w:t>报废</w:t>
                  </w:r>
                  <w:r>
                    <w:rPr>
                      <w:rFonts w:hint="eastAsia"/>
                      <w:color w:val="auto"/>
                    </w:rPr>
                    <w:t>农业机械</w:t>
                  </w:r>
                </w:p>
              </w:tc>
              <w:tc>
                <w:tcPr>
                  <w:tcW w:w="1041" w:type="pct"/>
                  <w:tcBorders>
                    <w:bottom w:val="single" w:color="auto" w:sz="4" w:space="0"/>
                  </w:tcBorders>
                  <w:vAlign w:val="center"/>
                </w:tcPr>
                <w:p w14:paraId="5BD94DB2">
                  <w:pPr>
                    <w:pStyle w:val="39"/>
                    <w:rPr>
                      <w:rFonts w:hint="default" w:ascii="Times New Roman" w:hAnsi="Times New Roman" w:cs="Times New Roman"/>
                      <w:color w:val="auto"/>
                      <w:lang w:val="en-US"/>
                    </w:rPr>
                  </w:pPr>
                  <w:r>
                    <w:rPr>
                      <w:rFonts w:hint="default" w:ascii="Times New Roman" w:hAnsi="Times New Roman" w:cs="Times New Roman"/>
                      <w:color w:val="auto"/>
                      <w:lang w:val="en-US" w:eastAsia="zh-CN"/>
                    </w:rPr>
                    <w:t>10000</w:t>
                  </w:r>
                </w:p>
              </w:tc>
              <w:tc>
                <w:tcPr>
                  <w:tcW w:w="1146" w:type="pct"/>
                  <w:tcBorders>
                    <w:bottom w:val="single" w:color="auto" w:sz="4" w:space="0"/>
                  </w:tcBorders>
                  <w:vAlign w:val="center"/>
                </w:tcPr>
                <w:p w14:paraId="286A7AB3">
                  <w:pPr>
                    <w:pStyle w:val="39"/>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30</w:t>
                  </w:r>
                  <w:r>
                    <w:rPr>
                      <w:rFonts w:hint="default" w:ascii="Times New Roman" w:hAnsi="Times New Roman" w:cs="Times New Roman"/>
                      <w:color w:val="auto"/>
                    </w:rPr>
                    <w:t>00</w:t>
                  </w:r>
                  <w:r>
                    <w:rPr>
                      <w:rFonts w:hint="default" w:ascii="Times New Roman" w:hAnsi="Times New Roman" w:cs="Times New Roman"/>
                      <w:color w:val="auto"/>
                      <w:lang w:val="en-US" w:eastAsia="zh-CN"/>
                    </w:rPr>
                    <w:t>0</w:t>
                  </w:r>
                </w:p>
              </w:tc>
              <w:tc>
                <w:tcPr>
                  <w:tcW w:w="1349" w:type="pct"/>
                  <w:tcBorders>
                    <w:bottom w:val="single" w:color="auto" w:sz="4" w:space="0"/>
                  </w:tcBorders>
                  <w:vAlign w:val="center"/>
                </w:tcPr>
                <w:p w14:paraId="6172E093">
                  <w:pPr>
                    <w:pStyle w:val="39"/>
                    <w:rPr>
                      <w:color w:val="auto"/>
                    </w:rPr>
                  </w:pPr>
                  <w:r>
                    <w:rPr>
                      <w:rFonts w:hint="default" w:ascii="Times New Roman" w:hAnsi="Times New Roman" w:cs="Times New Roman"/>
                      <w:color w:val="auto"/>
                      <w:kern w:val="0"/>
                      <w:szCs w:val="21"/>
                    </w:rPr>
                    <w:t>3t/辆</w:t>
                  </w:r>
                  <w:r>
                    <w:rPr>
                      <w:color w:val="auto"/>
                      <w:kern w:val="0"/>
                      <w:szCs w:val="21"/>
                    </w:rPr>
                    <w:t>，</w:t>
                  </w:r>
                  <w:r>
                    <w:rPr>
                      <w:color w:val="auto"/>
                    </w:rPr>
                    <w:t>外购</w:t>
                  </w:r>
                </w:p>
              </w:tc>
            </w:tr>
            <w:bookmarkEnd w:id="29"/>
          </w:tbl>
          <w:p w14:paraId="5486F35D">
            <w:pPr>
              <w:spacing w:line="360" w:lineRule="auto"/>
              <w:jc w:val="both"/>
              <w:rPr>
                <w:rFonts w:ascii="Times New Roman" w:hAnsi="Times New Roman" w:eastAsiaTheme="minorEastAsia"/>
                <w:b/>
                <w:color w:val="FF0000"/>
                <w:kern w:val="44"/>
                <w:sz w:val="24"/>
              </w:rPr>
            </w:pPr>
          </w:p>
          <w:p w14:paraId="3B145028">
            <w:pPr>
              <w:spacing w:line="360" w:lineRule="auto"/>
              <w:rPr>
                <w:rFonts w:ascii="Times New Roman" w:hAnsi="Times New Roman" w:eastAsiaTheme="minorEastAsia"/>
                <w:b/>
                <w:kern w:val="44"/>
                <w:sz w:val="24"/>
              </w:rPr>
            </w:pPr>
            <w:r>
              <w:rPr>
                <w:rFonts w:ascii="Times New Roman" w:hAnsi="Times New Roman" w:eastAsiaTheme="minorEastAsia"/>
                <w:b/>
                <w:kern w:val="44"/>
                <w:sz w:val="24"/>
              </w:rPr>
              <w:t>5.劳动定员与工作制度</w:t>
            </w:r>
          </w:p>
          <w:p w14:paraId="0E737934">
            <w:pPr>
              <w:pStyle w:val="7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Theme="minorEastAsia"/>
                <w:sz w:val="24"/>
              </w:rPr>
            </w:pPr>
            <w:r>
              <w:rPr>
                <w:rFonts w:ascii="Times New Roman" w:hAnsi="Times New Roman" w:cs="Times New Roman" w:eastAsiaTheme="minorEastAsia"/>
                <w:kern w:val="2"/>
                <w:sz w:val="24"/>
                <w:szCs w:val="24"/>
                <w:lang w:val="en-US" w:eastAsia="zh-CN" w:bidi="ar-SA"/>
              </w:rPr>
              <w:t>本项目劳动定员</w:t>
            </w:r>
            <w:r>
              <w:rPr>
                <w:rFonts w:hint="eastAsia" w:ascii="Times New Roman" w:hAnsi="Times New Roman" w:cs="Times New Roman" w:eastAsiaTheme="minorEastAsia"/>
                <w:kern w:val="2"/>
                <w:sz w:val="24"/>
                <w:szCs w:val="24"/>
                <w:lang w:val="en-US" w:eastAsia="zh-CN" w:bidi="ar-SA"/>
              </w:rPr>
              <w:t>5人</w:t>
            </w:r>
            <w:r>
              <w:rPr>
                <w:rFonts w:ascii="Times New Roman" w:hAnsi="Times New Roman" w:cs="Times New Roman" w:eastAsiaTheme="minorEastAsia"/>
                <w:kern w:val="2"/>
                <w:sz w:val="24"/>
                <w:szCs w:val="24"/>
                <w:lang w:val="en-US" w:eastAsia="zh-CN" w:bidi="ar-SA"/>
              </w:rPr>
              <w:t>，一班制，日工作8小时，年生产</w:t>
            </w:r>
            <w:r>
              <w:rPr>
                <w:rFonts w:hint="eastAsia" w:ascii="Times New Roman" w:hAnsi="Times New Roman" w:cs="Times New Roman" w:eastAsiaTheme="minorEastAsia"/>
                <w:kern w:val="2"/>
                <w:sz w:val="24"/>
                <w:szCs w:val="24"/>
                <w:lang w:val="en-US" w:eastAsia="zh-CN" w:bidi="ar-SA"/>
              </w:rPr>
              <w:t>300</w:t>
            </w:r>
            <w:r>
              <w:rPr>
                <w:rFonts w:ascii="Times New Roman" w:hAnsi="Times New Roman" w:cs="Times New Roman" w:eastAsiaTheme="minorEastAsia"/>
                <w:kern w:val="2"/>
                <w:sz w:val="24"/>
                <w:szCs w:val="24"/>
                <w:lang w:val="en-US" w:eastAsia="zh-CN" w:bidi="ar-SA"/>
              </w:rPr>
              <w:t>天，</w:t>
            </w:r>
            <w:r>
              <w:rPr>
                <w:rFonts w:hint="eastAsia" w:ascii="Times New Roman" w:hAnsi="Times New Roman" w:cs="Times New Roman" w:eastAsiaTheme="minorEastAsia"/>
                <w:kern w:val="2"/>
                <w:sz w:val="24"/>
                <w:szCs w:val="24"/>
                <w:lang w:val="en-US" w:eastAsia="zh-CN" w:bidi="ar-SA"/>
              </w:rPr>
              <w:t>2400</w:t>
            </w:r>
            <w:r>
              <w:rPr>
                <w:rFonts w:ascii="Times New Roman" w:hAnsi="Times New Roman" w:cs="Times New Roman" w:eastAsiaTheme="minorEastAsia"/>
                <w:kern w:val="2"/>
                <w:sz w:val="24"/>
                <w:szCs w:val="24"/>
                <w:lang w:val="en-US" w:eastAsia="zh-CN" w:bidi="ar-SA"/>
              </w:rPr>
              <w:t>h。厂区内无食堂、无宿舍。</w:t>
            </w:r>
          </w:p>
          <w:p w14:paraId="50DDC0F9">
            <w:pPr>
              <w:pStyle w:val="26"/>
              <w:numPr>
                <w:ilvl w:val="0"/>
                <w:numId w:val="1"/>
              </w:numPr>
              <w:spacing w:line="360" w:lineRule="auto"/>
              <w:ind w:left="482" w:hanging="482" w:hangingChars="200"/>
              <w:jc w:val="both"/>
              <w:rPr>
                <w:rFonts w:ascii="Times New Roman" w:hAnsi="Times New Roman" w:eastAsiaTheme="minorEastAsia"/>
                <w:b/>
                <w:color w:val="auto"/>
                <w:kern w:val="44"/>
              </w:rPr>
            </w:pPr>
            <w:r>
              <w:rPr>
                <w:rFonts w:ascii="Times New Roman" w:hAnsi="Times New Roman" w:eastAsiaTheme="minorEastAsia"/>
                <w:b/>
                <w:color w:val="auto"/>
                <w:kern w:val="44"/>
              </w:rPr>
              <w:t>工程变动情况</w:t>
            </w:r>
          </w:p>
          <w:p w14:paraId="0E70419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Theme="minorEastAsia"/>
                <w:sz w:val="24"/>
              </w:rPr>
            </w:pPr>
            <w:r>
              <w:rPr>
                <w:rFonts w:ascii="Times New Roman" w:hAnsi="Times New Roman" w:eastAsiaTheme="minorEastAsia"/>
                <w:sz w:val="24"/>
              </w:rPr>
              <w:t>根据《污染影响类建设项目重大变动清单（试行）》的通知环办环评函〔2020〕688号文，污染影响类建设项目重大变动清单为“建设项目的性质、规模、地点、生产工艺和环境保护措施”。项目变动内容不属于重大变动，纳入竣工环境保护验收管理。</w:t>
            </w:r>
          </w:p>
          <w:p w14:paraId="658B5EB5">
            <w:pPr>
              <w:pStyle w:val="26"/>
              <w:numPr>
                <w:ilvl w:val="0"/>
                <w:numId w:val="1"/>
              </w:numPr>
              <w:spacing w:line="360" w:lineRule="auto"/>
              <w:ind w:left="482" w:hanging="482" w:hangingChars="200"/>
              <w:jc w:val="both"/>
              <w:rPr>
                <w:rFonts w:ascii="Times New Roman" w:hAnsi="Times New Roman" w:eastAsiaTheme="minorEastAsia"/>
                <w:b/>
                <w:color w:val="auto"/>
                <w:kern w:val="44"/>
              </w:rPr>
            </w:pPr>
            <w:r>
              <w:rPr>
                <w:rFonts w:ascii="Times New Roman" w:hAnsi="Times New Roman" w:eastAsiaTheme="minorEastAsia"/>
                <w:b/>
                <w:color w:val="auto"/>
                <w:kern w:val="44"/>
              </w:rPr>
              <w:t>环保设施投资一览</w:t>
            </w:r>
          </w:p>
          <w:p w14:paraId="2EBD35C6">
            <w:pPr>
              <w:pStyle w:val="26"/>
              <w:spacing w:line="360" w:lineRule="auto"/>
              <w:ind w:left="-420" w:leftChars="-200"/>
              <w:jc w:val="center"/>
              <w:rPr>
                <w:rFonts w:ascii="Times New Roman" w:hAnsi="Times New Roman" w:eastAsiaTheme="minorEastAsia"/>
                <w:b/>
                <w:bCs/>
                <w:color w:val="auto"/>
                <w:szCs w:val="21"/>
              </w:rPr>
            </w:pPr>
            <w:r>
              <w:rPr>
                <w:rFonts w:ascii="Times New Roman" w:hAnsi="Times New Roman" w:eastAsiaTheme="minorEastAsia"/>
                <w:b/>
                <w:bCs/>
                <w:color w:val="auto"/>
              </w:rPr>
              <w:t>表2-4</w:t>
            </w:r>
            <w:r>
              <w:rPr>
                <w:rFonts w:ascii="Times New Roman" w:hAnsi="Times New Roman" w:eastAsiaTheme="minorEastAsia"/>
                <w:b/>
                <w:bCs/>
                <w:color w:val="auto"/>
                <w:szCs w:val="21"/>
              </w:rPr>
              <w:t>环保措施及投资估算一览表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39"/>
              <w:gridCol w:w="1498"/>
              <w:gridCol w:w="1823"/>
              <w:gridCol w:w="3647"/>
              <w:gridCol w:w="1288"/>
            </w:tblGrid>
            <w:tr w14:paraId="3D261A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742" w:type="dxa"/>
                  <w:gridSpan w:val="2"/>
                  <w:vAlign w:val="center"/>
                </w:tcPr>
                <w:p w14:paraId="66FFE647">
                  <w:pPr>
                    <w:pStyle w:val="39"/>
                    <w:keepNext/>
                    <w:rPr>
                      <w:color w:val="auto"/>
                    </w:rPr>
                  </w:pPr>
                  <w:r>
                    <w:rPr>
                      <w:color w:val="auto"/>
                    </w:rPr>
                    <w:t>投资项目</w:t>
                  </w:r>
                </w:p>
              </w:tc>
              <w:tc>
                <w:tcPr>
                  <w:tcW w:w="1559" w:type="dxa"/>
                  <w:vAlign w:val="center"/>
                </w:tcPr>
                <w:p w14:paraId="20E7943D">
                  <w:pPr>
                    <w:pStyle w:val="39"/>
                    <w:keepNext/>
                    <w:rPr>
                      <w:color w:val="auto"/>
                    </w:rPr>
                  </w:pPr>
                  <w:r>
                    <w:rPr>
                      <w:color w:val="auto"/>
                    </w:rPr>
                    <w:t>污染源</w:t>
                  </w:r>
                </w:p>
              </w:tc>
              <w:tc>
                <w:tcPr>
                  <w:tcW w:w="3119" w:type="dxa"/>
                  <w:vAlign w:val="center"/>
                </w:tcPr>
                <w:p w14:paraId="500160EC">
                  <w:pPr>
                    <w:pStyle w:val="39"/>
                    <w:keepNext/>
                    <w:rPr>
                      <w:color w:val="auto"/>
                    </w:rPr>
                  </w:pPr>
                  <w:r>
                    <w:rPr>
                      <w:color w:val="auto"/>
                    </w:rPr>
                    <w:t>具体措施</w:t>
                  </w:r>
                </w:p>
              </w:tc>
              <w:tc>
                <w:tcPr>
                  <w:tcW w:w="1101" w:type="dxa"/>
                  <w:vAlign w:val="center"/>
                </w:tcPr>
                <w:p w14:paraId="2677A637">
                  <w:pPr>
                    <w:pStyle w:val="39"/>
                    <w:keepNext/>
                    <w:rPr>
                      <w:color w:val="auto"/>
                    </w:rPr>
                  </w:pPr>
                  <w:r>
                    <w:rPr>
                      <w:color w:val="auto"/>
                    </w:rPr>
                    <w:t>投资</w:t>
                  </w:r>
                </w:p>
                <w:p w14:paraId="3F383019">
                  <w:pPr>
                    <w:pStyle w:val="39"/>
                    <w:keepNext/>
                    <w:rPr>
                      <w:color w:val="auto"/>
                    </w:rPr>
                  </w:pPr>
                  <w:r>
                    <w:rPr>
                      <w:color w:val="auto"/>
                    </w:rPr>
                    <w:t>（万元）</w:t>
                  </w:r>
                </w:p>
              </w:tc>
            </w:tr>
            <w:tr w14:paraId="0AFC08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461" w:type="dxa"/>
                  <w:vMerge w:val="restart"/>
                  <w:tcBorders>
                    <w:right w:val="single" w:color="auto" w:sz="4" w:space="0"/>
                  </w:tcBorders>
                  <w:vAlign w:val="center"/>
                </w:tcPr>
                <w:p w14:paraId="375ED71C">
                  <w:pPr>
                    <w:pStyle w:val="39"/>
                    <w:keepNext/>
                    <w:rPr>
                      <w:color w:val="auto"/>
                    </w:rPr>
                  </w:pPr>
                  <w:r>
                    <w:rPr>
                      <w:color w:val="auto"/>
                    </w:rPr>
                    <w:t>运</w:t>
                  </w:r>
                </w:p>
                <w:p w14:paraId="16503F6F">
                  <w:pPr>
                    <w:pStyle w:val="39"/>
                    <w:keepNext/>
                    <w:rPr>
                      <w:color w:val="auto"/>
                    </w:rPr>
                  </w:pPr>
                  <w:r>
                    <w:rPr>
                      <w:color w:val="auto"/>
                    </w:rPr>
                    <w:t>营</w:t>
                  </w:r>
                </w:p>
                <w:p w14:paraId="68C046EA">
                  <w:pPr>
                    <w:pStyle w:val="39"/>
                    <w:keepNext/>
                    <w:rPr>
                      <w:color w:val="auto"/>
                    </w:rPr>
                  </w:pPr>
                  <w:r>
                    <w:rPr>
                      <w:color w:val="auto"/>
                    </w:rPr>
                    <w:t>期</w:t>
                  </w:r>
                </w:p>
              </w:tc>
              <w:tc>
                <w:tcPr>
                  <w:tcW w:w="1281" w:type="dxa"/>
                  <w:tcBorders>
                    <w:left w:val="single" w:color="auto" w:sz="4" w:space="0"/>
                  </w:tcBorders>
                  <w:vAlign w:val="center"/>
                </w:tcPr>
                <w:p w14:paraId="725A9937">
                  <w:pPr>
                    <w:pStyle w:val="39"/>
                    <w:keepNext/>
                    <w:rPr>
                      <w:color w:val="auto"/>
                    </w:rPr>
                  </w:pPr>
                  <w:r>
                    <w:rPr>
                      <w:color w:val="auto"/>
                    </w:rPr>
                    <w:t>废气治理</w:t>
                  </w:r>
                </w:p>
              </w:tc>
              <w:tc>
                <w:tcPr>
                  <w:tcW w:w="1559" w:type="dxa"/>
                  <w:vAlign w:val="center"/>
                </w:tcPr>
                <w:p w14:paraId="527C9E05">
                  <w:pPr>
                    <w:pStyle w:val="39"/>
                    <w:keepNext/>
                    <w:rPr>
                      <w:color w:val="auto"/>
                    </w:rPr>
                  </w:pPr>
                  <w:r>
                    <w:rPr>
                      <w:color w:val="auto"/>
                    </w:rPr>
                    <w:t>切割工段</w:t>
                  </w:r>
                </w:p>
              </w:tc>
              <w:tc>
                <w:tcPr>
                  <w:tcW w:w="3119" w:type="dxa"/>
                  <w:vAlign w:val="center"/>
                </w:tcPr>
                <w:p w14:paraId="38D63902">
                  <w:pPr>
                    <w:pStyle w:val="39"/>
                    <w:keepNext/>
                    <w:jc w:val="both"/>
                    <w:rPr>
                      <w:rFonts w:hint="default" w:eastAsia="宋体"/>
                      <w:color w:val="auto"/>
                      <w:lang w:val="en-US" w:eastAsia="zh-CN"/>
                    </w:rPr>
                  </w:pPr>
                  <w:r>
                    <w:rPr>
                      <w:rFonts w:hint="eastAsia"/>
                      <w:color w:val="auto"/>
                      <w:lang w:val="en-US" w:eastAsia="zh-CN"/>
                    </w:rPr>
                    <w:t>布袋除尘</w:t>
                  </w:r>
                  <w:r>
                    <w:rPr>
                      <w:color w:val="auto"/>
                    </w:rPr>
                    <w:t>器、</w:t>
                  </w:r>
                  <w:r>
                    <w:rPr>
                      <w:rFonts w:hint="eastAsia"/>
                      <w:color w:val="auto"/>
                    </w:rPr>
                    <w:t>集气罩</w:t>
                  </w:r>
                  <w:r>
                    <w:rPr>
                      <w:rFonts w:hint="eastAsia"/>
                      <w:color w:val="auto"/>
                      <w:lang w:eastAsia="zh-CN"/>
                    </w:rPr>
                    <w:t>、</w:t>
                  </w:r>
                  <w:r>
                    <w:rPr>
                      <w:rFonts w:hint="eastAsia"/>
                      <w:color w:val="auto"/>
                    </w:rPr>
                    <w:t>活性炭吸附装置</w:t>
                  </w:r>
                  <w:r>
                    <w:rPr>
                      <w:rFonts w:hint="eastAsia"/>
                      <w:color w:val="auto"/>
                      <w:lang w:eastAsia="zh-CN"/>
                    </w:rPr>
                    <w:t>、</w:t>
                  </w:r>
                  <w:r>
                    <w:rPr>
                      <w:rFonts w:hint="eastAsia"/>
                      <w:color w:val="auto"/>
                      <w:lang w:val="en-US" w:eastAsia="zh-CN"/>
                    </w:rPr>
                    <w:t>危险废物贮存容器密闭</w:t>
                  </w:r>
                </w:p>
              </w:tc>
              <w:tc>
                <w:tcPr>
                  <w:tcW w:w="1101" w:type="dxa"/>
                  <w:vAlign w:val="center"/>
                </w:tcPr>
                <w:p w14:paraId="1A61C69F">
                  <w:pPr>
                    <w:pStyle w:val="39"/>
                    <w:keepNext/>
                    <w:rPr>
                      <w:rFonts w:hint="default" w:ascii="Times New Roman" w:hAnsi="Times New Roman" w:cs="Times New Roman"/>
                      <w:color w:val="auto"/>
                    </w:rPr>
                  </w:pPr>
                  <w:r>
                    <w:rPr>
                      <w:rFonts w:hint="default" w:ascii="Times New Roman" w:hAnsi="Times New Roman" w:cs="Times New Roman"/>
                      <w:color w:val="auto"/>
                    </w:rPr>
                    <w:t>1.0</w:t>
                  </w:r>
                </w:p>
              </w:tc>
            </w:tr>
            <w:tr w14:paraId="1F9C86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0C9DE36D">
                  <w:pPr>
                    <w:pStyle w:val="39"/>
                    <w:keepNext/>
                    <w:rPr>
                      <w:color w:val="auto"/>
                    </w:rPr>
                  </w:pPr>
                </w:p>
              </w:tc>
              <w:tc>
                <w:tcPr>
                  <w:tcW w:w="1281" w:type="dxa"/>
                  <w:tcBorders>
                    <w:left w:val="single" w:color="auto" w:sz="4" w:space="0"/>
                  </w:tcBorders>
                  <w:vAlign w:val="center"/>
                </w:tcPr>
                <w:p w14:paraId="5DCAD659">
                  <w:pPr>
                    <w:pStyle w:val="39"/>
                    <w:keepNext/>
                    <w:rPr>
                      <w:color w:val="auto"/>
                    </w:rPr>
                  </w:pPr>
                  <w:r>
                    <w:rPr>
                      <w:color w:val="auto"/>
                    </w:rPr>
                    <w:t>噪声治理</w:t>
                  </w:r>
                </w:p>
              </w:tc>
              <w:tc>
                <w:tcPr>
                  <w:tcW w:w="1559" w:type="dxa"/>
                  <w:vAlign w:val="center"/>
                </w:tcPr>
                <w:p w14:paraId="3C1C8085">
                  <w:pPr>
                    <w:pStyle w:val="39"/>
                    <w:keepNext/>
                    <w:rPr>
                      <w:color w:val="auto"/>
                    </w:rPr>
                  </w:pPr>
                  <w:r>
                    <w:rPr>
                      <w:color w:val="auto"/>
                    </w:rPr>
                    <w:t>设备噪声</w:t>
                  </w:r>
                </w:p>
              </w:tc>
              <w:tc>
                <w:tcPr>
                  <w:tcW w:w="3119" w:type="dxa"/>
                  <w:vAlign w:val="center"/>
                </w:tcPr>
                <w:p w14:paraId="78C74798">
                  <w:pPr>
                    <w:pStyle w:val="39"/>
                    <w:keepNext/>
                    <w:jc w:val="both"/>
                    <w:rPr>
                      <w:color w:val="auto"/>
                    </w:rPr>
                  </w:pPr>
                  <w:r>
                    <w:rPr>
                      <w:color w:val="auto"/>
                    </w:rPr>
                    <w:t>选用低噪声设备，隔声减振、车间采用隔声门窗等</w:t>
                  </w:r>
                </w:p>
              </w:tc>
              <w:tc>
                <w:tcPr>
                  <w:tcW w:w="1101" w:type="dxa"/>
                  <w:vAlign w:val="center"/>
                </w:tcPr>
                <w:p w14:paraId="2554AE17">
                  <w:pPr>
                    <w:pStyle w:val="39"/>
                    <w:keepNext/>
                    <w:rPr>
                      <w:rFonts w:hint="default" w:ascii="Times New Roman" w:hAnsi="Times New Roman" w:cs="Times New Roman"/>
                      <w:color w:val="auto"/>
                    </w:rPr>
                  </w:pPr>
                  <w:r>
                    <w:rPr>
                      <w:rFonts w:hint="default" w:ascii="Times New Roman" w:hAnsi="Times New Roman" w:cs="Times New Roman"/>
                      <w:color w:val="auto"/>
                    </w:rPr>
                    <w:t>1.0</w:t>
                  </w:r>
                </w:p>
              </w:tc>
            </w:tr>
            <w:tr w14:paraId="48FF1C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06A2276A">
                  <w:pPr>
                    <w:pStyle w:val="39"/>
                    <w:keepNext/>
                    <w:rPr>
                      <w:color w:val="auto"/>
                    </w:rPr>
                  </w:pPr>
                </w:p>
              </w:tc>
              <w:tc>
                <w:tcPr>
                  <w:tcW w:w="1281" w:type="dxa"/>
                  <w:tcBorders>
                    <w:left w:val="single" w:color="auto" w:sz="4" w:space="0"/>
                  </w:tcBorders>
                  <w:vAlign w:val="center"/>
                </w:tcPr>
                <w:p w14:paraId="64C0F502">
                  <w:pPr>
                    <w:pStyle w:val="39"/>
                    <w:keepNext/>
                    <w:rPr>
                      <w:color w:val="auto"/>
                    </w:rPr>
                  </w:pPr>
                  <w:r>
                    <w:rPr>
                      <w:color w:val="auto"/>
                    </w:rPr>
                    <w:t>废水治理</w:t>
                  </w:r>
                </w:p>
              </w:tc>
              <w:tc>
                <w:tcPr>
                  <w:tcW w:w="1559" w:type="dxa"/>
                  <w:vAlign w:val="center"/>
                </w:tcPr>
                <w:p w14:paraId="07FA1CC5">
                  <w:pPr>
                    <w:pStyle w:val="39"/>
                    <w:keepNext/>
                    <w:rPr>
                      <w:rFonts w:hint="eastAsia" w:eastAsia="宋体"/>
                      <w:color w:val="auto"/>
                      <w:lang w:eastAsia="zh-CN"/>
                    </w:rPr>
                  </w:pPr>
                  <w:r>
                    <w:rPr>
                      <w:rFonts w:hint="eastAsia"/>
                      <w:color w:val="auto"/>
                      <w:lang w:val="en-US" w:eastAsia="zh-CN"/>
                    </w:rPr>
                    <w:t>生活污水</w:t>
                  </w:r>
                </w:p>
              </w:tc>
              <w:tc>
                <w:tcPr>
                  <w:tcW w:w="3119" w:type="dxa"/>
                  <w:vAlign w:val="center"/>
                </w:tcPr>
                <w:p w14:paraId="3D5FA124">
                  <w:pPr>
                    <w:pStyle w:val="39"/>
                    <w:keepNext/>
                    <w:jc w:val="center"/>
                    <w:rPr>
                      <w:rFonts w:hint="eastAsia" w:eastAsia="宋体"/>
                      <w:color w:val="auto"/>
                      <w:lang w:eastAsia="zh-CN"/>
                    </w:rPr>
                  </w:pPr>
                  <w:r>
                    <w:rPr>
                      <w:rFonts w:hint="eastAsia"/>
                      <w:color w:val="auto"/>
                      <w:lang w:val="en-US" w:eastAsia="zh-CN"/>
                    </w:rPr>
                    <w:t>防渗旱厕</w:t>
                  </w:r>
                </w:p>
              </w:tc>
              <w:tc>
                <w:tcPr>
                  <w:tcW w:w="1101" w:type="dxa"/>
                  <w:vAlign w:val="center"/>
                </w:tcPr>
                <w:p w14:paraId="1BD7C33E">
                  <w:pPr>
                    <w:pStyle w:val="39"/>
                    <w:keepNext/>
                    <w:rPr>
                      <w:rFonts w:hint="default" w:ascii="Times New Roman" w:hAnsi="Times New Roman" w:cs="Times New Roman"/>
                      <w:color w:val="auto"/>
                    </w:rPr>
                  </w:pPr>
                  <w:r>
                    <w:rPr>
                      <w:rFonts w:hint="default" w:ascii="Times New Roman" w:hAnsi="Times New Roman" w:cs="Times New Roman"/>
                      <w:color w:val="auto"/>
                    </w:rPr>
                    <w:t>1.0</w:t>
                  </w:r>
                </w:p>
              </w:tc>
            </w:tr>
            <w:tr w14:paraId="203FD8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461" w:type="dxa"/>
                  <w:vMerge w:val="continue"/>
                  <w:tcBorders>
                    <w:right w:val="single" w:color="auto" w:sz="4" w:space="0"/>
                  </w:tcBorders>
                  <w:vAlign w:val="center"/>
                </w:tcPr>
                <w:p w14:paraId="10688FE3">
                  <w:pPr>
                    <w:pStyle w:val="39"/>
                    <w:keepNext/>
                    <w:rPr>
                      <w:color w:val="auto"/>
                    </w:rPr>
                  </w:pPr>
                </w:p>
              </w:tc>
              <w:tc>
                <w:tcPr>
                  <w:tcW w:w="1281" w:type="dxa"/>
                  <w:vMerge w:val="restart"/>
                  <w:tcBorders>
                    <w:left w:val="single" w:color="auto" w:sz="4" w:space="0"/>
                  </w:tcBorders>
                  <w:vAlign w:val="center"/>
                </w:tcPr>
                <w:p w14:paraId="4C79B1CE">
                  <w:pPr>
                    <w:pStyle w:val="39"/>
                    <w:keepNext/>
                    <w:rPr>
                      <w:color w:val="auto"/>
                    </w:rPr>
                  </w:pPr>
                  <w:r>
                    <w:rPr>
                      <w:color w:val="auto"/>
                    </w:rPr>
                    <w:t>固废</w:t>
                  </w:r>
                </w:p>
                <w:p w14:paraId="78699B1B">
                  <w:pPr>
                    <w:pStyle w:val="39"/>
                    <w:keepNext/>
                    <w:rPr>
                      <w:color w:val="auto"/>
                    </w:rPr>
                  </w:pPr>
                  <w:r>
                    <w:rPr>
                      <w:color w:val="auto"/>
                    </w:rPr>
                    <w:t>治理</w:t>
                  </w:r>
                </w:p>
              </w:tc>
              <w:tc>
                <w:tcPr>
                  <w:tcW w:w="1559" w:type="dxa"/>
                  <w:vAlign w:val="center"/>
                </w:tcPr>
                <w:p w14:paraId="50EC0B2A">
                  <w:pPr>
                    <w:pStyle w:val="39"/>
                    <w:keepNext/>
                    <w:rPr>
                      <w:color w:val="auto"/>
                    </w:rPr>
                  </w:pPr>
                  <w:r>
                    <w:rPr>
                      <w:color w:val="auto"/>
                    </w:rPr>
                    <w:t>生活垃圾</w:t>
                  </w:r>
                </w:p>
              </w:tc>
              <w:tc>
                <w:tcPr>
                  <w:tcW w:w="3119" w:type="dxa"/>
                  <w:vAlign w:val="center"/>
                </w:tcPr>
                <w:p w14:paraId="645BDB80">
                  <w:pPr>
                    <w:pStyle w:val="39"/>
                    <w:keepNext/>
                    <w:rPr>
                      <w:color w:val="auto"/>
                    </w:rPr>
                  </w:pPr>
                  <w:r>
                    <w:rPr>
                      <w:color w:val="auto"/>
                    </w:rPr>
                    <w:t>设置生活垃圾收集箱</w:t>
                  </w:r>
                </w:p>
              </w:tc>
              <w:tc>
                <w:tcPr>
                  <w:tcW w:w="1101" w:type="dxa"/>
                  <w:vAlign w:val="center"/>
                </w:tcPr>
                <w:p w14:paraId="325A0B7F">
                  <w:pPr>
                    <w:pStyle w:val="39"/>
                    <w:keepNext/>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0.3</w:t>
                  </w:r>
                </w:p>
              </w:tc>
            </w:tr>
            <w:tr w14:paraId="7410D5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4C5E149D">
                  <w:pPr>
                    <w:pStyle w:val="39"/>
                    <w:keepNext/>
                    <w:rPr>
                      <w:color w:val="auto"/>
                    </w:rPr>
                  </w:pPr>
                </w:p>
              </w:tc>
              <w:tc>
                <w:tcPr>
                  <w:tcW w:w="1281" w:type="dxa"/>
                  <w:vMerge w:val="continue"/>
                  <w:tcBorders>
                    <w:left w:val="single" w:color="auto" w:sz="4" w:space="0"/>
                  </w:tcBorders>
                  <w:vAlign w:val="center"/>
                </w:tcPr>
                <w:p w14:paraId="7DB451D2">
                  <w:pPr>
                    <w:pStyle w:val="39"/>
                    <w:keepNext/>
                    <w:rPr>
                      <w:color w:val="auto"/>
                    </w:rPr>
                  </w:pPr>
                </w:p>
              </w:tc>
              <w:tc>
                <w:tcPr>
                  <w:tcW w:w="1559" w:type="dxa"/>
                  <w:vAlign w:val="center"/>
                </w:tcPr>
                <w:p w14:paraId="7601270B">
                  <w:pPr>
                    <w:pStyle w:val="39"/>
                    <w:keepNext/>
                    <w:rPr>
                      <w:color w:val="auto"/>
                    </w:rPr>
                  </w:pPr>
                  <w:r>
                    <w:rPr>
                      <w:color w:val="auto"/>
                    </w:rPr>
                    <w:t>一般固体废物</w:t>
                  </w:r>
                </w:p>
              </w:tc>
              <w:tc>
                <w:tcPr>
                  <w:tcW w:w="3119" w:type="dxa"/>
                  <w:vAlign w:val="center"/>
                </w:tcPr>
                <w:p w14:paraId="3191AE41">
                  <w:pPr>
                    <w:pStyle w:val="39"/>
                    <w:keepNext/>
                    <w:rPr>
                      <w:color w:val="auto"/>
                    </w:rPr>
                  </w:pPr>
                  <w:r>
                    <w:rPr>
                      <w:color w:val="auto"/>
                    </w:rPr>
                    <w:t>存储装置</w:t>
                  </w:r>
                </w:p>
              </w:tc>
              <w:tc>
                <w:tcPr>
                  <w:tcW w:w="1101" w:type="dxa"/>
                  <w:vAlign w:val="center"/>
                </w:tcPr>
                <w:p w14:paraId="7296E9E9">
                  <w:pPr>
                    <w:pStyle w:val="39"/>
                    <w:keepNext/>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2.0</w:t>
                  </w:r>
                </w:p>
              </w:tc>
            </w:tr>
            <w:tr w14:paraId="06CA50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382D4ECC">
                  <w:pPr>
                    <w:pStyle w:val="39"/>
                    <w:keepNext/>
                    <w:rPr>
                      <w:color w:val="auto"/>
                    </w:rPr>
                  </w:pPr>
                </w:p>
              </w:tc>
              <w:tc>
                <w:tcPr>
                  <w:tcW w:w="1281" w:type="dxa"/>
                  <w:vMerge w:val="continue"/>
                  <w:tcBorders>
                    <w:left w:val="single" w:color="auto" w:sz="4" w:space="0"/>
                  </w:tcBorders>
                  <w:vAlign w:val="center"/>
                </w:tcPr>
                <w:p w14:paraId="67A48EE1">
                  <w:pPr>
                    <w:pStyle w:val="39"/>
                    <w:keepNext/>
                    <w:rPr>
                      <w:color w:val="auto"/>
                    </w:rPr>
                  </w:pPr>
                </w:p>
              </w:tc>
              <w:tc>
                <w:tcPr>
                  <w:tcW w:w="1559" w:type="dxa"/>
                  <w:vAlign w:val="center"/>
                </w:tcPr>
                <w:p w14:paraId="11C0D24E">
                  <w:pPr>
                    <w:pStyle w:val="39"/>
                    <w:keepNext/>
                    <w:rPr>
                      <w:color w:val="auto"/>
                    </w:rPr>
                  </w:pPr>
                  <w:r>
                    <w:rPr>
                      <w:color w:val="auto"/>
                    </w:rPr>
                    <w:t>危险废物</w:t>
                  </w:r>
                </w:p>
              </w:tc>
              <w:tc>
                <w:tcPr>
                  <w:tcW w:w="3119" w:type="dxa"/>
                  <w:vAlign w:val="center"/>
                </w:tcPr>
                <w:p w14:paraId="75B5BDFB">
                  <w:pPr>
                    <w:pStyle w:val="39"/>
                    <w:keepNext/>
                    <w:rPr>
                      <w:color w:val="auto"/>
                    </w:rPr>
                  </w:pPr>
                  <w:r>
                    <w:rPr>
                      <w:color w:val="auto"/>
                    </w:rPr>
                    <w:t>委托有资质单位处理</w:t>
                  </w:r>
                </w:p>
              </w:tc>
              <w:tc>
                <w:tcPr>
                  <w:tcW w:w="1101" w:type="dxa"/>
                  <w:vAlign w:val="center"/>
                </w:tcPr>
                <w:p w14:paraId="48A04352">
                  <w:pPr>
                    <w:pStyle w:val="39"/>
                    <w:keepNext/>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w:t>
                  </w:r>
                </w:p>
              </w:tc>
            </w:tr>
            <w:tr w14:paraId="7C8638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437DD392">
                  <w:pPr>
                    <w:pStyle w:val="39"/>
                    <w:keepNext/>
                    <w:rPr>
                      <w:color w:val="auto"/>
                    </w:rPr>
                  </w:pPr>
                </w:p>
              </w:tc>
              <w:tc>
                <w:tcPr>
                  <w:tcW w:w="1281" w:type="dxa"/>
                  <w:tcBorders>
                    <w:left w:val="single" w:color="auto" w:sz="4" w:space="0"/>
                  </w:tcBorders>
                  <w:vAlign w:val="center"/>
                </w:tcPr>
                <w:p w14:paraId="1C94CA8E">
                  <w:pPr>
                    <w:pStyle w:val="39"/>
                    <w:keepNext/>
                    <w:rPr>
                      <w:rFonts w:hint="eastAsia" w:eastAsia="宋体"/>
                      <w:color w:val="auto"/>
                      <w:lang w:eastAsia="zh-CN"/>
                    </w:rPr>
                  </w:pPr>
                  <w:r>
                    <w:rPr>
                      <w:rFonts w:hint="eastAsia"/>
                      <w:color w:val="auto"/>
                      <w:lang w:eastAsia="zh-CN"/>
                    </w:rPr>
                    <w:t>危险废物贮存库</w:t>
                  </w:r>
                </w:p>
              </w:tc>
              <w:tc>
                <w:tcPr>
                  <w:tcW w:w="4678" w:type="dxa"/>
                  <w:gridSpan w:val="2"/>
                  <w:vAlign w:val="center"/>
                </w:tcPr>
                <w:p w14:paraId="6FF99121">
                  <w:pPr>
                    <w:pStyle w:val="39"/>
                    <w:keepNext/>
                    <w:jc w:val="both"/>
                    <w:rPr>
                      <w:color w:val="auto"/>
                    </w:rPr>
                  </w:pPr>
                  <w:r>
                    <w:rPr>
                      <w:rFonts w:hint="eastAsia"/>
                      <w:bCs/>
                      <w:color w:val="auto"/>
                      <w:szCs w:val="21"/>
                    </w:rPr>
                    <w:t>设置泄漏液体收集装置、排风装置设施并配备活性炭吸附装置等。</w:t>
                  </w:r>
                </w:p>
              </w:tc>
              <w:tc>
                <w:tcPr>
                  <w:tcW w:w="1101" w:type="dxa"/>
                  <w:vMerge w:val="restart"/>
                  <w:vAlign w:val="center"/>
                </w:tcPr>
                <w:p w14:paraId="23479B37">
                  <w:pPr>
                    <w:pStyle w:val="39"/>
                    <w:keepNext/>
                    <w:rPr>
                      <w:rFonts w:hint="default" w:ascii="Times New Roman" w:hAnsi="Times New Roman" w:cs="Times New Roman"/>
                      <w:color w:val="auto"/>
                    </w:rPr>
                  </w:pPr>
                  <w:r>
                    <w:rPr>
                      <w:rFonts w:hint="default" w:ascii="Times New Roman" w:hAnsi="Times New Roman" w:cs="Times New Roman"/>
                      <w:color w:val="auto"/>
                      <w:lang w:val="en-US" w:eastAsia="zh-CN"/>
                    </w:rPr>
                    <w:t>1</w:t>
                  </w:r>
                </w:p>
              </w:tc>
            </w:tr>
            <w:tr w14:paraId="5B2407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1BD997C1">
                  <w:pPr>
                    <w:pStyle w:val="39"/>
                    <w:keepNext/>
                    <w:rPr>
                      <w:color w:val="auto"/>
                    </w:rPr>
                  </w:pPr>
                </w:p>
              </w:tc>
              <w:tc>
                <w:tcPr>
                  <w:tcW w:w="1281" w:type="dxa"/>
                  <w:tcBorders>
                    <w:left w:val="single" w:color="auto" w:sz="4" w:space="0"/>
                  </w:tcBorders>
                  <w:vAlign w:val="center"/>
                </w:tcPr>
                <w:p w14:paraId="2DDCCF75">
                  <w:pPr>
                    <w:pStyle w:val="39"/>
                    <w:keepNext/>
                    <w:rPr>
                      <w:color w:val="auto"/>
                    </w:rPr>
                  </w:pPr>
                  <w:r>
                    <w:rPr>
                      <w:color w:val="auto"/>
                    </w:rPr>
                    <w:t>防渗</w:t>
                  </w:r>
                </w:p>
              </w:tc>
              <w:tc>
                <w:tcPr>
                  <w:tcW w:w="4678" w:type="dxa"/>
                  <w:gridSpan w:val="2"/>
                  <w:vAlign w:val="center"/>
                </w:tcPr>
                <w:p w14:paraId="510041CB">
                  <w:pPr>
                    <w:pStyle w:val="39"/>
                    <w:keepNext/>
                    <w:jc w:val="both"/>
                    <w:rPr>
                      <w:rFonts w:hint="default" w:ascii="Times New Roman" w:hAnsi="Times New Roman" w:cs="Times New Roman"/>
                      <w:b/>
                      <w:bCs/>
                      <w:color w:val="auto"/>
                    </w:rPr>
                  </w:pPr>
                  <w:r>
                    <w:rPr>
                      <w:rFonts w:hint="default" w:ascii="Times New Roman" w:hAnsi="Times New Roman" w:cs="Times New Roman"/>
                      <w:color w:val="auto"/>
                    </w:rPr>
                    <w:t>①重点防渗区：包括</w:t>
                  </w:r>
                  <w:r>
                    <w:rPr>
                      <w:rFonts w:hint="default" w:ascii="Times New Roman" w:hAnsi="Times New Roman" w:cs="Times New Roman"/>
                      <w:color w:val="auto"/>
                      <w:lang w:eastAsia="zh-CN"/>
                    </w:rPr>
                    <w:t>危险废物贮存库</w:t>
                  </w:r>
                  <w:r>
                    <w:rPr>
                      <w:rFonts w:hint="default" w:ascii="Times New Roman" w:hAnsi="Times New Roman" w:cs="Times New Roman"/>
                      <w:color w:val="auto"/>
                      <w:lang w:val="en-US" w:eastAsia="zh-CN"/>
                    </w:rPr>
                    <w:t>和初期雨水池</w:t>
                  </w:r>
                  <w:r>
                    <w:rPr>
                      <w:rFonts w:hint="default" w:ascii="Times New Roman" w:hAnsi="Times New Roman" w:cs="Times New Roman"/>
                      <w:color w:val="auto"/>
                    </w:rPr>
                    <w:t>。采取抗渗钢纤维混凝土或高密度聚乙烯膜(HDPE)进行防渗，防渗技术要求达到等效黏土防渗层Mb≥6.0m，K≤1×10</w:t>
                  </w:r>
                  <w:r>
                    <w:rPr>
                      <w:rFonts w:hint="default" w:ascii="Times New Roman" w:hAnsi="Times New Roman" w:cs="Times New Roman"/>
                      <w:color w:val="auto"/>
                      <w:vertAlign w:val="superscript"/>
                    </w:rPr>
                    <w:t>-7</w:t>
                  </w:r>
                  <w:r>
                    <w:rPr>
                      <w:rFonts w:hint="default" w:ascii="Times New Roman" w:hAnsi="Times New Roman" w:cs="Times New Roman"/>
                      <w:color w:val="auto"/>
                    </w:rPr>
                    <w:t>cm/s的要求；</w:t>
                  </w:r>
                  <w:r>
                    <w:rPr>
                      <w:rFonts w:hint="default" w:ascii="Times New Roman" w:hAnsi="Times New Roman" w:cs="Times New Roman"/>
                      <w:color w:val="auto"/>
                      <w:lang w:eastAsia="zh-CN"/>
                    </w:rPr>
                    <w:t>危险废物贮存库</w:t>
                  </w:r>
                  <w:r>
                    <w:rPr>
                      <w:rFonts w:hint="default" w:ascii="Times New Roman" w:hAnsi="Times New Roman" w:cs="Times New Roman"/>
                      <w:bCs/>
                      <w:color w:val="auto"/>
                    </w:rPr>
                    <w:t>建设严格按照</w:t>
                  </w:r>
                  <w:r>
                    <w:rPr>
                      <w:rFonts w:hint="default" w:ascii="Times New Roman" w:hAnsi="Times New Roman" w:cs="Times New Roman"/>
                      <w:bCs/>
                      <w:color w:val="auto"/>
                      <w:lang w:eastAsia="zh-CN"/>
                    </w:rPr>
                    <w:t>《危险废物贮存污染控制标准》（GB18597-2023）</w:t>
                  </w:r>
                  <w:r>
                    <w:rPr>
                      <w:rFonts w:hint="default" w:ascii="Times New Roman" w:hAnsi="Times New Roman" w:cs="Times New Roman"/>
                      <w:bCs/>
                      <w:color w:val="auto"/>
                    </w:rPr>
                    <w:t>中相关规定进行设置，地面防渗、</w:t>
                  </w:r>
                  <w:r>
                    <w:rPr>
                      <w:rFonts w:hint="default" w:ascii="Times New Roman" w:hAnsi="Times New Roman" w:cs="Times New Roman"/>
                      <w:bCs/>
                      <w:color w:val="auto"/>
                      <w:lang w:eastAsia="zh-CN"/>
                    </w:rPr>
                    <w:t>裙脚</w:t>
                  </w:r>
                  <w:r>
                    <w:rPr>
                      <w:rFonts w:hint="default" w:ascii="Times New Roman" w:hAnsi="Times New Roman" w:cs="Times New Roman"/>
                      <w:bCs/>
                      <w:color w:val="auto"/>
                    </w:rPr>
                    <w:t>防渗，防渗层为至少1米厚粘土层（渗透系数≤10</w:t>
                  </w:r>
                  <w:r>
                    <w:rPr>
                      <w:rFonts w:hint="default" w:ascii="Times New Roman" w:hAnsi="Times New Roman" w:cs="Times New Roman"/>
                      <w:bCs/>
                      <w:color w:val="auto"/>
                      <w:vertAlign w:val="superscript"/>
                    </w:rPr>
                    <w:t>-7</w:t>
                  </w:r>
                  <w:r>
                    <w:rPr>
                      <w:rFonts w:hint="default" w:ascii="Times New Roman" w:hAnsi="Times New Roman" w:cs="Times New Roman"/>
                      <w:bCs/>
                      <w:color w:val="auto"/>
                    </w:rPr>
                    <w:t>cm/s），或2mm厚高密度聚乙烯膜等人工防渗材料</w:t>
                  </w:r>
                  <w:r>
                    <w:rPr>
                      <w:rFonts w:hint="default" w:ascii="Times New Roman" w:hAnsi="Times New Roman" w:cs="Times New Roman"/>
                      <w:bCs/>
                      <w:color w:val="auto"/>
                      <w:lang w:eastAsia="zh-CN"/>
                    </w:rPr>
                    <w:t>（</w:t>
                  </w:r>
                  <w:r>
                    <w:rPr>
                      <w:rFonts w:hint="default" w:ascii="Times New Roman" w:hAnsi="Times New Roman" w:cs="Times New Roman"/>
                      <w:bCs/>
                      <w:color w:val="auto"/>
                    </w:rPr>
                    <w:t>渗透系数≤10</w:t>
                  </w:r>
                  <w:r>
                    <w:rPr>
                      <w:rFonts w:hint="default" w:ascii="Times New Roman" w:hAnsi="Times New Roman" w:cs="Times New Roman"/>
                      <w:bCs/>
                      <w:color w:val="auto"/>
                      <w:vertAlign w:val="superscript"/>
                    </w:rPr>
                    <w:t>-10</w:t>
                  </w:r>
                  <w:r>
                    <w:rPr>
                      <w:rFonts w:hint="default" w:ascii="Times New Roman" w:hAnsi="Times New Roman" w:cs="Times New Roman"/>
                      <w:bCs/>
                      <w:color w:val="auto"/>
                    </w:rPr>
                    <w:t>cm/s</w:t>
                  </w:r>
                  <w:r>
                    <w:rPr>
                      <w:rFonts w:hint="default" w:ascii="Times New Roman" w:hAnsi="Times New Roman" w:cs="Times New Roman"/>
                      <w:bCs/>
                      <w:color w:val="auto"/>
                      <w:lang w:eastAsia="zh-CN"/>
                    </w:rPr>
                    <w:t>）</w:t>
                  </w:r>
                  <w:r>
                    <w:rPr>
                      <w:rFonts w:hint="default" w:ascii="Times New Roman" w:hAnsi="Times New Roman" w:cs="Times New Roman"/>
                      <w:bCs/>
                      <w:color w:val="auto"/>
                    </w:rPr>
                    <w:t>，并设置20cm高围堰。</w:t>
                  </w:r>
                  <w:r>
                    <w:rPr>
                      <w:rFonts w:hint="default" w:ascii="Times New Roman" w:hAnsi="Times New Roman" w:cs="Times New Roman"/>
                      <w:color w:val="auto"/>
                    </w:rPr>
                    <w:t>②一般防渗区：包括拆解车间、待拆车辆贮存场地、农机拆除成品半成品及零件贮存库。采用防渗混凝土或HDPE膜进行防渗，其防渗技术要求可满足等效黏土防渗层Mb≥1.5m，K≤1×10</w:t>
                  </w:r>
                  <w:r>
                    <w:rPr>
                      <w:rFonts w:hint="default" w:ascii="Times New Roman" w:hAnsi="Times New Roman" w:cs="Times New Roman"/>
                      <w:color w:val="auto"/>
                      <w:vertAlign w:val="superscript"/>
                    </w:rPr>
                    <w:t>-7</w:t>
                  </w:r>
                  <w:r>
                    <w:rPr>
                      <w:rFonts w:hint="default" w:ascii="Times New Roman" w:hAnsi="Times New Roman" w:cs="Times New Roman"/>
                      <w:color w:val="auto"/>
                    </w:rPr>
                    <w:t>cm/s的要求。③简单防渗区：包括</w:t>
                  </w:r>
                  <w:r>
                    <w:rPr>
                      <w:rFonts w:hint="default" w:ascii="Times New Roman" w:hAnsi="Times New Roman" w:cs="Times New Roman"/>
                      <w:color w:val="auto"/>
                      <w:lang w:val="en-US" w:eastAsia="zh-CN"/>
                    </w:rPr>
                    <w:t>办公区、</w:t>
                  </w:r>
                  <w:r>
                    <w:rPr>
                      <w:rFonts w:hint="default" w:ascii="Times New Roman" w:hAnsi="Times New Roman" w:cs="Times New Roman"/>
                      <w:color w:val="auto"/>
                    </w:rPr>
                    <w:t>厂区道路。进行一般地面水泥硬化。</w:t>
                  </w:r>
                </w:p>
              </w:tc>
              <w:tc>
                <w:tcPr>
                  <w:tcW w:w="1101" w:type="dxa"/>
                  <w:vMerge w:val="continue"/>
                  <w:vAlign w:val="center"/>
                </w:tcPr>
                <w:p w14:paraId="350662DB">
                  <w:pPr>
                    <w:pStyle w:val="39"/>
                    <w:keepNext/>
                    <w:rPr>
                      <w:rFonts w:hint="default" w:ascii="Times New Roman" w:hAnsi="Times New Roman" w:cs="Times New Roman"/>
                      <w:color w:val="auto"/>
                    </w:rPr>
                  </w:pPr>
                </w:p>
              </w:tc>
            </w:tr>
            <w:tr w14:paraId="4993DF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4CAAF2AB">
                  <w:pPr>
                    <w:pStyle w:val="39"/>
                    <w:keepNext/>
                    <w:rPr>
                      <w:color w:val="auto"/>
                    </w:rPr>
                  </w:pPr>
                </w:p>
              </w:tc>
              <w:tc>
                <w:tcPr>
                  <w:tcW w:w="5959" w:type="dxa"/>
                  <w:gridSpan w:val="3"/>
                  <w:tcBorders>
                    <w:left w:val="single" w:color="auto" w:sz="4" w:space="0"/>
                  </w:tcBorders>
                  <w:vAlign w:val="center"/>
                </w:tcPr>
                <w:p w14:paraId="400ED1E1">
                  <w:pPr>
                    <w:pStyle w:val="39"/>
                    <w:keepNext/>
                    <w:rPr>
                      <w:rFonts w:hint="default" w:ascii="Times New Roman" w:hAnsi="Times New Roman" w:cs="Times New Roman"/>
                      <w:color w:val="auto"/>
                    </w:rPr>
                  </w:pPr>
                  <w:r>
                    <w:rPr>
                      <w:rFonts w:hint="default" w:ascii="Times New Roman" w:hAnsi="Times New Roman" w:cs="Times New Roman"/>
                      <w:color w:val="auto"/>
                    </w:rPr>
                    <w:t>运行、管理、维护、</w:t>
                  </w:r>
                  <w:r>
                    <w:rPr>
                      <w:rFonts w:hint="default" w:ascii="Times New Roman" w:hAnsi="Times New Roman" w:cs="Times New Roman"/>
                      <w:color w:val="auto"/>
                      <w:lang w:val="en-US" w:eastAsia="zh-CN"/>
                    </w:rPr>
                    <w:t>环境管理、</w:t>
                  </w:r>
                  <w:r>
                    <w:rPr>
                      <w:rFonts w:hint="default" w:ascii="Times New Roman" w:hAnsi="Times New Roman" w:cs="Times New Roman"/>
                      <w:color w:val="auto"/>
                    </w:rPr>
                    <w:t>验收、监测费</w:t>
                  </w:r>
                </w:p>
              </w:tc>
              <w:tc>
                <w:tcPr>
                  <w:tcW w:w="1101" w:type="dxa"/>
                  <w:vAlign w:val="center"/>
                </w:tcPr>
                <w:p w14:paraId="4AEBE2EB">
                  <w:pPr>
                    <w:pStyle w:val="39"/>
                    <w:keepNext/>
                    <w:rPr>
                      <w:rFonts w:hint="default" w:ascii="Times New Roman" w:hAnsi="Times New Roman" w:cs="Times New Roman"/>
                      <w:color w:val="auto"/>
                    </w:rPr>
                  </w:pPr>
                  <w:r>
                    <w:rPr>
                      <w:rFonts w:hint="default" w:ascii="Times New Roman" w:hAnsi="Times New Roman" w:cs="Times New Roman"/>
                      <w:color w:val="auto"/>
                      <w:lang w:val="en-US" w:eastAsia="zh-CN"/>
                    </w:rPr>
                    <w:t>0</w:t>
                  </w:r>
                  <w:r>
                    <w:rPr>
                      <w:rFonts w:hint="default" w:ascii="Times New Roman" w:hAnsi="Times New Roman" w:cs="Times New Roman"/>
                      <w:color w:val="auto"/>
                    </w:rPr>
                    <w:t>.5</w:t>
                  </w:r>
                </w:p>
              </w:tc>
            </w:tr>
            <w:tr w14:paraId="54B195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3C53FDA6">
                  <w:pPr>
                    <w:pStyle w:val="39"/>
                    <w:keepNext/>
                    <w:rPr>
                      <w:rFonts w:hint="default" w:ascii="Times New Roman" w:hAnsi="Times New Roman" w:cs="Times New Roman"/>
                      <w:color w:val="auto"/>
                    </w:rPr>
                  </w:pPr>
                  <w:r>
                    <w:rPr>
                      <w:rFonts w:hint="default" w:ascii="Times New Roman" w:hAnsi="Times New Roman" w:cs="Times New Roman"/>
                      <w:color w:val="auto"/>
                    </w:rPr>
                    <w:t>环保投资合计</w:t>
                  </w:r>
                </w:p>
              </w:tc>
              <w:tc>
                <w:tcPr>
                  <w:tcW w:w="1101" w:type="dxa"/>
                  <w:vAlign w:val="center"/>
                </w:tcPr>
                <w:p w14:paraId="3BAB25B1">
                  <w:pPr>
                    <w:pStyle w:val="39"/>
                    <w:keepNext/>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lang w:val="en-US" w:eastAsia="zh-CN"/>
                    </w:rPr>
                    <w:t>8.8</w:t>
                  </w:r>
                </w:p>
              </w:tc>
            </w:tr>
            <w:tr w14:paraId="51D18D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1733F209">
                  <w:pPr>
                    <w:pStyle w:val="39"/>
                    <w:keepNext/>
                    <w:rPr>
                      <w:rFonts w:hint="default" w:ascii="Times New Roman" w:hAnsi="Times New Roman" w:cs="Times New Roman"/>
                      <w:color w:val="auto"/>
                    </w:rPr>
                  </w:pPr>
                  <w:r>
                    <w:rPr>
                      <w:rFonts w:hint="default" w:ascii="Times New Roman" w:hAnsi="Times New Roman" w:cs="Times New Roman"/>
                      <w:color w:val="auto"/>
                    </w:rPr>
                    <w:t>总投资</w:t>
                  </w:r>
                </w:p>
              </w:tc>
              <w:tc>
                <w:tcPr>
                  <w:tcW w:w="1101" w:type="dxa"/>
                  <w:vAlign w:val="center"/>
                </w:tcPr>
                <w:p w14:paraId="15E22D1E">
                  <w:pPr>
                    <w:pStyle w:val="39"/>
                    <w:keepNext/>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80</w:t>
                  </w:r>
                </w:p>
              </w:tc>
            </w:tr>
            <w:tr w14:paraId="134322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2D9B2DED">
                  <w:pPr>
                    <w:pStyle w:val="39"/>
                    <w:keepNext/>
                    <w:rPr>
                      <w:rFonts w:hint="default" w:ascii="Times New Roman" w:hAnsi="Times New Roman" w:cs="Times New Roman"/>
                      <w:color w:val="auto"/>
                    </w:rPr>
                  </w:pPr>
                  <w:r>
                    <w:rPr>
                      <w:rFonts w:hint="default" w:ascii="Times New Roman" w:hAnsi="Times New Roman" w:cs="Times New Roman"/>
                      <w:color w:val="auto"/>
                    </w:rPr>
                    <w:t>环保投资比</w:t>
                  </w:r>
                </w:p>
              </w:tc>
              <w:tc>
                <w:tcPr>
                  <w:tcW w:w="1101" w:type="dxa"/>
                  <w:vAlign w:val="center"/>
                </w:tcPr>
                <w:p w14:paraId="7B5308CC">
                  <w:pPr>
                    <w:pStyle w:val="39"/>
                    <w:keepNext/>
                    <w:rPr>
                      <w:rFonts w:hint="default" w:ascii="Times New Roman" w:hAnsi="Times New Roman" w:cs="Times New Roman"/>
                      <w:color w:val="auto"/>
                    </w:rPr>
                  </w:pPr>
                  <w:r>
                    <w:rPr>
                      <w:rFonts w:hint="default" w:ascii="Times New Roman" w:hAnsi="Times New Roman" w:cs="Times New Roman"/>
                      <w:color w:val="auto"/>
                      <w:lang w:val="en-US" w:eastAsia="zh-CN"/>
                    </w:rPr>
                    <w:t>11</w:t>
                  </w:r>
                  <w:r>
                    <w:rPr>
                      <w:rFonts w:hint="default" w:ascii="Times New Roman" w:hAnsi="Times New Roman" w:cs="Times New Roman"/>
                      <w:color w:val="auto"/>
                    </w:rPr>
                    <w:t>%</w:t>
                  </w:r>
                </w:p>
              </w:tc>
            </w:tr>
          </w:tbl>
          <w:p w14:paraId="61A0A08E">
            <w:pPr>
              <w:rPr>
                <w:rFonts w:ascii="Times New Roman" w:hAnsi="Times New Roman" w:eastAsiaTheme="minorEastAsia"/>
                <w:color w:val="FF0000"/>
              </w:rPr>
            </w:pPr>
          </w:p>
        </w:tc>
      </w:tr>
      <w:tr w14:paraId="63AA4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5" w:hRule="atLeast"/>
        </w:trPr>
        <w:tc>
          <w:tcPr>
            <w:tcW w:w="9011" w:type="dxa"/>
          </w:tcPr>
          <w:p w14:paraId="618B7DA7">
            <w:pPr>
              <w:spacing w:line="360" w:lineRule="auto"/>
              <w:rPr>
                <w:rFonts w:ascii="Times New Roman" w:hAnsi="Times New Roman" w:eastAsiaTheme="minorEastAsia"/>
                <w:kern w:val="0"/>
                <w:sz w:val="24"/>
              </w:rPr>
            </w:pPr>
            <w:r>
              <w:rPr>
                <w:rFonts w:ascii="Times New Roman" w:hAnsi="Times New Roman" w:eastAsiaTheme="minorEastAsia"/>
                <w:b/>
                <w:bCs/>
                <w:sz w:val="28"/>
                <w:szCs w:val="28"/>
              </w:rPr>
              <w:t>主要工艺流程及产污环节：</w:t>
            </w:r>
          </w:p>
          <w:p w14:paraId="3F605173">
            <w:pPr>
              <w:autoSpaceDE w:val="0"/>
              <w:autoSpaceDN w:val="0"/>
              <w:adjustRightInd w:val="0"/>
              <w:spacing w:line="360" w:lineRule="auto"/>
              <w:ind w:firstLine="567"/>
              <w:contextualSpacing/>
              <w:textAlignment w:val="bottom"/>
              <w:rPr>
                <w:rFonts w:ascii="Times New Roman" w:hAnsi="Times New Roman" w:eastAsiaTheme="minorEastAsia"/>
                <w:b/>
                <w:bCs/>
                <w:kern w:val="0"/>
                <w:sz w:val="24"/>
              </w:rPr>
            </w:pPr>
            <w:r>
              <w:rPr>
                <w:rFonts w:ascii="Times New Roman" w:hAnsi="Times New Roman" w:eastAsiaTheme="minorEastAsia"/>
                <w:b/>
                <w:bCs/>
                <w:kern w:val="0"/>
                <w:sz w:val="24"/>
              </w:rPr>
              <w:t>运营期：</w:t>
            </w:r>
          </w:p>
          <w:p w14:paraId="5F4926C3">
            <w:pPr>
              <w:pStyle w:val="32"/>
              <w:keepNext w:val="0"/>
              <w:keepLines w:val="0"/>
              <w:pageBreakBefore w:val="0"/>
              <w:widowControl w:val="0"/>
              <w:kinsoku/>
              <w:wordWrap/>
              <w:overflowPunct/>
              <w:topLinePunct w:val="0"/>
              <w:autoSpaceDE/>
              <w:autoSpaceDN/>
              <w:bidi w:val="0"/>
              <w:adjustRightInd/>
              <w:snapToGrid/>
              <w:spacing w:line="360" w:lineRule="auto"/>
              <w:textAlignment w:val="auto"/>
              <w:rPr>
                <w:color w:val="auto"/>
              </w:rPr>
            </w:pPr>
            <w:r>
              <w:rPr>
                <w:color w:val="auto"/>
              </w:rPr>
              <w:t>报废农业机械回收拆解应严格遵循安全环保和循环利用的原则进行。回收拆解报废农业机械应按检查和登记→拆解前存储→拆解→拆解后存储和处置的流程作业。</w:t>
            </w:r>
          </w:p>
          <w:p w14:paraId="6D218430">
            <w:pPr>
              <w:pStyle w:val="32"/>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Theme="minorEastAsia"/>
                <w:bCs/>
              </w:rPr>
            </w:pPr>
            <w:r>
              <w:rPr>
                <w:color w:val="auto"/>
              </w:rPr>
              <w:t>本项目为农业机械拆解项目，一般而言，拆解工艺有“非破坏性拆解”、“准破坏性抵触”、“破坏性拆解”之分。绝大多数农业机械经长年使用报废后，零件的回收价值已不大；另一方面，本项目拆解工艺不考虑零件回收问题；根据农业机械各部分的具体结构情况及拆解操作的方便程度，综合利用各种手工、电动拆解工具进行拆解，属于“破坏性拆解”。</w:t>
            </w:r>
          </w:p>
          <w:p w14:paraId="469E1E1B">
            <w:pPr>
              <w:pStyle w:val="74"/>
              <w:keepNext w:val="0"/>
              <w:keepLines w:val="0"/>
              <w:pageBreakBefore w:val="0"/>
              <w:widowControl w:val="0"/>
              <w:kinsoku/>
              <w:wordWrap/>
              <w:overflowPunct/>
              <w:topLinePunct w:val="0"/>
              <w:bidi w:val="0"/>
              <w:spacing w:line="360" w:lineRule="auto"/>
              <w:textAlignment w:val="auto"/>
              <w:rPr>
                <w:color w:val="auto"/>
              </w:rPr>
            </w:pPr>
            <w:r>
              <w:rPr>
                <w:rFonts w:hint="eastAsia" w:ascii="宋体" w:hAnsi="宋体" w:cs="宋体"/>
                <w:color w:val="auto"/>
              </w:rPr>
              <w:t>①</w:t>
            </w:r>
            <w:r>
              <w:rPr>
                <w:color w:val="auto"/>
              </w:rPr>
              <w:t>农业机械入厂</w:t>
            </w:r>
          </w:p>
          <w:p w14:paraId="7651E2A9">
            <w:pPr>
              <w:pStyle w:val="74"/>
              <w:keepNext w:val="0"/>
              <w:keepLines w:val="0"/>
              <w:pageBreakBefore w:val="0"/>
              <w:widowControl w:val="0"/>
              <w:kinsoku/>
              <w:wordWrap/>
              <w:overflowPunct/>
              <w:topLinePunct w:val="0"/>
              <w:bidi w:val="0"/>
              <w:spacing w:line="360" w:lineRule="auto"/>
              <w:textAlignment w:val="auto"/>
              <w:rPr>
                <w:color w:val="auto"/>
              </w:rPr>
            </w:pPr>
            <w:r>
              <w:rPr>
                <w:color w:val="auto"/>
              </w:rPr>
              <w:t>用户报废农业机械入厂后，办理农业机械回收证明手续、双方与农业机械合影留证，以便用户按相关程序办理农业机械报废更新补贴手续。</w:t>
            </w:r>
          </w:p>
          <w:p w14:paraId="0D96D195">
            <w:pPr>
              <w:pStyle w:val="74"/>
              <w:keepNext w:val="0"/>
              <w:keepLines w:val="0"/>
              <w:pageBreakBefore w:val="0"/>
              <w:widowControl w:val="0"/>
              <w:kinsoku/>
              <w:wordWrap/>
              <w:overflowPunct/>
              <w:topLinePunct w:val="0"/>
              <w:bidi w:val="0"/>
              <w:spacing w:line="360" w:lineRule="auto"/>
              <w:textAlignment w:val="auto"/>
              <w:rPr>
                <w:color w:val="auto"/>
              </w:rPr>
            </w:pPr>
            <w:r>
              <w:rPr>
                <w:rFonts w:hint="eastAsia" w:ascii="宋体" w:hAnsi="宋体" w:cs="宋体"/>
                <w:color w:val="auto"/>
              </w:rPr>
              <w:t>②</w:t>
            </w:r>
            <w:r>
              <w:rPr>
                <w:color w:val="auto"/>
              </w:rPr>
              <w:t>拆解前预处理</w:t>
            </w:r>
          </w:p>
          <w:p w14:paraId="2A86E1D5">
            <w:pPr>
              <w:pStyle w:val="74"/>
              <w:keepNext w:val="0"/>
              <w:keepLines w:val="0"/>
              <w:pageBreakBefore w:val="0"/>
              <w:widowControl w:val="0"/>
              <w:kinsoku/>
              <w:wordWrap/>
              <w:overflowPunct/>
              <w:topLinePunct w:val="0"/>
              <w:bidi w:val="0"/>
              <w:spacing w:line="360" w:lineRule="auto"/>
              <w:textAlignment w:val="auto"/>
              <w:rPr>
                <w:color w:val="auto"/>
              </w:rPr>
            </w:pPr>
            <w:r>
              <w:rPr>
                <w:color w:val="auto"/>
              </w:rPr>
              <w:t>预处理：在正式拆解前，</w:t>
            </w:r>
            <w:r>
              <w:rPr>
                <w:rFonts w:hint="eastAsia"/>
                <w:color w:val="auto"/>
              </w:rPr>
              <w:t>对报废农业机动车进行清洁处理，</w:t>
            </w:r>
            <w:r>
              <w:rPr>
                <w:rFonts w:hint="eastAsia"/>
                <w:color w:val="auto"/>
                <w:lang w:val="en-US" w:eastAsia="zh-CN"/>
              </w:rPr>
              <w:t>然后</w:t>
            </w:r>
            <w:r>
              <w:rPr>
                <w:color w:val="auto"/>
              </w:rPr>
              <w:t>拆下蓄电池，放净发动机、变速箱总成的内部机油；油箱中如有残余燃油，放净回收，然后拆下油箱。预处理是为了保证安全拆解、防止污染，其中蓄电池仅拆下，不进行拆解。</w:t>
            </w:r>
          </w:p>
          <w:p w14:paraId="7B8DFD9C">
            <w:pPr>
              <w:pStyle w:val="74"/>
              <w:keepNext w:val="0"/>
              <w:keepLines w:val="0"/>
              <w:pageBreakBefore w:val="0"/>
              <w:widowControl w:val="0"/>
              <w:kinsoku/>
              <w:wordWrap/>
              <w:overflowPunct/>
              <w:topLinePunct w:val="0"/>
              <w:bidi w:val="0"/>
              <w:spacing w:line="360" w:lineRule="auto"/>
              <w:textAlignment w:val="auto"/>
              <w:rPr>
                <w:color w:val="auto"/>
              </w:rPr>
            </w:pPr>
            <w:r>
              <w:rPr>
                <w:rFonts w:hint="eastAsia" w:ascii="宋体" w:hAnsi="宋体" w:cs="宋体"/>
                <w:color w:val="auto"/>
              </w:rPr>
              <w:t>③</w:t>
            </w:r>
            <w:r>
              <w:rPr>
                <w:color w:val="auto"/>
              </w:rPr>
              <w:t>总成拆除</w:t>
            </w:r>
          </w:p>
          <w:p w14:paraId="0826E8E4">
            <w:pPr>
              <w:pStyle w:val="74"/>
              <w:keepNext w:val="0"/>
              <w:keepLines w:val="0"/>
              <w:pageBreakBefore w:val="0"/>
              <w:widowControl w:val="0"/>
              <w:kinsoku/>
              <w:wordWrap/>
              <w:overflowPunct/>
              <w:topLinePunct w:val="0"/>
              <w:bidi w:val="0"/>
              <w:spacing w:line="360" w:lineRule="auto"/>
              <w:textAlignment w:val="auto"/>
              <w:rPr>
                <w:color w:val="auto"/>
              </w:rPr>
            </w:pPr>
            <w:r>
              <w:rPr>
                <w:color w:val="auto"/>
              </w:rPr>
              <w:t>拆下发动机及变速箱等总成，并按《报废农业机械回收拆解技术规范》（NY/T2900-20</w:t>
            </w:r>
            <w:r>
              <w:rPr>
                <w:rFonts w:hint="eastAsia"/>
                <w:color w:val="auto"/>
                <w:lang w:val="en-US" w:eastAsia="zh-CN"/>
              </w:rPr>
              <w:t>22</w:t>
            </w:r>
            <w:r>
              <w:rPr>
                <w:color w:val="auto"/>
              </w:rPr>
              <w:t>）对以上总成进行毁形（留证）、解体。从结构复杂性与操纵舒适性两方面来说，农业机械通常比汽车简单许多、操纵性能要求也低，故其总成数较少。</w:t>
            </w:r>
          </w:p>
          <w:p w14:paraId="19BF52CF">
            <w:pPr>
              <w:pStyle w:val="74"/>
              <w:keepNext w:val="0"/>
              <w:keepLines w:val="0"/>
              <w:pageBreakBefore w:val="0"/>
              <w:widowControl w:val="0"/>
              <w:kinsoku/>
              <w:wordWrap/>
              <w:overflowPunct/>
              <w:topLinePunct w:val="0"/>
              <w:bidi w:val="0"/>
              <w:spacing w:line="360" w:lineRule="auto"/>
              <w:textAlignment w:val="auto"/>
              <w:rPr>
                <w:color w:val="auto"/>
              </w:rPr>
            </w:pPr>
            <w:r>
              <w:rPr>
                <w:rFonts w:hint="eastAsia" w:ascii="宋体" w:hAnsi="宋体" w:cs="宋体"/>
                <w:color w:val="auto"/>
              </w:rPr>
              <w:t>④</w:t>
            </w:r>
            <w:r>
              <w:rPr>
                <w:color w:val="auto"/>
              </w:rPr>
              <w:t>机架解体</w:t>
            </w:r>
          </w:p>
          <w:p w14:paraId="4B52508A">
            <w:pPr>
              <w:pStyle w:val="74"/>
              <w:keepNext w:val="0"/>
              <w:keepLines w:val="0"/>
              <w:pageBreakBefore w:val="0"/>
              <w:widowControl w:val="0"/>
              <w:kinsoku/>
              <w:wordWrap/>
              <w:overflowPunct/>
              <w:topLinePunct w:val="0"/>
              <w:bidi w:val="0"/>
              <w:spacing w:line="360" w:lineRule="auto"/>
              <w:textAlignment w:val="auto"/>
              <w:rPr>
                <w:color w:val="auto"/>
              </w:rPr>
            </w:pPr>
            <w:r>
              <w:rPr>
                <w:color w:val="auto"/>
              </w:rPr>
              <w:t>对拆除总成后的整体机架进行解体，机架拆解以能对拆解物进行粗略归类为原则。视局部结构与可拆性的差异，分别用小型工具进行解体；对尺寸较大、或较占空间的拆解件，用剪断机切断。对以上拆解物进行初步分类存放，定期出售给废旧物资回收公司，拆解物分为金属与非金属两大类。金属类包括废钢材（钢、铸钢）、废铜铝等有色金属，非金属类有橡胶（主要是废履带橡胶板、废旧轮胎）、塑料类、碎电线、玻璃钢。</w:t>
            </w:r>
          </w:p>
          <w:p w14:paraId="5D7F7C76">
            <w:pPr>
              <w:pStyle w:val="74"/>
              <w:keepNext w:val="0"/>
              <w:keepLines w:val="0"/>
              <w:pageBreakBefore w:val="0"/>
              <w:widowControl w:val="0"/>
              <w:kinsoku/>
              <w:wordWrap/>
              <w:overflowPunct/>
              <w:topLinePunct w:val="0"/>
              <w:bidi w:val="0"/>
              <w:spacing w:line="360" w:lineRule="auto"/>
              <w:textAlignment w:val="auto"/>
              <w:rPr>
                <w:color w:val="auto"/>
              </w:rPr>
            </w:pPr>
            <w:r>
              <w:rPr>
                <w:color w:val="auto"/>
              </w:rPr>
              <w:t>本项目只设拆解过程，不设置破碎过程，也无零件清洗及含危险废物的线路板等部件精细拆解、翻新等步骤。</w:t>
            </w:r>
          </w:p>
          <w:p w14:paraId="4A337071">
            <w:pPr>
              <w:pStyle w:val="32"/>
              <w:rPr>
                <w:rFonts w:ascii="Times New Roman" w:hAnsi="Times New Roman" w:eastAsiaTheme="minorEastAsia"/>
                <w:bCs/>
              </w:rPr>
            </w:pPr>
          </w:p>
          <w:p w14:paraId="610E15F8">
            <w:pPr>
              <w:spacing w:line="360" w:lineRule="auto"/>
              <w:jc w:val="center"/>
              <w:rPr>
                <w:rFonts w:ascii="Times New Roman" w:hAnsi="Times New Roman" w:eastAsiaTheme="minorEastAsia"/>
                <w:color w:val="FF0000"/>
              </w:rPr>
            </w:pPr>
            <w:r>
              <w:rPr>
                <w:color w:val="auto"/>
              </w:rPr>
              <w:drawing>
                <wp:inline distT="0" distB="0" distL="0" distR="0">
                  <wp:extent cx="4797425" cy="3648710"/>
                  <wp:effectExtent l="0" t="0" r="3175" b="889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
                          <a:srcRect l="5090" t="1911" r="3931"/>
                          <a:stretch>
                            <a:fillRect/>
                          </a:stretch>
                        </pic:blipFill>
                        <pic:spPr>
                          <a:xfrm>
                            <a:off x="0" y="0"/>
                            <a:ext cx="4805055" cy="3655015"/>
                          </a:xfrm>
                          <a:prstGeom prst="rect">
                            <a:avLst/>
                          </a:prstGeom>
                          <a:ln>
                            <a:noFill/>
                          </a:ln>
                        </pic:spPr>
                      </pic:pic>
                    </a:graphicData>
                  </a:graphic>
                </wp:inline>
              </w:drawing>
            </w:r>
          </w:p>
          <w:p w14:paraId="746DB75D">
            <w:pPr>
              <w:adjustRightInd w:val="0"/>
              <w:snapToGrid w:val="0"/>
              <w:spacing w:line="360" w:lineRule="auto"/>
              <w:jc w:val="center"/>
              <w:rPr>
                <w:rFonts w:ascii="Times New Roman" w:hAnsi="Times New Roman" w:eastAsiaTheme="minorEastAsia"/>
                <w:b/>
                <w:snapToGrid w:val="0"/>
                <w:kern w:val="0"/>
                <w:szCs w:val="21"/>
              </w:rPr>
            </w:pPr>
            <w:r>
              <w:rPr>
                <w:rFonts w:ascii="Times New Roman" w:hAnsi="Times New Roman" w:eastAsiaTheme="minorEastAsia"/>
                <w:b/>
                <w:snapToGrid w:val="0"/>
                <w:kern w:val="0"/>
                <w:szCs w:val="21"/>
              </w:rPr>
              <w:t>图2-1运营期工艺流程图</w:t>
            </w:r>
          </w:p>
          <w:p w14:paraId="302056AF">
            <w:pPr>
              <w:adjustRightInd w:val="0"/>
              <w:snapToGrid w:val="0"/>
              <w:spacing w:line="360" w:lineRule="auto"/>
              <w:rPr>
                <w:rFonts w:ascii="Times New Roman" w:hAnsi="Times New Roman" w:eastAsiaTheme="minorEastAsia"/>
                <w:b/>
                <w:bCs/>
                <w:color w:val="FF0000"/>
                <w:sz w:val="24"/>
              </w:rPr>
            </w:pPr>
          </w:p>
        </w:tc>
      </w:tr>
    </w:tbl>
    <w:p w14:paraId="157E3E27">
      <w:pPr>
        <w:pStyle w:val="26"/>
        <w:snapToGrid w:val="0"/>
        <w:outlineLvl w:val="0"/>
        <w:rPr>
          <w:rFonts w:ascii="Times New Roman" w:hAnsi="Times New Roman" w:eastAsiaTheme="minorEastAsia"/>
          <w:b/>
          <w:bCs/>
          <w:color w:val="auto"/>
          <w:sz w:val="28"/>
          <w:szCs w:val="28"/>
        </w:rPr>
      </w:pPr>
      <w:bookmarkStart w:id="30" w:name="_Toc14439"/>
      <w:bookmarkStart w:id="31" w:name="_Toc22140"/>
      <w:r>
        <w:rPr>
          <w:rFonts w:ascii="Times New Roman" w:hAnsi="Times New Roman" w:eastAsiaTheme="minorEastAsia"/>
          <w:b/>
          <w:bCs/>
          <w:color w:val="auto"/>
          <w:sz w:val="28"/>
          <w:szCs w:val="28"/>
        </w:rPr>
        <w:t>表三</w:t>
      </w:r>
      <w:bookmarkEnd w:id="30"/>
      <w:r>
        <w:rPr>
          <w:rFonts w:ascii="Times New Roman" w:hAnsi="Times New Roman" w:eastAsiaTheme="minorEastAsia"/>
          <w:b/>
          <w:bCs/>
          <w:color w:val="auto"/>
          <w:sz w:val="28"/>
          <w:szCs w:val="28"/>
        </w:rPr>
        <w:t>主要污染源、污染物处理和排放</w:t>
      </w:r>
      <w:bookmarkEnd w:id="31"/>
    </w:p>
    <w:tbl>
      <w:tblPr>
        <w:tblStyle w:val="23"/>
        <w:tblW w:w="8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7"/>
      </w:tblGrid>
      <w:tr w14:paraId="2CBA0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65" w:hRule="atLeast"/>
          <w:jc w:val="center"/>
        </w:trPr>
        <w:tc>
          <w:tcPr>
            <w:tcW w:w="8937" w:type="dxa"/>
          </w:tcPr>
          <w:p w14:paraId="27231398">
            <w:pPr>
              <w:pStyle w:val="26"/>
              <w:spacing w:line="360" w:lineRule="auto"/>
              <w:jc w:val="both"/>
              <w:rPr>
                <w:rFonts w:ascii="Times New Roman" w:hAnsi="Times New Roman" w:eastAsiaTheme="minorEastAsia"/>
                <w:b/>
                <w:bCs/>
                <w:color w:val="auto"/>
                <w:sz w:val="28"/>
                <w:szCs w:val="28"/>
              </w:rPr>
            </w:pPr>
            <w:r>
              <w:rPr>
                <w:rFonts w:ascii="Times New Roman" w:hAnsi="Times New Roman" w:eastAsiaTheme="minorEastAsia"/>
                <w:b/>
                <w:bCs/>
                <w:color w:val="auto"/>
                <w:sz w:val="28"/>
                <w:szCs w:val="28"/>
              </w:rPr>
              <w:t>主要污染源、污染物处理和排放：</w:t>
            </w:r>
          </w:p>
          <w:p w14:paraId="07B3754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ascii="Times New Roman" w:hAnsi="Times New Roman" w:eastAsiaTheme="minorEastAsia"/>
                <w:b/>
                <w:bCs/>
                <w:sz w:val="24"/>
              </w:rPr>
            </w:pPr>
            <w:r>
              <w:rPr>
                <w:rFonts w:ascii="Times New Roman" w:hAnsi="Times New Roman" w:eastAsiaTheme="minorEastAsia"/>
                <w:b/>
                <w:bCs/>
                <w:sz w:val="24"/>
              </w:rPr>
              <w:t>一、废气</w:t>
            </w:r>
          </w:p>
          <w:p w14:paraId="0AA5F996">
            <w:pPr>
              <w:keepNext w:val="0"/>
              <w:keepLines w:val="0"/>
              <w:pageBreakBefore w:val="0"/>
              <w:widowControl w:val="0"/>
              <w:kinsoku/>
              <w:wordWrap/>
              <w:overflowPunct/>
              <w:topLinePunct w:val="0"/>
              <w:autoSpaceDE/>
              <w:autoSpaceDN/>
              <w:bidi w:val="0"/>
              <w:adjustRightInd/>
              <w:snapToGrid/>
              <w:spacing w:line="360" w:lineRule="auto"/>
              <w:ind w:firstLine="573"/>
              <w:contextualSpacing/>
              <w:textAlignment w:val="auto"/>
              <w:rPr>
                <w:rFonts w:hint="eastAsia" w:ascii="Times New Roman" w:hAnsi="Times New Roman" w:eastAsia="宋体" w:cs="Times New Roman"/>
                <w:sz w:val="24"/>
                <w:szCs w:val="24"/>
                <w:lang w:eastAsia="zh-CN"/>
              </w:rPr>
            </w:pPr>
            <w:r>
              <w:rPr>
                <w:rFonts w:hint="default" w:ascii="Times New Roman" w:hAnsi="Times New Roman" w:cs="Times New Roman" w:eastAsiaTheme="minorEastAsia"/>
                <w:sz w:val="24"/>
                <w:szCs w:val="24"/>
                <w:highlight w:val="none"/>
              </w:rPr>
              <w:t>1、</w:t>
            </w:r>
            <w:r>
              <w:rPr>
                <w:rFonts w:hint="default" w:ascii="Times New Roman" w:hAnsi="Times New Roman" w:cs="Times New Roman"/>
                <w:color w:val="auto"/>
                <w:sz w:val="24"/>
                <w:szCs w:val="24"/>
                <w:highlight w:val="none"/>
              </w:rPr>
              <w:t>切割工段粉尘</w:t>
            </w:r>
            <w:r>
              <w:rPr>
                <w:rFonts w:hint="default" w:ascii="Times New Roman" w:hAnsi="Times New Roman" w:cs="Times New Roman" w:eastAsiaTheme="minorEastAsia"/>
                <w:sz w:val="24"/>
                <w:szCs w:val="24"/>
                <w:highlight w:val="none"/>
              </w:rPr>
              <w:t>：</w:t>
            </w:r>
            <w:r>
              <w:rPr>
                <w:rFonts w:hint="default"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有一处切割工位，</w:t>
            </w:r>
            <w:r>
              <w:rPr>
                <w:rFonts w:hint="default" w:ascii="Times New Roman" w:hAnsi="Times New Roman" w:cs="Times New Roman"/>
                <w:color w:val="auto"/>
                <w:sz w:val="24"/>
                <w:szCs w:val="24"/>
                <w:highlight w:val="none"/>
              </w:rPr>
              <w:t>在全封闭拆解车间内切割工</w:t>
            </w:r>
            <w:r>
              <w:rPr>
                <w:rFonts w:hint="eastAsia" w:ascii="Times New Roman" w:hAnsi="Times New Roman" w:cs="Times New Roman"/>
                <w:color w:val="auto"/>
                <w:sz w:val="24"/>
                <w:szCs w:val="24"/>
                <w:highlight w:val="none"/>
                <w:lang w:val="en-US" w:eastAsia="zh-CN"/>
              </w:rPr>
              <w:t>位周围</w:t>
            </w:r>
            <w:r>
              <w:rPr>
                <w:rFonts w:hint="default" w:ascii="Times New Roman" w:hAnsi="Times New Roman" w:cs="Times New Roman"/>
                <w:color w:val="auto"/>
                <w:sz w:val="24"/>
                <w:szCs w:val="24"/>
                <w:highlight w:val="none"/>
              </w:rPr>
              <w:t>设置</w:t>
            </w:r>
            <w:r>
              <w:rPr>
                <w:rFonts w:hint="eastAsia" w:ascii="Times New Roman" w:hAnsi="Times New Roman" w:cs="Times New Roman"/>
                <w:color w:val="auto"/>
                <w:sz w:val="24"/>
                <w:szCs w:val="24"/>
                <w:highlight w:val="none"/>
                <w:lang w:val="en-US" w:eastAsia="zh-CN"/>
              </w:rPr>
              <w:t>集气罩，废气经集气罩收集后进入</w:t>
            </w:r>
            <w:r>
              <w:rPr>
                <w:rFonts w:hint="default" w:ascii="Times New Roman" w:hAnsi="Times New Roman" w:cs="Times New Roman"/>
                <w:color w:val="auto"/>
                <w:sz w:val="24"/>
                <w:szCs w:val="24"/>
                <w:highlight w:val="none"/>
                <w:lang w:eastAsia="zh-CN"/>
              </w:rPr>
              <w:t>布袋除尘器</w:t>
            </w:r>
            <w:r>
              <w:rPr>
                <w:rFonts w:hint="eastAsia" w:ascii="Times New Roman" w:hAnsi="Times New Roman" w:cs="Times New Roman"/>
                <w:color w:val="auto"/>
                <w:sz w:val="24"/>
                <w:szCs w:val="24"/>
                <w:highlight w:val="none"/>
                <w:lang w:val="en-US" w:eastAsia="zh-CN"/>
              </w:rPr>
              <w:t>处理后</w:t>
            </w:r>
            <w:r>
              <w:rPr>
                <w:rFonts w:hint="default" w:ascii="Times New Roman" w:hAnsi="Times New Roman" w:eastAsia="宋体" w:cs="Times New Roman"/>
                <w:color w:val="auto"/>
                <w:kern w:val="2"/>
                <w:sz w:val="24"/>
                <w:szCs w:val="24"/>
                <w:lang w:val="en-US" w:eastAsia="zh-CN" w:bidi="ar-SA"/>
              </w:rPr>
              <w:t>由1根15m高排气筒DA001排放。</w:t>
            </w:r>
          </w:p>
          <w:p w14:paraId="1C64A119">
            <w:pPr>
              <w:keepNext w:val="0"/>
              <w:keepLines w:val="0"/>
              <w:pageBreakBefore w:val="0"/>
              <w:widowControl w:val="0"/>
              <w:kinsoku/>
              <w:wordWrap/>
              <w:overflowPunct/>
              <w:topLinePunct w:val="0"/>
              <w:autoSpaceDE/>
              <w:autoSpaceDN/>
              <w:bidi w:val="0"/>
              <w:adjustRightInd/>
              <w:snapToGrid/>
              <w:spacing w:line="360" w:lineRule="auto"/>
              <w:ind w:firstLine="573"/>
              <w:contextualSpacing/>
              <w:textAlignment w:val="auto"/>
              <w:rPr>
                <w:rFonts w:hint="default" w:ascii="Times New Roman" w:hAnsi="Times New Roman" w:cs="Times New Roman"/>
                <w:color w:val="auto"/>
                <w:sz w:val="24"/>
                <w:szCs w:val="24"/>
              </w:rPr>
            </w:pPr>
            <w:r>
              <w:rPr>
                <w:rFonts w:hint="default" w:ascii="Times New Roman" w:hAnsi="Times New Roman" w:cs="Times New Roman" w:eastAsiaTheme="minorEastAsia"/>
                <w:sz w:val="24"/>
                <w:szCs w:val="24"/>
              </w:rPr>
              <w:t>2、</w:t>
            </w:r>
            <w:r>
              <w:rPr>
                <w:rFonts w:hint="default" w:ascii="Times New Roman" w:hAnsi="Times New Roman" w:cs="Times New Roman" w:eastAsiaTheme="minorEastAsia"/>
                <w:sz w:val="24"/>
                <w:szCs w:val="24"/>
                <w:lang w:val="en-US" w:eastAsia="zh-CN"/>
              </w:rPr>
              <w:t>拆解工段</w:t>
            </w:r>
            <w:r>
              <w:rPr>
                <w:rFonts w:hint="default" w:ascii="Times New Roman" w:hAnsi="Times New Roman" w:cs="Times New Roman"/>
                <w:color w:val="auto"/>
                <w:sz w:val="24"/>
                <w:szCs w:val="24"/>
              </w:rPr>
              <w:t>非甲烷总烃</w:t>
            </w:r>
            <w:r>
              <w:rPr>
                <w:rFonts w:hint="default" w:ascii="Times New Roman" w:hAnsi="Times New Roman" w:cs="Times New Roman" w:eastAsiaTheme="minorEastAsia"/>
                <w:sz w:val="24"/>
                <w:szCs w:val="24"/>
              </w:rPr>
              <w:t>：</w:t>
            </w:r>
            <w:r>
              <w:rPr>
                <w:rFonts w:hint="default" w:ascii="Times New Roman" w:hAnsi="Times New Roman" w:cs="Times New Roman"/>
                <w:color w:val="auto"/>
                <w:sz w:val="24"/>
                <w:szCs w:val="24"/>
              </w:rPr>
              <w:t>本项目待拆的报废车辆油箱中废油量较少，在工序上方设置集气罩（收集效率80%）+活性炭吸附（吸附效率</w:t>
            </w:r>
            <w:r>
              <w:rPr>
                <w:rFonts w:hint="eastAsia" w:ascii="Times New Roman" w:hAnsi="Times New Roman" w:cs="Times New Roman"/>
                <w:color w:val="auto"/>
                <w:sz w:val="24"/>
                <w:szCs w:val="24"/>
                <w:lang w:val="en-US" w:eastAsia="zh-CN"/>
              </w:rPr>
              <w:t>80</w:t>
            </w:r>
            <w:r>
              <w:rPr>
                <w:rFonts w:hint="default" w:ascii="Times New Roman" w:hAnsi="Times New Roman" w:cs="Times New Roman"/>
                <w:color w:val="auto"/>
                <w:sz w:val="24"/>
                <w:szCs w:val="24"/>
              </w:rPr>
              <w:t>%）装置进行处理。危险废物采用密闭容器包装，控制挥发性有机气体的产生。</w:t>
            </w:r>
          </w:p>
          <w:p w14:paraId="3561530A">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rPr>
              <w:t>、</w:t>
            </w:r>
            <w:r>
              <w:rPr>
                <w:rFonts w:hint="default" w:ascii="Times New Roman" w:hAnsi="Times New Roman" w:eastAsia="宋体" w:cs="Times New Roman"/>
                <w:color w:val="auto"/>
                <w:kern w:val="2"/>
                <w:sz w:val="24"/>
                <w:szCs w:val="24"/>
                <w:lang w:val="en-US" w:eastAsia="zh-CN" w:bidi="ar-SA"/>
              </w:rPr>
              <w:t>危废贮存库废气：本项目要求所有危险废物均在密闭容器内保存，以控制挥发性有机气体的产生，收集的危废贮存库废气通过活性炭吸附（吸附效率</w:t>
            </w:r>
            <w:r>
              <w:rPr>
                <w:rFonts w:hint="eastAsia" w:ascii="Times New Roman" w:hAnsi="Times New Roman" w:cs="Times New Roman"/>
                <w:color w:val="auto"/>
                <w:kern w:val="2"/>
                <w:sz w:val="24"/>
                <w:szCs w:val="24"/>
                <w:lang w:val="en-US" w:eastAsia="zh-CN" w:bidi="ar-SA"/>
              </w:rPr>
              <w:t>80</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处理后由1根15m高排气筒DA001排放。</w:t>
            </w:r>
          </w:p>
          <w:p w14:paraId="5499C5B4">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eastAsia" w:ascii="Times New Roman" w:hAnsi="Times New Roman" w:cs="Times New Roman" w:eastAsiaTheme="minorEastAsia"/>
                <w:sz w:val="24"/>
                <w:szCs w:val="24"/>
                <w:lang w:val="en-US" w:eastAsia="zh-CN"/>
              </w:rPr>
              <w:t>项目排气筒周围200m范围内建筑物高度不超过10m，满足《大气污染物综合排放标准》(GB16297-1996)中对排气筒最低高度要求和高于200m范围内建筑5m以上的要求。</w:t>
            </w:r>
          </w:p>
          <w:p w14:paraId="5B84F8FF">
            <w:pPr>
              <w:spacing w:before="156" w:after="156"/>
              <w:jc w:val="center"/>
              <w:rPr>
                <w:rFonts w:ascii="Times New Roman" w:hAnsi="Times New Roman" w:eastAsiaTheme="minorEastAsia"/>
                <w:b/>
                <w:sz w:val="24"/>
              </w:rPr>
            </w:pPr>
            <w:r>
              <w:rPr>
                <w:rFonts w:ascii="Times New Roman" w:hAnsi="Times New Roman" w:eastAsiaTheme="minorEastAsia"/>
                <w:b/>
                <w:sz w:val="24"/>
              </w:rPr>
              <w:t>表3-1废气排放及防治措施</w:t>
            </w:r>
          </w:p>
          <w:tbl>
            <w:tblPr>
              <w:tblStyle w:val="23"/>
              <w:tblW w:w="871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385"/>
              <w:gridCol w:w="1659"/>
              <w:gridCol w:w="1200"/>
              <w:gridCol w:w="2547"/>
              <w:gridCol w:w="1205"/>
            </w:tblGrid>
            <w:tr w14:paraId="01FC1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exact"/>
                <w:tblHeader/>
                <w:jc w:val="center"/>
              </w:trPr>
              <w:tc>
                <w:tcPr>
                  <w:tcW w:w="715" w:type="dxa"/>
                  <w:tcBorders>
                    <w:tl2br w:val="nil"/>
                    <w:tr2bl w:val="nil"/>
                  </w:tcBorders>
                  <w:vAlign w:val="center"/>
                </w:tcPr>
                <w:p w14:paraId="17514254">
                  <w:pPr>
                    <w:jc w:val="center"/>
                    <w:rPr>
                      <w:rFonts w:hint="default" w:ascii="Times New Roman" w:hAnsi="Times New Roman" w:cs="Times New Roman" w:eastAsiaTheme="minorEastAsia"/>
                      <w:bCs/>
                      <w:szCs w:val="21"/>
                    </w:rPr>
                  </w:pPr>
                  <w:bookmarkStart w:id="32" w:name="_Toc9943"/>
                  <w:bookmarkStart w:id="33" w:name="_Toc17097"/>
                  <w:r>
                    <w:rPr>
                      <w:rFonts w:hint="default" w:ascii="Times New Roman" w:hAnsi="Times New Roman" w:cs="Times New Roman" w:eastAsiaTheme="minorEastAsia"/>
                      <w:bCs/>
                      <w:szCs w:val="21"/>
                    </w:rPr>
                    <w:t>序号</w:t>
                  </w:r>
                  <w:bookmarkEnd w:id="32"/>
                  <w:bookmarkEnd w:id="33"/>
                </w:p>
              </w:tc>
              <w:tc>
                <w:tcPr>
                  <w:tcW w:w="1385" w:type="dxa"/>
                  <w:tcBorders>
                    <w:tl2br w:val="nil"/>
                    <w:tr2bl w:val="nil"/>
                  </w:tcBorders>
                  <w:vAlign w:val="center"/>
                </w:tcPr>
                <w:p w14:paraId="236A5560">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rPr>
                    <w:t>污染源名称</w:t>
                  </w:r>
                </w:p>
              </w:tc>
              <w:tc>
                <w:tcPr>
                  <w:tcW w:w="1659" w:type="dxa"/>
                  <w:tcBorders>
                    <w:tl2br w:val="nil"/>
                    <w:tr2bl w:val="nil"/>
                  </w:tcBorders>
                  <w:vAlign w:val="center"/>
                </w:tcPr>
                <w:p w14:paraId="415A1AF1">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污染物种类</w:t>
                  </w:r>
                </w:p>
              </w:tc>
              <w:tc>
                <w:tcPr>
                  <w:tcW w:w="1200" w:type="dxa"/>
                  <w:tcBorders>
                    <w:tl2br w:val="nil"/>
                    <w:tr2bl w:val="nil"/>
                  </w:tcBorders>
                  <w:vAlign w:val="center"/>
                </w:tcPr>
                <w:p w14:paraId="38C86BF0">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排放形式</w:t>
                  </w:r>
                </w:p>
              </w:tc>
              <w:tc>
                <w:tcPr>
                  <w:tcW w:w="2547" w:type="dxa"/>
                  <w:tcBorders>
                    <w:tl2br w:val="nil"/>
                    <w:tr2bl w:val="nil"/>
                  </w:tcBorders>
                  <w:vAlign w:val="center"/>
                </w:tcPr>
                <w:p w14:paraId="7BE1AE99">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治理设施</w:t>
                  </w:r>
                </w:p>
              </w:tc>
              <w:tc>
                <w:tcPr>
                  <w:tcW w:w="1205" w:type="dxa"/>
                  <w:tcBorders>
                    <w:tl2br w:val="nil"/>
                    <w:tr2bl w:val="nil"/>
                  </w:tcBorders>
                  <w:vAlign w:val="center"/>
                </w:tcPr>
                <w:p w14:paraId="1BF430AD">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排放去向</w:t>
                  </w:r>
                </w:p>
              </w:tc>
            </w:tr>
            <w:tr w14:paraId="6DA2A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715" w:type="dxa"/>
                  <w:tcBorders>
                    <w:tl2br w:val="nil"/>
                    <w:tr2bl w:val="nil"/>
                  </w:tcBorders>
                  <w:vAlign w:val="center"/>
                </w:tcPr>
                <w:p w14:paraId="3E390FC1">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1</w:t>
                  </w:r>
                </w:p>
              </w:tc>
              <w:tc>
                <w:tcPr>
                  <w:tcW w:w="1385" w:type="dxa"/>
                  <w:tcBorders>
                    <w:tl2br w:val="nil"/>
                    <w:tr2bl w:val="nil"/>
                  </w:tcBorders>
                  <w:vAlign w:val="center"/>
                </w:tcPr>
                <w:p w14:paraId="2E1E434C">
                  <w:pPr>
                    <w:pStyle w:val="2"/>
                    <w:spacing w:after="0"/>
                    <w:ind w:firstLine="0" w:firstLineChars="0"/>
                    <w:jc w:val="both"/>
                    <w:rPr>
                      <w:rFonts w:hint="default" w:ascii="Times New Roman" w:hAnsi="Times New Roman" w:cs="Times New Roman" w:eastAsiaTheme="minorEastAsia"/>
                      <w:bCs/>
                      <w:szCs w:val="21"/>
                    </w:rPr>
                  </w:pPr>
                  <w:r>
                    <w:rPr>
                      <w:rFonts w:hint="default" w:ascii="Times New Roman" w:hAnsi="Times New Roman" w:cs="Times New Roman"/>
                      <w:color w:val="auto"/>
                    </w:rPr>
                    <w:t>切割工段</w:t>
                  </w:r>
                </w:p>
              </w:tc>
              <w:tc>
                <w:tcPr>
                  <w:tcW w:w="1659" w:type="dxa"/>
                  <w:tcBorders>
                    <w:tl2br w:val="nil"/>
                    <w:tr2bl w:val="nil"/>
                  </w:tcBorders>
                  <w:vAlign w:val="center"/>
                </w:tcPr>
                <w:p w14:paraId="5A087F78">
                  <w:pPr>
                    <w:jc w:val="center"/>
                    <w:rPr>
                      <w:rFonts w:hint="default" w:ascii="Times New Roman" w:hAnsi="Times New Roman" w:cs="Times New Roman" w:eastAsiaTheme="minorEastAsia"/>
                      <w:bCs/>
                      <w:szCs w:val="21"/>
                      <w:lang w:eastAsia="zh-CN"/>
                    </w:rPr>
                  </w:pPr>
                  <w:r>
                    <w:rPr>
                      <w:rFonts w:hint="default" w:ascii="Times New Roman" w:hAnsi="Times New Roman" w:cs="Times New Roman" w:eastAsiaTheme="minorEastAsia"/>
                      <w:lang w:val="en-US" w:eastAsia="zh-CN"/>
                    </w:rPr>
                    <w:t>颗粒物</w:t>
                  </w:r>
                </w:p>
              </w:tc>
              <w:tc>
                <w:tcPr>
                  <w:tcW w:w="1200" w:type="dxa"/>
                  <w:tcBorders>
                    <w:tl2br w:val="nil"/>
                    <w:tr2bl w:val="nil"/>
                  </w:tcBorders>
                  <w:vAlign w:val="center"/>
                </w:tcPr>
                <w:p w14:paraId="130EF5AA">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有</w:t>
                  </w:r>
                  <w:r>
                    <w:rPr>
                      <w:rFonts w:hint="default" w:ascii="Times New Roman" w:hAnsi="Times New Roman" w:cs="Times New Roman" w:eastAsiaTheme="minorEastAsia"/>
                      <w:color w:val="auto"/>
                      <w:sz w:val="21"/>
                      <w:szCs w:val="21"/>
                    </w:rPr>
                    <w:t>组织</w:t>
                  </w:r>
                </w:p>
              </w:tc>
              <w:tc>
                <w:tcPr>
                  <w:tcW w:w="2547" w:type="dxa"/>
                  <w:tcBorders>
                    <w:tl2br w:val="nil"/>
                    <w:tr2bl w:val="nil"/>
                  </w:tcBorders>
                  <w:vAlign w:val="center"/>
                </w:tcPr>
                <w:p w14:paraId="6FA34112">
                  <w:pPr>
                    <w:jc w:val="center"/>
                    <w:rPr>
                      <w:rFonts w:hint="default" w:ascii="Times New Roman" w:hAnsi="Times New Roman" w:cs="Times New Roman" w:eastAsiaTheme="minorEastAsia"/>
                      <w:bCs/>
                      <w:szCs w:val="21"/>
                    </w:rPr>
                  </w:pPr>
                  <w:r>
                    <w:rPr>
                      <w:rFonts w:hint="default" w:ascii="Times New Roman" w:hAnsi="Times New Roman" w:eastAsia="宋体" w:cs="Times New Roman"/>
                      <w:color w:val="auto"/>
                      <w:kern w:val="2"/>
                      <w:sz w:val="21"/>
                      <w:szCs w:val="24"/>
                      <w:lang w:val="en-US" w:eastAsia="zh-CN" w:bidi="ar-SA"/>
                    </w:rPr>
                    <w:t>在全封闭拆解车间内切割工位周围设置集气罩，经集气罩收集进入布袋除尘器处理后由1根15m高排气筒DA001排放。</w:t>
                  </w:r>
                </w:p>
              </w:tc>
              <w:tc>
                <w:tcPr>
                  <w:tcW w:w="1205" w:type="dxa"/>
                  <w:tcBorders>
                    <w:tl2br w:val="nil"/>
                    <w:tr2bl w:val="nil"/>
                  </w:tcBorders>
                  <w:vAlign w:val="center"/>
                </w:tcPr>
                <w:p w14:paraId="65043644">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环境空气</w:t>
                  </w:r>
                </w:p>
              </w:tc>
            </w:tr>
            <w:tr w14:paraId="08D6E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715" w:type="dxa"/>
                  <w:tcBorders>
                    <w:tl2br w:val="nil"/>
                    <w:tr2bl w:val="nil"/>
                  </w:tcBorders>
                  <w:vAlign w:val="center"/>
                </w:tcPr>
                <w:p w14:paraId="1456AC1A">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2</w:t>
                  </w:r>
                </w:p>
              </w:tc>
              <w:tc>
                <w:tcPr>
                  <w:tcW w:w="1385" w:type="dxa"/>
                  <w:tcBorders>
                    <w:tl2br w:val="nil"/>
                    <w:tr2bl w:val="nil"/>
                  </w:tcBorders>
                  <w:vAlign w:val="center"/>
                </w:tcPr>
                <w:p w14:paraId="67C0B3F2">
                  <w:pPr>
                    <w:pStyle w:val="76"/>
                    <w:ind w:left="0" w:leftChars="0" w:firstLine="0" w:firstLineChars="0"/>
                    <w:rPr>
                      <w:rFonts w:hint="default"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kern w:val="2"/>
                      <w:sz w:val="21"/>
                      <w:szCs w:val="24"/>
                      <w:lang w:val="en-US" w:eastAsia="zh-CN" w:bidi="ar-SA"/>
                    </w:rPr>
                    <w:t>拆解工段</w:t>
                  </w:r>
                </w:p>
              </w:tc>
              <w:tc>
                <w:tcPr>
                  <w:tcW w:w="1659" w:type="dxa"/>
                  <w:tcBorders>
                    <w:tl2br w:val="nil"/>
                    <w:tr2bl w:val="nil"/>
                  </w:tcBorders>
                  <w:vAlign w:val="center"/>
                </w:tcPr>
                <w:p w14:paraId="3162E14D">
                  <w:pPr>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非甲烷总烃</w:t>
                  </w:r>
                </w:p>
              </w:tc>
              <w:tc>
                <w:tcPr>
                  <w:tcW w:w="1200" w:type="dxa"/>
                  <w:tcBorders>
                    <w:tl2br w:val="nil"/>
                    <w:tr2bl w:val="nil"/>
                  </w:tcBorders>
                  <w:vAlign w:val="center"/>
                </w:tcPr>
                <w:p w14:paraId="396A1EDD">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无</w:t>
                  </w:r>
                  <w:r>
                    <w:rPr>
                      <w:rFonts w:hint="default" w:ascii="Times New Roman" w:hAnsi="Times New Roman" w:cs="Times New Roman" w:eastAsiaTheme="minorEastAsia"/>
                      <w:color w:val="auto"/>
                      <w:sz w:val="21"/>
                      <w:szCs w:val="21"/>
                    </w:rPr>
                    <w:t>组织</w:t>
                  </w:r>
                </w:p>
              </w:tc>
              <w:tc>
                <w:tcPr>
                  <w:tcW w:w="2547" w:type="dxa"/>
                  <w:tcBorders>
                    <w:tl2br w:val="nil"/>
                    <w:tr2bl w:val="nil"/>
                  </w:tcBorders>
                  <w:vAlign w:val="center"/>
                </w:tcPr>
                <w:p w14:paraId="1C6B1F08">
                  <w:pPr>
                    <w:pStyle w:val="2"/>
                    <w:widowControl/>
                    <w:adjustRightInd w:val="0"/>
                    <w:snapToGrid w:val="0"/>
                    <w:spacing w:after="0"/>
                    <w:ind w:firstLine="0" w:firstLineChars="0"/>
                    <w:jc w:val="center"/>
                    <w:rPr>
                      <w:rFonts w:hint="default" w:ascii="Times New Roman" w:hAnsi="Times New Roman" w:cs="Times New Roman"/>
                      <w:szCs w:val="22"/>
                    </w:rPr>
                  </w:pPr>
                  <w:r>
                    <w:rPr>
                      <w:rFonts w:hint="default" w:ascii="Times New Roman" w:hAnsi="Times New Roman" w:cs="Times New Roman"/>
                      <w:color w:val="auto"/>
                      <w:lang w:val="en-US" w:eastAsia="zh-CN"/>
                    </w:rPr>
                    <w:t>抽油工段采用集气罩（收集效率80%）+活性炭吸附（吸附效率80%）</w:t>
                  </w:r>
                </w:p>
              </w:tc>
              <w:tc>
                <w:tcPr>
                  <w:tcW w:w="1205" w:type="dxa"/>
                  <w:tcBorders>
                    <w:tl2br w:val="nil"/>
                    <w:tr2bl w:val="nil"/>
                  </w:tcBorders>
                  <w:vAlign w:val="center"/>
                </w:tcPr>
                <w:p w14:paraId="54923A64">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环境空气</w:t>
                  </w:r>
                </w:p>
              </w:tc>
            </w:tr>
            <w:tr w14:paraId="4C533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7" w:hRule="atLeast"/>
                <w:jc w:val="center"/>
              </w:trPr>
              <w:tc>
                <w:tcPr>
                  <w:tcW w:w="715" w:type="dxa"/>
                  <w:tcBorders>
                    <w:tl2br w:val="nil"/>
                    <w:tr2bl w:val="nil"/>
                  </w:tcBorders>
                  <w:vAlign w:val="center"/>
                </w:tcPr>
                <w:p w14:paraId="37B24A00">
                  <w:pPr>
                    <w:jc w:val="center"/>
                    <w:rPr>
                      <w:rFonts w:hint="default" w:ascii="Times New Roman" w:hAnsi="Times New Roman" w:cs="Times New Roman" w:eastAsiaTheme="minorEastAsia"/>
                      <w:bCs/>
                      <w:szCs w:val="21"/>
                    </w:rPr>
                  </w:pPr>
                  <w:r>
                    <w:rPr>
                      <w:rFonts w:hint="default" w:ascii="Times New Roman" w:hAnsi="Times New Roman" w:cs="Times New Roman" w:eastAsiaTheme="minorEastAsia"/>
                      <w:bCs/>
                      <w:szCs w:val="21"/>
                    </w:rPr>
                    <w:t>3</w:t>
                  </w:r>
                </w:p>
              </w:tc>
              <w:tc>
                <w:tcPr>
                  <w:tcW w:w="1385" w:type="dxa"/>
                  <w:tcBorders>
                    <w:tl2br w:val="nil"/>
                    <w:tr2bl w:val="nil"/>
                  </w:tcBorders>
                  <w:vAlign w:val="center"/>
                </w:tcPr>
                <w:p w14:paraId="42CA76DD">
                  <w:pPr>
                    <w:widowControl w:val="0"/>
                    <w:autoSpaceDE w:val="0"/>
                    <w:autoSpaceDN w:val="0"/>
                    <w:adjustRightInd w:val="0"/>
                    <w:snapToGrid w:val="0"/>
                    <w:spacing w:line="500" w:lineRule="exact"/>
                    <w:jc w:val="both"/>
                    <w:rPr>
                      <w:rFonts w:hint="default"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kern w:val="2"/>
                      <w:sz w:val="21"/>
                      <w:szCs w:val="24"/>
                      <w:lang w:val="en-US" w:eastAsia="zh-CN" w:bidi="ar-SA"/>
                    </w:rPr>
                    <w:t>危废贮存库废气</w:t>
                  </w:r>
                </w:p>
              </w:tc>
              <w:tc>
                <w:tcPr>
                  <w:tcW w:w="1659" w:type="dxa"/>
                  <w:tcBorders>
                    <w:tl2br w:val="nil"/>
                    <w:tr2bl w:val="nil"/>
                  </w:tcBorders>
                  <w:vAlign w:val="center"/>
                </w:tcPr>
                <w:p w14:paraId="682D7E77">
                  <w:pPr>
                    <w:jc w:val="center"/>
                    <w:rPr>
                      <w:rFonts w:hint="default" w:ascii="Times New Roman" w:hAnsi="Times New Roman" w:cs="Times New Roman" w:eastAsiaTheme="minorEastAsia"/>
                      <w:bCs/>
                      <w:szCs w:val="21"/>
                      <w:lang w:val="en-US" w:eastAsia="zh-CN"/>
                    </w:rPr>
                  </w:pPr>
                  <w:r>
                    <w:rPr>
                      <w:rFonts w:hint="default" w:ascii="Times New Roman" w:hAnsi="Times New Roman" w:cs="Times New Roman" w:eastAsiaTheme="minorEastAsia"/>
                      <w:bCs/>
                      <w:szCs w:val="21"/>
                      <w:lang w:val="en-US" w:eastAsia="zh-CN"/>
                    </w:rPr>
                    <w:t>非甲烷总烃</w:t>
                  </w:r>
                </w:p>
              </w:tc>
              <w:tc>
                <w:tcPr>
                  <w:tcW w:w="1200" w:type="dxa"/>
                  <w:tcBorders>
                    <w:tl2br w:val="nil"/>
                    <w:tr2bl w:val="nil"/>
                  </w:tcBorders>
                  <w:vAlign w:val="center"/>
                </w:tcPr>
                <w:p w14:paraId="3459907F">
                  <w:pPr>
                    <w:pStyle w:val="26"/>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有</w:t>
                  </w:r>
                  <w:r>
                    <w:rPr>
                      <w:rFonts w:hint="default" w:ascii="Times New Roman" w:hAnsi="Times New Roman" w:cs="Times New Roman" w:eastAsiaTheme="minorEastAsia"/>
                      <w:color w:val="auto"/>
                      <w:sz w:val="21"/>
                      <w:szCs w:val="21"/>
                    </w:rPr>
                    <w:t>组织</w:t>
                  </w:r>
                </w:p>
              </w:tc>
              <w:tc>
                <w:tcPr>
                  <w:tcW w:w="2547" w:type="dxa"/>
                  <w:tcBorders>
                    <w:tl2br w:val="nil"/>
                    <w:tr2bl w:val="nil"/>
                  </w:tcBorders>
                  <w:vAlign w:val="center"/>
                </w:tcPr>
                <w:p w14:paraId="6B0915E0">
                  <w:pPr>
                    <w:jc w:val="center"/>
                    <w:rPr>
                      <w:rFonts w:hint="default" w:ascii="Times New Roman" w:hAnsi="Times New Roman" w:cs="Times New Roman" w:eastAsiaTheme="minorEastAsia"/>
                      <w:bCs/>
                      <w:szCs w:val="21"/>
                      <w:lang w:val="en-US"/>
                    </w:rPr>
                  </w:pPr>
                  <w:r>
                    <w:rPr>
                      <w:rFonts w:hint="default" w:ascii="Times New Roman" w:hAnsi="Times New Roman" w:cs="Times New Roman"/>
                      <w:color w:val="auto"/>
                      <w:lang w:val="en-US" w:eastAsia="zh-CN"/>
                    </w:rPr>
                    <w:t>活性炭吸附</w:t>
                  </w:r>
                  <w:r>
                    <w:rPr>
                      <w:rFonts w:hint="default" w:ascii="Times New Roman" w:hAnsi="Times New Roman" w:cs="Times New Roman"/>
                      <w:color w:val="auto"/>
                    </w:rPr>
                    <w:t>（吸附效率</w:t>
                  </w:r>
                  <w:r>
                    <w:rPr>
                      <w:rFonts w:hint="default" w:ascii="Times New Roman" w:hAnsi="Times New Roman" w:cs="Times New Roman"/>
                      <w:color w:val="auto"/>
                      <w:lang w:val="en-US" w:eastAsia="zh-CN"/>
                    </w:rPr>
                    <w:t>8</w:t>
                  </w:r>
                  <w:r>
                    <w:rPr>
                      <w:rFonts w:hint="default" w:ascii="Times New Roman" w:hAnsi="Times New Roman" w:cs="Times New Roman"/>
                      <w:color w:val="auto"/>
                    </w:rPr>
                    <w:t>0%）</w:t>
                  </w:r>
                  <w:r>
                    <w:rPr>
                      <w:rFonts w:hint="default" w:ascii="Times New Roman" w:hAnsi="Times New Roman" w:cs="Times New Roman"/>
                      <w:color w:val="auto"/>
                      <w:lang w:val="en-US" w:eastAsia="zh-CN"/>
                    </w:rPr>
                    <w:t>处理后由1根15m高排气</w:t>
                  </w:r>
                  <w:r>
                    <w:rPr>
                      <w:rFonts w:hint="default" w:ascii="Times New Roman" w:hAnsi="Times New Roman" w:cs="Times New Roman"/>
                      <w:color w:val="auto"/>
                      <w:highlight w:val="none"/>
                      <w:lang w:val="en-US" w:eastAsia="zh-CN"/>
                    </w:rPr>
                    <w:t>筒</w:t>
                  </w:r>
                  <w:r>
                    <w:rPr>
                      <w:rFonts w:hint="default" w:ascii="Times New Roman" w:hAnsi="Times New Roman" w:eastAsia="宋体" w:cs="Times New Roman"/>
                      <w:color w:val="auto"/>
                      <w:kern w:val="2"/>
                      <w:sz w:val="21"/>
                      <w:szCs w:val="24"/>
                      <w:lang w:val="en-US" w:eastAsia="zh-CN" w:bidi="ar-SA"/>
                    </w:rPr>
                    <w:t>DA001</w:t>
                  </w:r>
                  <w:r>
                    <w:rPr>
                      <w:rFonts w:hint="default" w:ascii="Times New Roman" w:hAnsi="Times New Roman" w:cs="Times New Roman"/>
                      <w:color w:val="auto"/>
                      <w:highlight w:val="none"/>
                      <w:lang w:val="en-US" w:eastAsia="zh-CN"/>
                    </w:rPr>
                    <w:t>排放</w:t>
                  </w:r>
                </w:p>
              </w:tc>
              <w:tc>
                <w:tcPr>
                  <w:tcW w:w="1205" w:type="dxa"/>
                  <w:tcBorders>
                    <w:tl2br w:val="nil"/>
                    <w:tr2bl w:val="nil"/>
                  </w:tcBorders>
                  <w:vAlign w:val="center"/>
                </w:tcPr>
                <w:p w14:paraId="569925FD">
                  <w:pPr>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环境空气</w:t>
                  </w:r>
                </w:p>
              </w:tc>
            </w:tr>
          </w:tbl>
          <w:p w14:paraId="0FE1153F">
            <w:pPr>
              <w:keepNext w:val="0"/>
              <w:keepLines w:val="0"/>
              <w:pageBreakBefore w:val="0"/>
              <w:widowControl w:val="0"/>
              <w:kinsoku/>
              <w:wordWrap/>
              <w:overflowPunct/>
              <w:topLinePunct w:val="0"/>
              <w:bidi w:val="0"/>
              <w:spacing w:line="360" w:lineRule="auto"/>
              <w:ind w:firstLine="482" w:firstLineChars="200"/>
              <w:jc w:val="left"/>
              <w:textAlignment w:val="auto"/>
              <w:rPr>
                <w:rFonts w:hint="default" w:ascii="Times New Roman" w:hAnsi="Times New Roman" w:cs="Times New Roman" w:eastAsiaTheme="minorEastAsia"/>
                <w:b/>
                <w:bCs/>
                <w:sz w:val="24"/>
              </w:rPr>
            </w:pPr>
            <w:r>
              <w:rPr>
                <w:rFonts w:hint="default" w:ascii="Times New Roman" w:hAnsi="Times New Roman" w:cs="Times New Roman" w:eastAsiaTheme="minorEastAsia"/>
                <w:b/>
                <w:bCs/>
                <w:sz w:val="24"/>
              </w:rPr>
              <w:t>二、噪声</w:t>
            </w:r>
          </w:p>
          <w:p w14:paraId="48F8C55D">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本工程噪声主要来源于车间设备运行时产生的噪声。生产过程中主要设备噪声源有等离子切割机、</w:t>
            </w:r>
            <w:r>
              <w:rPr>
                <w:rFonts w:hint="default" w:ascii="Times New Roman" w:hAnsi="Times New Roman" w:cs="Times New Roman" w:eastAsiaTheme="minorEastAsia"/>
                <w:bCs/>
                <w:kern w:val="24"/>
                <w:sz w:val="24"/>
                <w:lang w:val="en-US" w:eastAsia="zh-CN"/>
              </w:rPr>
              <w:t>龙门吊</w:t>
            </w:r>
            <w:r>
              <w:rPr>
                <w:rFonts w:hint="default" w:ascii="Times New Roman" w:hAnsi="Times New Roman" w:cs="Times New Roman" w:eastAsiaTheme="minorEastAsia"/>
                <w:bCs/>
                <w:kern w:val="24"/>
                <w:sz w:val="24"/>
              </w:rPr>
              <w:t>、</w:t>
            </w:r>
            <w:r>
              <w:rPr>
                <w:rFonts w:hint="default" w:ascii="Times New Roman" w:hAnsi="Times New Roman" w:cs="Times New Roman" w:eastAsiaTheme="minorEastAsia"/>
                <w:bCs/>
                <w:kern w:val="24"/>
                <w:sz w:val="24"/>
                <w:lang w:val="en-US" w:eastAsia="zh-CN"/>
              </w:rPr>
              <w:t>无齿锯</w:t>
            </w:r>
            <w:r>
              <w:rPr>
                <w:rFonts w:hint="default" w:ascii="Times New Roman" w:hAnsi="Times New Roman" w:cs="Times New Roman" w:eastAsiaTheme="minorEastAsia"/>
                <w:bCs/>
                <w:kern w:val="24"/>
                <w:sz w:val="24"/>
              </w:rPr>
              <w:t>、</w:t>
            </w:r>
            <w:r>
              <w:rPr>
                <w:rFonts w:hint="default" w:ascii="Times New Roman" w:hAnsi="Times New Roman" w:cs="Times New Roman" w:eastAsiaTheme="minorEastAsia"/>
                <w:bCs/>
                <w:kern w:val="24"/>
                <w:sz w:val="24"/>
                <w:lang w:val="en-US" w:eastAsia="zh-CN"/>
              </w:rPr>
              <w:t>风机、油液油排设备、风机</w:t>
            </w:r>
            <w:r>
              <w:rPr>
                <w:rFonts w:hint="default" w:ascii="Times New Roman" w:hAnsi="Times New Roman" w:cs="Times New Roman" w:eastAsiaTheme="minorEastAsia"/>
                <w:bCs/>
                <w:kern w:val="24"/>
                <w:sz w:val="24"/>
              </w:rPr>
              <w:t>等。本项目对</w:t>
            </w:r>
            <w:r>
              <w:rPr>
                <w:rFonts w:hint="default" w:ascii="Times New Roman" w:hAnsi="Times New Roman" w:cs="Times New Roman" w:eastAsiaTheme="minorEastAsia"/>
                <w:bCs/>
                <w:kern w:val="24"/>
                <w:sz w:val="24"/>
                <w:lang w:val="en-US" w:eastAsia="zh-CN"/>
              </w:rPr>
              <w:t>声源控制采取低噪声设备、建筑物隔声、基础减震</w:t>
            </w:r>
            <w:r>
              <w:rPr>
                <w:rFonts w:hint="default" w:ascii="Times New Roman" w:hAnsi="Times New Roman" w:cs="Times New Roman" w:eastAsiaTheme="minorEastAsia"/>
                <w:bCs/>
                <w:kern w:val="24"/>
                <w:sz w:val="24"/>
              </w:rPr>
              <w:t>等措施降低噪声对周围环境产生的影响。</w:t>
            </w:r>
          </w:p>
          <w:p w14:paraId="0AB85276">
            <w:pPr>
              <w:keepNext w:val="0"/>
              <w:keepLines w:val="0"/>
              <w:pageBreakBefore w:val="0"/>
              <w:widowControl w:val="0"/>
              <w:kinsoku/>
              <w:wordWrap/>
              <w:overflowPunct/>
              <w:topLinePunct w:val="0"/>
              <w:bidi w:val="0"/>
              <w:spacing w:before="156" w:beforeLines="50" w:line="360" w:lineRule="auto"/>
              <w:ind w:firstLine="482" w:firstLineChars="200"/>
              <w:jc w:val="left"/>
              <w:textAlignment w:val="auto"/>
              <w:outlineLvl w:val="2"/>
              <w:rPr>
                <w:rFonts w:hint="default" w:ascii="Times New Roman" w:hAnsi="Times New Roman" w:cs="Times New Roman" w:eastAsiaTheme="minorEastAsia"/>
                <w:b/>
                <w:sz w:val="24"/>
              </w:rPr>
            </w:pPr>
            <w:r>
              <w:rPr>
                <w:rFonts w:hint="default" w:ascii="Times New Roman" w:hAnsi="Times New Roman" w:cs="Times New Roman" w:eastAsiaTheme="minorEastAsia"/>
                <w:b/>
                <w:sz w:val="24"/>
              </w:rPr>
              <w:t>三、废水</w:t>
            </w:r>
          </w:p>
          <w:p w14:paraId="233D852C">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lang w:val="en-US" w:eastAsia="zh-CN"/>
              </w:rPr>
            </w:pPr>
            <w:r>
              <w:rPr>
                <w:rFonts w:hint="default" w:ascii="Times New Roman" w:hAnsi="Times New Roman" w:cs="Times New Roman" w:eastAsiaTheme="minorEastAsia"/>
                <w:bCs/>
                <w:color w:val="auto"/>
                <w:kern w:val="24"/>
                <w:sz w:val="24"/>
                <w:highlight w:val="none"/>
              </w:rPr>
              <w:t>运营期生活污水</w:t>
            </w:r>
            <w:r>
              <w:rPr>
                <w:rFonts w:hint="default" w:ascii="Times New Roman" w:hAnsi="Times New Roman" w:cs="Times New Roman" w:eastAsiaTheme="minorEastAsia"/>
                <w:bCs/>
                <w:color w:val="auto"/>
                <w:kern w:val="24"/>
                <w:sz w:val="24"/>
                <w:highlight w:val="none"/>
                <w:lang w:val="en-US" w:eastAsia="zh-CN"/>
              </w:rPr>
              <w:t>排入</w:t>
            </w:r>
            <w:r>
              <w:rPr>
                <w:rFonts w:hint="default" w:ascii="Times New Roman" w:hAnsi="Times New Roman" w:cs="Times New Roman" w:eastAsiaTheme="minorEastAsia"/>
                <w:bCs/>
                <w:color w:val="auto"/>
                <w:kern w:val="24"/>
                <w:sz w:val="24"/>
                <w:highlight w:val="none"/>
                <w:lang w:eastAsia="zh-CN"/>
              </w:rPr>
              <w:t>防渗旱厕，定期清掏。</w:t>
            </w:r>
            <w:r>
              <w:rPr>
                <w:rFonts w:hint="default" w:ascii="Times New Roman" w:hAnsi="Times New Roman" w:cs="Times New Roman" w:eastAsiaTheme="minorEastAsia"/>
                <w:bCs/>
                <w:color w:val="auto"/>
                <w:kern w:val="24"/>
                <w:sz w:val="24"/>
                <w:highlight w:val="none"/>
              </w:rPr>
              <w:t>待拆车辆存放区初期雨水经待拆车辆存放区四周排水沟汇入厂区</w:t>
            </w:r>
            <w:r>
              <w:rPr>
                <w:rFonts w:hint="eastAsia" w:ascii="Times New Roman" w:hAnsi="Times New Roman" w:cs="Times New Roman" w:eastAsiaTheme="minorEastAsia"/>
                <w:bCs/>
                <w:color w:val="auto"/>
                <w:kern w:val="24"/>
                <w:sz w:val="24"/>
                <w:highlight w:val="none"/>
                <w:lang w:val="en-US" w:eastAsia="zh-CN"/>
              </w:rPr>
              <w:t>20m</w:t>
            </w:r>
            <w:r>
              <w:rPr>
                <w:rFonts w:hint="eastAsia" w:ascii="Times New Roman" w:hAnsi="Times New Roman" w:cs="Times New Roman" w:eastAsiaTheme="minorEastAsia"/>
                <w:bCs/>
                <w:color w:val="auto"/>
                <w:kern w:val="24"/>
                <w:sz w:val="24"/>
                <w:highlight w:val="none"/>
                <w:vertAlign w:val="superscript"/>
                <w:lang w:val="en-US" w:eastAsia="zh-CN"/>
              </w:rPr>
              <w:t>3</w:t>
            </w:r>
            <w:r>
              <w:rPr>
                <w:rFonts w:hint="default" w:ascii="Times New Roman" w:hAnsi="Times New Roman" w:cs="Times New Roman" w:eastAsiaTheme="minorEastAsia"/>
                <w:bCs/>
                <w:color w:val="auto"/>
                <w:kern w:val="24"/>
                <w:sz w:val="24"/>
                <w:highlight w:val="none"/>
              </w:rPr>
              <w:t>初期雨水收集池，经油水分离器隔油处理后（处理效率为90%）</w:t>
            </w:r>
            <w:r>
              <w:rPr>
                <w:rFonts w:hint="default" w:ascii="Times New Roman" w:hAnsi="Times New Roman" w:cs="Times New Roman" w:eastAsiaTheme="minorEastAsia"/>
                <w:bCs/>
                <w:color w:val="auto"/>
                <w:kern w:val="24"/>
                <w:sz w:val="24"/>
                <w:highlight w:val="none"/>
                <w:lang w:eastAsia="zh-CN"/>
              </w:rPr>
              <w:t>，</w:t>
            </w:r>
            <w:bookmarkStart w:id="34" w:name="OLE_LINK9"/>
            <w:r>
              <w:rPr>
                <w:rFonts w:hint="default" w:ascii="Times New Roman" w:hAnsi="Times New Roman" w:cs="Times New Roman" w:eastAsiaTheme="minorEastAsia"/>
                <w:bCs/>
                <w:color w:val="auto"/>
                <w:kern w:val="24"/>
                <w:sz w:val="24"/>
                <w:highlight w:val="none"/>
                <w:lang w:val="en-US" w:eastAsia="zh-CN"/>
              </w:rPr>
              <w:t>用于厂区洒扫降尘</w:t>
            </w:r>
            <w:bookmarkEnd w:id="34"/>
            <w:r>
              <w:rPr>
                <w:rFonts w:hint="default" w:ascii="Times New Roman" w:hAnsi="Times New Roman" w:cs="Times New Roman" w:eastAsiaTheme="minorEastAsia"/>
                <w:bCs/>
                <w:color w:val="auto"/>
                <w:kern w:val="24"/>
                <w:sz w:val="24"/>
                <w:highlight w:val="none"/>
                <w:lang w:val="en-US" w:eastAsia="zh-CN"/>
              </w:rPr>
              <w:t>。</w:t>
            </w:r>
            <w:r>
              <w:rPr>
                <w:rFonts w:hint="eastAsia" w:ascii="Times New Roman" w:hAnsi="Times New Roman" w:cs="Times New Roman" w:eastAsiaTheme="minorEastAsia"/>
                <w:bCs/>
                <w:color w:val="auto"/>
                <w:kern w:val="24"/>
                <w:sz w:val="24"/>
                <w:highlight w:val="none"/>
                <w:lang w:val="en-US" w:eastAsia="zh-CN"/>
              </w:rPr>
              <w:t>由于</w:t>
            </w:r>
            <w:r>
              <w:rPr>
                <w:rFonts w:hint="default" w:ascii="Times New Roman" w:hAnsi="Times New Roman" w:cs="Times New Roman" w:eastAsiaTheme="minorEastAsia"/>
                <w:bCs/>
                <w:color w:val="auto"/>
                <w:kern w:val="24"/>
                <w:sz w:val="24"/>
                <w:highlight w:val="none"/>
              </w:rPr>
              <w:t>待拆车辆存放区</w:t>
            </w:r>
            <w:r>
              <w:rPr>
                <w:rFonts w:hint="eastAsia" w:ascii="Times New Roman" w:hAnsi="Times New Roman" w:cs="Times New Roman" w:eastAsiaTheme="minorEastAsia"/>
                <w:bCs/>
                <w:color w:val="auto"/>
                <w:kern w:val="24"/>
                <w:sz w:val="24"/>
                <w:highlight w:val="none"/>
                <w:lang w:val="en-US" w:eastAsia="zh-CN"/>
              </w:rPr>
              <w:t>面积由环评中的3422.34m</w:t>
            </w:r>
            <w:r>
              <w:rPr>
                <w:rFonts w:hint="eastAsia" w:ascii="Times New Roman" w:hAnsi="Times New Roman" w:cs="Times New Roman" w:eastAsiaTheme="minorEastAsia"/>
                <w:bCs/>
                <w:color w:val="auto"/>
                <w:kern w:val="24"/>
                <w:sz w:val="24"/>
                <w:highlight w:val="none"/>
                <w:vertAlign w:val="superscript"/>
                <w:lang w:val="en-US" w:eastAsia="zh-CN"/>
              </w:rPr>
              <w:t>2</w:t>
            </w:r>
            <w:r>
              <w:rPr>
                <w:rFonts w:hint="eastAsia" w:ascii="Times New Roman" w:hAnsi="Times New Roman" w:cs="Times New Roman" w:eastAsiaTheme="minorEastAsia"/>
                <w:bCs/>
                <w:color w:val="auto"/>
                <w:kern w:val="24"/>
                <w:sz w:val="24"/>
                <w:highlight w:val="none"/>
                <w:lang w:val="en-US" w:eastAsia="zh-CN"/>
              </w:rPr>
              <w:t>变为1100m</w:t>
            </w:r>
            <w:r>
              <w:rPr>
                <w:rFonts w:hint="eastAsia" w:ascii="Times New Roman" w:hAnsi="Times New Roman" w:cs="Times New Roman" w:eastAsiaTheme="minorEastAsia"/>
                <w:bCs/>
                <w:color w:val="auto"/>
                <w:kern w:val="24"/>
                <w:sz w:val="24"/>
                <w:highlight w:val="none"/>
                <w:vertAlign w:val="superscript"/>
                <w:lang w:val="en-US" w:eastAsia="zh-CN"/>
              </w:rPr>
              <w:t>2</w:t>
            </w:r>
            <w:r>
              <w:rPr>
                <w:rFonts w:hint="eastAsia" w:ascii="Times New Roman" w:hAnsi="Times New Roman" w:cs="Times New Roman" w:eastAsiaTheme="minorEastAsia"/>
                <w:bCs/>
                <w:color w:val="auto"/>
                <w:kern w:val="24"/>
                <w:sz w:val="24"/>
                <w:highlight w:val="none"/>
                <w:lang w:val="en-US" w:eastAsia="zh-CN"/>
              </w:rPr>
              <w:t>，</w:t>
            </w:r>
            <w:r>
              <w:rPr>
                <w:rFonts w:hint="default" w:ascii="Times New Roman" w:hAnsi="Times New Roman" w:cs="Times New Roman" w:eastAsiaTheme="minorEastAsia"/>
                <w:bCs/>
                <w:color w:val="auto"/>
                <w:kern w:val="24"/>
                <w:sz w:val="24"/>
                <w:highlight w:val="none"/>
              </w:rPr>
              <w:t>本项目初期雨水产生量为</w:t>
            </w:r>
            <w:r>
              <w:rPr>
                <w:rFonts w:hint="eastAsia" w:ascii="Times New Roman" w:hAnsi="Times New Roman" w:cs="Times New Roman" w:eastAsiaTheme="minorEastAsia"/>
                <w:bCs/>
                <w:color w:val="auto"/>
                <w:kern w:val="24"/>
                <w:sz w:val="24"/>
                <w:highlight w:val="none"/>
                <w:lang w:val="en-US" w:eastAsia="zh-CN"/>
              </w:rPr>
              <w:t>16.6m</w:t>
            </w:r>
            <w:r>
              <w:rPr>
                <w:rFonts w:hint="eastAsia" w:ascii="Times New Roman" w:hAnsi="Times New Roman" w:cs="Times New Roman" w:eastAsiaTheme="minorEastAsia"/>
                <w:bCs/>
                <w:color w:val="auto"/>
                <w:kern w:val="24"/>
                <w:sz w:val="24"/>
                <w:highlight w:val="none"/>
                <w:vertAlign w:val="superscript"/>
                <w:lang w:val="en-US" w:eastAsia="zh-CN"/>
              </w:rPr>
              <w:t>3</w:t>
            </w:r>
            <w:r>
              <w:rPr>
                <w:rFonts w:hint="eastAsia" w:ascii="Times New Roman" w:hAnsi="Times New Roman" w:cs="Times New Roman" w:eastAsiaTheme="minorEastAsia"/>
                <w:bCs/>
                <w:color w:val="auto"/>
                <w:kern w:val="24"/>
                <w:sz w:val="24"/>
                <w:highlight w:val="none"/>
                <w:lang w:val="en-US" w:eastAsia="zh-CN"/>
              </w:rPr>
              <w:t>/次，所以初期雨水池由环评中面积80m</w:t>
            </w:r>
            <w:r>
              <w:rPr>
                <w:rFonts w:hint="eastAsia" w:ascii="Times New Roman" w:hAnsi="Times New Roman" w:cs="Times New Roman" w:eastAsiaTheme="minorEastAsia"/>
                <w:bCs/>
                <w:color w:val="auto"/>
                <w:kern w:val="24"/>
                <w:sz w:val="24"/>
                <w:highlight w:val="none"/>
                <w:vertAlign w:val="superscript"/>
                <w:lang w:val="en-US" w:eastAsia="zh-CN"/>
              </w:rPr>
              <w:t>3</w:t>
            </w:r>
            <w:r>
              <w:rPr>
                <w:rFonts w:hint="eastAsia" w:ascii="Times New Roman" w:hAnsi="Times New Roman" w:cs="Times New Roman" w:eastAsiaTheme="minorEastAsia"/>
                <w:bCs/>
                <w:color w:val="auto"/>
                <w:kern w:val="24"/>
                <w:sz w:val="24"/>
                <w:highlight w:val="none"/>
                <w:lang w:val="en-US" w:eastAsia="zh-CN"/>
              </w:rPr>
              <w:t>变为20m</w:t>
            </w:r>
            <w:r>
              <w:rPr>
                <w:rFonts w:hint="eastAsia" w:ascii="Times New Roman" w:hAnsi="Times New Roman" w:cs="Times New Roman" w:eastAsiaTheme="minorEastAsia"/>
                <w:bCs/>
                <w:color w:val="auto"/>
                <w:kern w:val="24"/>
                <w:sz w:val="24"/>
                <w:highlight w:val="none"/>
                <w:vertAlign w:val="superscript"/>
                <w:lang w:val="en-US" w:eastAsia="zh-CN"/>
              </w:rPr>
              <w:t>3</w:t>
            </w:r>
            <w:r>
              <w:rPr>
                <w:rFonts w:hint="eastAsia" w:ascii="Times New Roman" w:hAnsi="Times New Roman" w:cs="Times New Roman" w:eastAsiaTheme="minorEastAsia"/>
                <w:bCs/>
                <w:color w:val="auto"/>
                <w:kern w:val="24"/>
                <w:sz w:val="24"/>
                <w:highlight w:val="none"/>
                <w:lang w:val="en-US" w:eastAsia="zh-CN"/>
              </w:rPr>
              <w:t>可以完全收集初期雨水。</w:t>
            </w:r>
          </w:p>
          <w:p w14:paraId="24E0BE6B">
            <w:pPr>
              <w:keepNext w:val="0"/>
              <w:keepLines w:val="0"/>
              <w:pageBreakBefore w:val="0"/>
              <w:widowControl w:val="0"/>
              <w:kinsoku/>
              <w:wordWrap/>
              <w:overflowPunct/>
              <w:topLinePunct w:val="0"/>
              <w:autoSpaceDE/>
              <w:autoSpaceDN/>
              <w:bidi w:val="0"/>
              <w:adjustRightInd/>
              <w:snapToGrid/>
              <w:spacing w:line="360" w:lineRule="auto"/>
              <w:ind w:firstLine="482" w:firstLineChars="200"/>
              <w:contextualSpacing/>
              <w:textAlignment w:val="auto"/>
              <w:rPr>
                <w:rFonts w:hint="default" w:ascii="Times New Roman" w:hAnsi="Times New Roman" w:cs="Times New Roman" w:eastAsiaTheme="minorEastAsia"/>
                <w:b/>
                <w:sz w:val="24"/>
              </w:rPr>
            </w:pPr>
            <w:r>
              <w:rPr>
                <w:rFonts w:hint="default" w:ascii="Times New Roman" w:hAnsi="Times New Roman" w:cs="Times New Roman" w:eastAsiaTheme="minorEastAsia"/>
                <w:b/>
                <w:sz w:val="24"/>
              </w:rPr>
              <w:t>四、固体废物</w:t>
            </w:r>
          </w:p>
          <w:p w14:paraId="5CF5DA9F">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kern w:val="24"/>
                <w:sz w:val="24"/>
                <w:lang w:eastAsia="zh-CN"/>
              </w:rPr>
            </w:pPr>
            <w:r>
              <w:rPr>
                <w:rFonts w:hint="default" w:ascii="Times New Roman" w:hAnsi="Times New Roman" w:cs="Times New Roman" w:eastAsiaTheme="minorEastAsia"/>
                <w:bCs/>
                <w:kern w:val="24"/>
                <w:sz w:val="24"/>
                <w:lang w:val="en-US" w:eastAsia="zh-CN"/>
              </w:rPr>
              <w:t>本项目</w:t>
            </w:r>
            <w:r>
              <w:rPr>
                <w:rFonts w:hint="default" w:ascii="Times New Roman" w:hAnsi="Times New Roman" w:cs="Times New Roman" w:eastAsiaTheme="minorEastAsia"/>
                <w:bCs/>
                <w:kern w:val="24"/>
                <w:sz w:val="24"/>
              </w:rPr>
              <w:t>固体废物主要为职工生活垃圾、一般固体废物（</w:t>
            </w:r>
            <w:r>
              <w:rPr>
                <w:rFonts w:hint="default" w:ascii="Times New Roman" w:hAnsi="Times New Roman" w:cs="Times New Roman" w:eastAsiaTheme="minorEastAsia"/>
                <w:bCs/>
                <w:kern w:val="24"/>
                <w:sz w:val="24"/>
                <w:lang w:eastAsia="zh-CN"/>
              </w:rPr>
              <w:t>布袋除尘器</w:t>
            </w:r>
            <w:r>
              <w:rPr>
                <w:rFonts w:hint="default" w:ascii="Times New Roman" w:hAnsi="Times New Roman" w:cs="Times New Roman" w:eastAsiaTheme="minorEastAsia"/>
                <w:bCs/>
                <w:kern w:val="24"/>
                <w:sz w:val="24"/>
              </w:rPr>
              <w:t>收尘，废电子电器部件，不可利用废物，</w:t>
            </w:r>
            <w:r>
              <w:rPr>
                <w:rFonts w:hint="default" w:ascii="Times New Roman" w:hAnsi="Times New Roman" w:cs="Times New Roman" w:eastAsiaTheme="minorEastAsia"/>
                <w:bCs/>
                <w:kern w:val="24"/>
                <w:sz w:val="24"/>
                <w:lang w:val="en-US" w:eastAsia="zh-CN"/>
              </w:rPr>
              <w:t>泥土</w:t>
            </w:r>
            <w:r>
              <w:rPr>
                <w:rFonts w:hint="default" w:ascii="Times New Roman" w:hAnsi="Times New Roman" w:cs="Times New Roman" w:eastAsiaTheme="minorEastAsia"/>
                <w:bCs/>
                <w:kern w:val="24"/>
                <w:sz w:val="24"/>
              </w:rPr>
              <w:t>）和危险废物（废蓄电池，废油液，废防冻液，废电容器</w:t>
            </w:r>
            <w:r>
              <w:rPr>
                <w:rFonts w:hint="default" w:ascii="Times New Roman" w:hAnsi="Times New Roman" w:cs="Times New Roman" w:eastAsiaTheme="minorEastAsia"/>
                <w:bCs/>
                <w:kern w:val="24"/>
                <w:sz w:val="24"/>
                <w:lang w:eastAsia="zh-CN"/>
              </w:rPr>
              <w:t>，</w:t>
            </w:r>
            <w:r>
              <w:rPr>
                <w:rFonts w:hint="default" w:ascii="Times New Roman" w:hAnsi="Times New Roman" w:cs="Times New Roman" w:eastAsiaTheme="minorEastAsia"/>
                <w:bCs/>
                <w:kern w:val="24"/>
                <w:sz w:val="24"/>
                <w:lang w:val="en-US" w:eastAsia="zh-CN"/>
              </w:rPr>
              <w:t>废活性炭，</w:t>
            </w:r>
            <w:r>
              <w:rPr>
                <w:rFonts w:hint="default" w:ascii="Times New Roman" w:hAnsi="Times New Roman" w:cs="Times New Roman" w:eastAsiaTheme="minorEastAsia"/>
                <w:bCs/>
                <w:kern w:val="24"/>
                <w:sz w:val="24"/>
              </w:rPr>
              <w:t>沾有油污的手套、抹布、废墩布</w:t>
            </w:r>
            <w:r>
              <w:rPr>
                <w:rFonts w:hint="default" w:ascii="Times New Roman" w:hAnsi="Times New Roman" w:cs="Times New Roman" w:eastAsiaTheme="minorEastAsia"/>
                <w:bCs/>
                <w:kern w:val="24"/>
                <w:sz w:val="24"/>
                <w:lang w:eastAsia="zh-CN"/>
              </w:rPr>
              <w:t>，</w:t>
            </w:r>
            <w:r>
              <w:rPr>
                <w:rFonts w:hint="default" w:ascii="Times New Roman" w:hAnsi="Times New Roman" w:cs="Times New Roman" w:eastAsiaTheme="minorEastAsia"/>
                <w:bCs/>
                <w:kern w:val="24"/>
                <w:sz w:val="24"/>
                <w:lang w:val="en-US" w:eastAsia="zh-CN"/>
              </w:rPr>
              <w:t>石棉废物</w:t>
            </w:r>
            <w:r>
              <w:rPr>
                <w:rFonts w:hint="default" w:ascii="Times New Roman" w:hAnsi="Times New Roman" w:cs="Times New Roman" w:eastAsiaTheme="minorEastAsia"/>
                <w:bCs/>
                <w:kern w:val="24"/>
                <w:sz w:val="24"/>
              </w:rPr>
              <w:t>）等</w:t>
            </w:r>
            <w:r>
              <w:rPr>
                <w:rFonts w:hint="default" w:ascii="Times New Roman" w:hAnsi="Times New Roman" w:cs="Times New Roman" w:eastAsiaTheme="minorEastAsia"/>
                <w:bCs/>
                <w:kern w:val="24"/>
                <w:sz w:val="24"/>
                <w:lang w:eastAsia="zh-CN"/>
              </w:rPr>
              <w:t>。</w:t>
            </w:r>
          </w:p>
          <w:p w14:paraId="5ED0F81A">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1、生活垃圾</w:t>
            </w:r>
          </w:p>
          <w:p w14:paraId="6488ECE7">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color w:val="auto"/>
              </w:rPr>
              <w:t>本项目职工有</w:t>
            </w:r>
            <w:r>
              <w:rPr>
                <w:rFonts w:hint="default" w:ascii="Times New Roman" w:hAnsi="Times New Roman" w:cs="Times New Roman" w:eastAsiaTheme="minorEastAsia"/>
                <w:color w:val="auto"/>
                <w:lang w:val="en-US" w:eastAsia="zh-CN"/>
              </w:rPr>
              <w:t>5人</w:t>
            </w:r>
            <w:r>
              <w:rPr>
                <w:rFonts w:hint="default" w:ascii="Times New Roman" w:hAnsi="Times New Roman" w:cs="Times New Roman" w:eastAsiaTheme="minorEastAsia"/>
                <w:color w:val="auto"/>
              </w:rPr>
              <w:t>，生活垃圾按0.5kg/人 天计算，产生量为0.00</w:t>
            </w:r>
            <w:r>
              <w:rPr>
                <w:rFonts w:hint="default" w:ascii="Times New Roman" w:hAnsi="Times New Roman" w:cs="Times New Roman" w:eastAsiaTheme="minorEastAsia"/>
                <w:color w:val="auto"/>
                <w:lang w:val="en-US" w:eastAsia="zh-CN"/>
              </w:rPr>
              <w:t>5</w:t>
            </w:r>
            <w:r>
              <w:rPr>
                <w:rFonts w:hint="default" w:ascii="Times New Roman" w:hAnsi="Times New Roman" w:cs="Times New Roman" w:eastAsiaTheme="minorEastAsia"/>
                <w:color w:val="auto"/>
              </w:rPr>
              <w:t>t/d，</w:t>
            </w:r>
            <w:r>
              <w:rPr>
                <w:rFonts w:hint="default" w:ascii="Times New Roman" w:hAnsi="Times New Roman" w:cs="Times New Roman" w:eastAsiaTheme="minorEastAsia"/>
                <w:color w:val="auto"/>
                <w:lang w:val="en-US" w:eastAsia="zh-CN"/>
              </w:rPr>
              <w:t>1.5</w:t>
            </w:r>
            <w:r>
              <w:rPr>
                <w:rFonts w:hint="default" w:ascii="Times New Roman" w:hAnsi="Times New Roman" w:cs="Times New Roman" w:eastAsiaTheme="minorEastAsia"/>
                <w:color w:val="auto"/>
              </w:rPr>
              <w:t>t/a。集中收集，由市政环卫部门统一清运处理。</w:t>
            </w:r>
          </w:p>
          <w:p w14:paraId="2EC01109">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2、一般固废</w:t>
            </w:r>
          </w:p>
          <w:p w14:paraId="3C9578CA">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①</w:t>
            </w:r>
            <w:r>
              <w:rPr>
                <w:rFonts w:hint="default" w:ascii="Times New Roman" w:hAnsi="Times New Roman" w:cs="Times New Roman" w:eastAsiaTheme="minorEastAsia"/>
                <w:color w:val="auto"/>
                <w:lang w:eastAsia="zh-CN"/>
              </w:rPr>
              <w:t>布袋除尘器</w:t>
            </w:r>
            <w:r>
              <w:rPr>
                <w:rFonts w:hint="default" w:ascii="Times New Roman" w:hAnsi="Times New Roman" w:cs="Times New Roman" w:eastAsiaTheme="minorEastAsia"/>
                <w:color w:val="auto"/>
              </w:rPr>
              <w:t>收尘</w:t>
            </w:r>
          </w:p>
          <w:p w14:paraId="56E4FCB1">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本项目在切割工位净化处理过程中，布袋除尘器会收集一定量的粉尘，主要成分为金属尘，收尘量约为0.</w:t>
            </w:r>
            <w:r>
              <w:rPr>
                <w:rFonts w:hint="default" w:ascii="Times New Roman" w:hAnsi="Times New Roman" w:cs="Times New Roman" w:eastAsiaTheme="minorEastAsia"/>
                <w:color w:val="auto"/>
                <w:lang w:val="en-US" w:eastAsia="zh-CN"/>
              </w:rPr>
              <w:t>0099</w:t>
            </w:r>
            <w:r>
              <w:rPr>
                <w:rFonts w:hint="default" w:ascii="Times New Roman" w:hAnsi="Times New Roman" w:cs="Times New Roman" w:eastAsiaTheme="minorEastAsia"/>
                <w:color w:val="auto"/>
              </w:rPr>
              <w:t>t/a，集中收集，外售综合利用。</w:t>
            </w:r>
          </w:p>
          <w:p w14:paraId="54A0D244">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②废电子电器部件</w:t>
            </w:r>
          </w:p>
          <w:p w14:paraId="0DE36BE9">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本项目报废农业机械拆解过程中产生的各种电子电器部件产生量为</w:t>
            </w:r>
            <w:r>
              <w:rPr>
                <w:rFonts w:hint="default" w:ascii="Times New Roman" w:hAnsi="Times New Roman" w:cs="Times New Roman" w:eastAsiaTheme="minorEastAsia"/>
                <w:color w:val="auto"/>
                <w:lang w:val="en-US" w:eastAsia="zh-CN"/>
              </w:rPr>
              <w:t>150</w:t>
            </w:r>
            <w:r>
              <w:rPr>
                <w:rFonts w:hint="default" w:ascii="Times New Roman" w:hAnsi="Times New Roman" w:cs="Times New Roman" w:eastAsiaTheme="minorEastAsia"/>
                <w:color w:val="auto"/>
              </w:rPr>
              <w:t>t/a，包括仪表盘、电动机和发电机、电线电缆以及其他电子电器，不再进一步拆解，不属于危险废物，根据《电子废物污染环境防治管理办法》（2008年2月1日），应交由有废弃电子产品处理资格的企业进行处置。</w:t>
            </w:r>
          </w:p>
          <w:p w14:paraId="7292A92C">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③不可利用废物</w:t>
            </w:r>
          </w:p>
          <w:p w14:paraId="0222F17A">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主要为废棉、麻织物、废海绵、废皮革等，产生量为</w:t>
            </w:r>
            <w:r>
              <w:rPr>
                <w:rFonts w:hint="default" w:ascii="Times New Roman" w:hAnsi="Times New Roman" w:cs="Times New Roman" w:eastAsiaTheme="minorEastAsia"/>
                <w:color w:val="auto"/>
                <w:lang w:val="en-US" w:eastAsia="zh-CN"/>
              </w:rPr>
              <w:t>960</w:t>
            </w:r>
            <w:r>
              <w:rPr>
                <w:rFonts w:hint="default" w:ascii="Times New Roman" w:hAnsi="Times New Roman" w:cs="Times New Roman" w:eastAsiaTheme="minorEastAsia"/>
                <w:color w:val="auto"/>
              </w:rPr>
              <w:t>t/a，集中收集，由市政部门统一清运。</w:t>
            </w:r>
          </w:p>
          <w:p w14:paraId="693C038C">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④泥土</w:t>
            </w:r>
          </w:p>
          <w:p w14:paraId="2573ED22">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本项目拆解前需要对报废农业机动车进行清洁处理，去除机械外部的非原机所属的覆盖物，覆盖物主要为泥土，产生的量约为</w:t>
            </w:r>
            <w:r>
              <w:rPr>
                <w:rFonts w:hint="default" w:ascii="Times New Roman" w:hAnsi="Times New Roman" w:cs="Times New Roman" w:eastAsiaTheme="minorEastAsia"/>
                <w:color w:val="auto"/>
                <w:lang w:val="en-US" w:eastAsia="zh-CN"/>
              </w:rPr>
              <w:t>1</w:t>
            </w:r>
            <w:r>
              <w:rPr>
                <w:rFonts w:hint="default" w:ascii="Times New Roman" w:hAnsi="Times New Roman" w:cs="Times New Roman" w:eastAsiaTheme="minorEastAsia"/>
                <w:color w:val="auto"/>
              </w:rPr>
              <w:t>t/a，集中收集，由市政环卫部门统一清运处理。</w:t>
            </w:r>
          </w:p>
          <w:p w14:paraId="183B84FC">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rPr>
              <w:t>3、</w:t>
            </w:r>
            <w:r>
              <w:rPr>
                <w:rFonts w:hint="default" w:ascii="Times New Roman" w:hAnsi="Times New Roman" w:cs="Times New Roman" w:eastAsiaTheme="minorEastAsia"/>
                <w:color w:val="auto"/>
                <w:lang w:val="en-US" w:eastAsia="zh-CN"/>
              </w:rPr>
              <w:t>危险废物</w:t>
            </w:r>
          </w:p>
          <w:p w14:paraId="228BE9D9">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①废蓄电池：HW31其他废物（900-044-49），产生量为225t/a，暂存于危险废物贮存库专用存储区耐酸容器内，定期交由持有相应类别危险废物经营许可证的单位处理。</w:t>
            </w:r>
          </w:p>
          <w:p w14:paraId="41510E7B">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②废油液：HW08废矿物油与含矿物油废物（900-199-08），包括柴油、机油、油水分离器浮油和油泥等，产生量为330t/a，暂存于危险废物贮存库专用储罐中，定期交由持有相应类别危险废物经营许可证的单位处理。</w:t>
            </w:r>
          </w:p>
          <w:p w14:paraId="37F17359">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bCs/>
                <w:color w:val="auto"/>
                <w:kern w:val="24"/>
                <w:sz w:val="24"/>
                <w:szCs w:val="24"/>
                <w:lang w:val="en-US" w:eastAsia="zh-CN" w:bidi="ar-SA"/>
              </w:rPr>
            </w:pPr>
            <w:r>
              <w:rPr>
                <w:rFonts w:hint="default" w:ascii="Times New Roman" w:hAnsi="Times New Roman" w:cs="Times New Roman" w:eastAsiaTheme="minorEastAsia"/>
                <w:color w:val="auto"/>
                <w:lang w:val="en-US" w:eastAsia="zh-CN"/>
              </w:rPr>
              <w:t>③废电容器：HW10多氯联苯类废物（900-008-10），产生量为6t/a，暂存于危险废物贮存库专用存储区专用密闭容器中，定期交由持有相</w:t>
            </w:r>
            <w:r>
              <w:rPr>
                <w:rFonts w:hint="default" w:ascii="Times New Roman" w:hAnsi="Times New Roman" w:cs="Times New Roman" w:eastAsiaTheme="minorEastAsia"/>
                <w:bCs/>
                <w:color w:val="auto"/>
                <w:kern w:val="24"/>
                <w:sz w:val="24"/>
                <w:szCs w:val="24"/>
                <w:lang w:val="en-US" w:eastAsia="zh-CN" w:bidi="ar-SA"/>
              </w:rPr>
              <w:t>应类别危险废物经营许可证的单位处理。</w:t>
            </w:r>
          </w:p>
          <w:p w14:paraId="2A9215FD">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bCs/>
                <w:color w:val="auto"/>
                <w:kern w:val="24"/>
                <w:sz w:val="24"/>
                <w:szCs w:val="24"/>
                <w:lang w:val="en-US" w:eastAsia="zh-CN" w:bidi="ar-SA"/>
              </w:rPr>
            </w:pPr>
            <w:r>
              <w:rPr>
                <w:rFonts w:hint="default" w:ascii="Times New Roman" w:hAnsi="Times New Roman" w:cs="Times New Roman" w:eastAsiaTheme="minorEastAsia"/>
                <w:bCs/>
                <w:color w:val="auto"/>
                <w:kern w:val="24"/>
                <w:sz w:val="24"/>
                <w:szCs w:val="24"/>
                <w:lang w:val="en-US" w:eastAsia="zh-CN" w:bidi="ar-SA"/>
              </w:rPr>
              <w:t>④废防冻液：主要成分为乙二醇，产生量为15t/a。属于《国家危险废物名录》（2021 版）中“HW06 废有机溶剂与含有机溶剂废物”，中的“900-404-06 工业生产中作为清洗剂、萃取剂、溶剂或反应介质使用后废弃的其他列入《危险化学品目录》的有机溶剂，以及在使用前混合的含有一种或多种上述溶剂的混合/调和溶剂”，经分类收集后暂存于废油液暂存间，定期交有资质单位处理。</w:t>
            </w:r>
          </w:p>
          <w:p w14:paraId="4073AF84">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bCs/>
                <w:color w:val="auto"/>
                <w:kern w:val="24"/>
                <w:sz w:val="24"/>
                <w:szCs w:val="24"/>
                <w:lang w:val="en-US" w:eastAsia="zh-CN" w:bidi="ar-SA"/>
              </w:rPr>
            </w:pPr>
            <w:r>
              <w:rPr>
                <w:rFonts w:hint="default" w:ascii="Times New Roman" w:hAnsi="Times New Roman" w:cs="Times New Roman" w:eastAsiaTheme="minorEastAsia"/>
                <w:bCs/>
                <w:color w:val="auto"/>
                <w:kern w:val="24"/>
                <w:sz w:val="24"/>
                <w:szCs w:val="24"/>
                <w:lang w:val="en-US" w:eastAsia="zh-CN" w:bidi="ar-SA"/>
              </w:rPr>
              <w:t>⑤沾有油污的手套、抹布、废墩布：HW49其他废物（900-041-49），产生量为0.1t/a，未混入生活垃圾，暂存于危险废物贮存库内，定期交由持有相应类别危险废物经营许可证的单位处理。</w:t>
            </w:r>
          </w:p>
          <w:p w14:paraId="3C8DB3AB">
            <w:pPr>
              <w:pStyle w:val="74"/>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bCs/>
                <w:color w:val="auto"/>
                <w:kern w:val="24"/>
                <w:sz w:val="24"/>
                <w:szCs w:val="24"/>
                <w:lang w:val="en-US" w:eastAsia="zh-CN" w:bidi="ar-SA"/>
              </w:rPr>
            </w:pPr>
            <w:r>
              <w:rPr>
                <w:rFonts w:hint="default" w:ascii="Times New Roman" w:hAnsi="Times New Roman" w:cs="Times New Roman" w:eastAsiaTheme="minorEastAsia"/>
                <w:bCs/>
                <w:color w:val="auto"/>
                <w:kern w:val="24"/>
                <w:sz w:val="24"/>
                <w:szCs w:val="24"/>
                <w:lang w:val="en-US" w:eastAsia="zh-CN" w:bidi="ar-SA"/>
              </w:rPr>
              <w:t>⑥石棉废物：HW36石棉废物（900-032-36），产生量为6t/a，暂存于危险废物贮存库专用存储区专用密闭容器中，定期交由持有相应类别危险废物经营许可证的单位处理。</w:t>
            </w:r>
          </w:p>
          <w:p w14:paraId="3676B6E7">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color w:val="auto"/>
                <w:kern w:val="24"/>
                <w:sz w:val="24"/>
                <w:szCs w:val="24"/>
                <w:lang w:val="en-US" w:eastAsia="zh-CN" w:bidi="ar-SA"/>
              </w:rPr>
              <w:t>⑦废活性炭：HW49其他废物（900-039-49），产生量为1t/a，一年更换一次，暂存于危险废物贮存库内，定期交由持有相应类别危险废物经营许可证的单位处理。</w:t>
            </w:r>
          </w:p>
          <w:p w14:paraId="46852930">
            <w:pPr>
              <w:keepNext w:val="0"/>
              <w:keepLines w:val="0"/>
              <w:pageBreakBefore w:val="0"/>
              <w:widowControl w:val="0"/>
              <w:kinsoku/>
              <w:wordWrap/>
              <w:overflowPunct/>
              <w:topLinePunct w:val="0"/>
              <w:bidi w:val="0"/>
              <w:spacing w:line="360" w:lineRule="auto"/>
              <w:ind w:firstLine="482" w:firstLineChars="200"/>
              <w:contextualSpacing/>
              <w:textAlignment w:val="auto"/>
              <w:rPr>
                <w:rFonts w:hint="default" w:ascii="Times New Roman" w:hAnsi="Times New Roman" w:cs="Times New Roman" w:eastAsiaTheme="minorEastAsia"/>
                <w:b/>
                <w:bCs/>
                <w:kern w:val="24"/>
                <w:sz w:val="24"/>
              </w:rPr>
            </w:pPr>
            <w:r>
              <w:rPr>
                <w:rFonts w:hint="default" w:ascii="Times New Roman" w:hAnsi="Times New Roman" w:cs="Times New Roman" w:eastAsiaTheme="minorEastAsia"/>
                <w:b/>
                <w:bCs/>
                <w:kern w:val="24"/>
                <w:sz w:val="24"/>
              </w:rPr>
              <w:t>五、防渗工程</w:t>
            </w:r>
          </w:p>
          <w:p w14:paraId="131259BB">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color w:val="auto"/>
                <w:kern w:val="24"/>
                <w:sz w:val="24"/>
                <w:szCs w:val="24"/>
                <w:highlight w:val="yellow"/>
                <w:lang w:val="en-US" w:eastAsia="zh-CN" w:bidi="ar-SA"/>
              </w:rPr>
            </w:pPr>
            <w:r>
              <w:rPr>
                <w:rFonts w:hint="default" w:ascii="Times New Roman" w:hAnsi="Times New Roman" w:eastAsiaTheme="minorEastAsia"/>
                <w:bCs/>
                <w:kern w:val="24"/>
                <w:sz w:val="24"/>
                <w:lang w:val="en-US" w:eastAsia="zh-CN"/>
              </w:rPr>
              <w:t>①重点防渗区：包括危险废物贮存库和初期雨水池。</w:t>
            </w:r>
            <w:r>
              <w:rPr>
                <w:rFonts w:ascii="Times New Roman" w:hAnsi="Times New Roman" w:eastAsiaTheme="minorEastAsia"/>
                <w:bCs/>
                <w:kern w:val="24"/>
                <w:sz w:val="24"/>
              </w:rPr>
              <w:t>地面采用混凝土加防渗剂的防渗层，防渗系数不小于10</w:t>
            </w:r>
            <w:r>
              <w:rPr>
                <w:rFonts w:ascii="Times New Roman" w:hAnsi="Times New Roman" w:eastAsiaTheme="minorEastAsia"/>
                <w:bCs/>
                <w:kern w:val="24"/>
                <w:sz w:val="24"/>
                <w:vertAlign w:val="superscript"/>
              </w:rPr>
              <w:t>-</w:t>
            </w:r>
            <w:r>
              <w:rPr>
                <w:rFonts w:hint="eastAsia" w:ascii="Times New Roman" w:hAnsi="Times New Roman" w:eastAsiaTheme="minorEastAsia"/>
                <w:bCs/>
                <w:kern w:val="24"/>
                <w:sz w:val="24"/>
                <w:vertAlign w:val="superscript"/>
                <w:lang w:val="en-US" w:eastAsia="zh-CN"/>
              </w:rPr>
              <w:t>10</w:t>
            </w:r>
            <w:r>
              <w:rPr>
                <w:rFonts w:ascii="Times New Roman" w:hAnsi="Times New Roman" w:eastAsiaTheme="minorEastAsia"/>
                <w:bCs/>
                <w:kern w:val="24"/>
                <w:sz w:val="24"/>
              </w:rPr>
              <w:t>cm/s。</w:t>
            </w:r>
          </w:p>
          <w:p w14:paraId="1966EC97">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color w:val="auto"/>
                <w:kern w:val="24"/>
                <w:sz w:val="24"/>
                <w:szCs w:val="24"/>
                <w:lang w:val="en-US" w:eastAsia="zh-CN" w:bidi="ar-SA"/>
              </w:rPr>
            </w:pPr>
            <w:r>
              <w:rPr>
                <w:rFonts w:hint="default" w:ascii="Times New Roman" w:hAnsi="Times New Roman" w:cs="Times New Roman" w:eastAsiaTheme="minorEastAsia"/>
                <w:bCs/>
                <w:color w:val="auto"/>
                <w:kern w:val="24"/>
                <w:sz w:val="24"/>
                <w:szCs w:val="24"/>
                <w:lang w:val="en-US" w:eastAsia="zh-CN" w:bidi="ar-SA"/>
              </w:rPr>
              <w:t>②一般防渗区：包括拆解车间、待拆车辆贮存场地、农机拆除成品半成品及零件贮存库。地面采用混凝土加防渗剂的防渗层，防渗系数不小于10</w:t>
            </w:r>
            <w:r>
              <w:rPr>
                <w:rFonts w:hint="default" w:ascii="Times New Roman" w:hAnsi="Times New Roman" w:cs="Times New Roman" w:eastAsiaTheme="minorEastAsia"/>
                <w:bCs/>
                <w:color w:val="auto"/>
                <w:kern w:val="24"/>
                <w:sz w:val="24"/>
                <w:szCs w:val="24"/>
                <w:vertAlign w:val="superscript"/>
                <w:lang w:val="en-US" w:eastAsia="zh-CN" w:bidi="ar-SA"/>
              </w:rPr>
              <w:t>-7</w:t>
            </w:r>
            <w:r>
              <w:rPr>
                <w:rFonts w:hint="default" w:ascii="Times New Roman" w:hAnsi="Times New Roman" w:cs="Times New Roman" w:eastAsiaTheme="minorEastAsia"/>
                <w:bCs/>
                <w:color w:val="auto"/>
                <w:kern w:val="24"/>
                <w:sz w:val="24"/>
                <w:szCs w:val="24"/>
                <w:lang w:val="en-US" w:eastAsia="zh-CN" w:bidi="ar-SA"/>
              </w:rPr>
              <w:t>cm/s。</w:t>
            </w:r>
          </w:p>
          <w:p w14:paraId="7D89F884">
            <w:pPr>
              <w:keepNext w:val="0"/>
              <w:keepLines w:val="0"/>
              <w:pageBreakBefore w:val="0"/>
              <w:widowControl w:val="0"/>
              <w:kinsoku/>
              <w:wordWrap/>
              <w:overflowPunct/>
              <w:topLinePunct w:val="0"/>
              <w:bidi w:val="0"/>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color w:val="auto"/>
                <w:kern w:val="24"/>
                <w:sz w:val="24"/>
                <w:szCs w:val="24"/>
                <w:lang w:val="en-US" w:eastAsia="zh-CN" w:bidi="ar-SA"/>
              </w:rPr>
              <w:t>③简单防渗区：包括办公区、厂区道路。进行一般地面水泥硬化。</w:t>
            </w:r>
          </w:p>
          <w:p w14:paraId="310FD73D">
            <w:pPr>
              <w:keepNext w:val="0"/>
              <w:keepLines w:val="0"/>
              <w:pageBreakBefore w:val="0"/>
              <w:widowControl w:val="0"/>
              <w:kinsoku/>
              <w:wordWrap/>
              <w:overflowPunct/>
              <w:topLinePunct w:val="0"/>
              <w:bidi w:val="0"/>
              <w:spacing w:line="360" w:lineRule="auto"/>
              <w:ind w:firstLine="482" w:firstLineChars="200"/>
              <w:contextualSpacing/>
              <w:textAlignment w:val="auto"/>
              <w:rPr>
                <w:rFonts w:hint="default" w:ascii="Times New Roman" w:hAnsi="Times New Roman" w:cs="Times New Roman" w:eastAsiaTheme="minorEastAsia"/>
                <w:b/>
                <w:bCs/>
                <w:kern w:val="24"/>
                <w:sz w:val="24"/>
              </w:rPr>
            </w:pPr>
            <w:r>
              <w:rPr>
                <w:rFonts w:hint="default" w:ascii="Times New Roman" w:hAnsi="Times New Roman" w:cs="Times New Roman" w:eastAsiaTheme="minorEastAsia"/>
                <w:b/>
                <w:bCs/>
                <w:kern w:val="24"/>
                <w:sz w:val="24"/>
              </w:rPr>
              <w:t>六、环境风险</w:t>
            </w:r>
          </w:p>
          <w:p w14:paraId="47C11F98">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1、环境风险识别</w:t>
            </w:r>
          </w:p>
          <w:p w14:paraId="56E5DB4A">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风险识别范围包括生产设施识别和生产过程所涉及的危险物质识别，有毒有害物质扩散途径的识别（如大气环境、水环境、土壤等）。风险类型根据有毒有害物质放散起因，分为火灾、爆炸和泄漏三种类型。</w:t>
            </w:r>
          </w:p>
          <w:p w14:paraId="4B1A9440">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本项目风险识别如下：</w:t>
            </w:r>
          </w:p>
          <w:p w14:paraId="55B64A71">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本项目危险物质主要为</w:t>
            </w:r>
            <w:r>
              <w:rPr>
                <w:rFonts w:hint="default" w:ascii="Times New Roman" w:hAnsi="Times New Roman" w:cs="Times New Roman" w:eastAsiaTheme="minorEastAsia"/>
                <w:color w:val="auto"/>
                <w:highlight w:val="none"/>
              </w:rPr>
              <w:t>柴油、机油、润滑油、硫酸</w:t>
            </w:r>
            <w:r>
              <w:rPr>
                <w:rFonts w:hint="default" w:ascii="Times New Roman" w:hAnsi="Times New Roman" w:cs="Times New Roman" w:eastAsiaTheme="minorEastAsia"/>
                <w:color w:val="auto"/>
              </w:rPr>
              <w:t>等</w:t>
            </w:r>
            <w:r>
              <w:rPr>
                <w:rFonts w:hint="default" w:ascii="Times New Roman" w:hAnsi="Times New Roman" w:cs="Times New Roman" w:eastAsiaTheme="minorEastAsia"/>
                <w:szCs w:val="28"/>
              </w:rPr>
              <w:t>。</w:t>
            </w:r>
          </w:p>
          <w:p w14:paraId="4D52C02B">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（1）废油液泄漏、油箱拆解遇明火造成火灾爆炸风险事故影响分析</w:t>
            </w:r>
          </w:p>
          <w:p w14:paraId="7AA319C5">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color w:val="auto"/>
                <w:szCs w:val="24"/>
                <w:u w:val="none"/>
              </w:rPr>
              <w:t>若柴油、废油液等危险物质发生泄漏，若遇到火源很容易就会被点燃而引发火灾，火灾燃烧产生的废气次生污染以及消防过程产生的消防废水也可能对区域空气、地表水、土壤、地下水等环境因素造成污染。</w:t>
            </w:r>
          </w:p>
          <w:p w14:paraId="5E2086D6">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（2）铅酸电池电解液泄漏风险事故影响分析</w:t>
            </w:r>
          </w:p>
          <w:p w14:paraId="20E1ABB7">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Cs w:val="28"/>
              </w:rPr>
            </w:pPr>
            <w:r>
              <w:rPr>
                <w:rFonts w:hint="default" w:ascii="Times New Roman" w:hAnsi="Times New Roman" w:cs="Times New Roman" w:eastAsiaTheme="minorEastAsia"/>
                <w:szCs w:val="28"/>
              </w:rPr>
              <w:t>废铅酸蓄电池采用专用的存放箱存放，若在搬运过程中箱子跌落，电池破损，泄漏的电解液直接泄漏在储存箱内。开启储存箱进行清理时，电解液中的硫酸少量挥发，对事故处理的工作人员和场区内环境空气造成影响，电解液泄漏至环境中可能对环境空气、地下水产生影响。</w:t>
            </w:r>
          </w:p>
          <w:p w14:paraId="0C855B82">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2、环境风险防治措施</w:t>
            </w:r>
          </w:p>
          <w:p w14:paraId="73143D66">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①拆解车间内严禁明火，严禁在未排空废油液的情况下进行油箱拆解。</w:t>
            </w:r>
          </w:p>
          <w:p w14:paraId="76793BC9">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②每年对灭火器材、设施进行检查，如有损坏或压力不足应及时维修更新。检测内容、时间、人员应有记录保存。安全检测应根据设备的安全性、危险性设定检测频次。在消防器材、设施放置处，安排相应的管理者负责。</w:t>
            </w:r>
          </w:p>
          <w:p w14:paraId="23F78F0C">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③强化安全生产管理，必须制订岗位责任制，将责任落实到部门和个人严格遵守操作规程，严格遵守《化学危险品管理条例》及国家、地方关于易燃、易爆、有毒有害物料的  储运使用安全规定。</w:t>
            </w:r>
          </w:p>
          <w:p w14:paraId="6B37911B">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④建立健全环保及安全管理部门，该部门应加强监督检查，按规定监测厂内外空气及水体中的有毒有害物质，及时发现，立即处理，避免污染。</w:t>
            </w:r>
          </w:p>
          <w:p w14:paraId="4DC6992A">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⑤建立事故应急预案，成立事故应急处理小组，由车间安全负责人担任事故应急小组组长，一旦发火灾等事故，应立即启动事故应急预案，并向有关环境管理部门汇报情况，协助环境管理部门进行应急监测等工作；</w:t>
            </w:r>
          </w:p>
          <w:p w14:paraId="56EED0E0">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⑥在易燃原料贮存地点与使用易燃原料的设备处设立安全标志或涂刷相应的安全色。地面进行防腐防渗，并加强管理与维护，杜绝出现跑、冒、滴、漏现象。</w:t>
            </w:r>
          </w:p>
          <w:p w14:paraId="22CFFB71">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ascii="Times New Roman" w:hAnsi="Times New Roman" w:cs="Times New Roman" w:eastAsiaTheme="minorEastAsia"/>
                <w:bCs/>
                <w:kern w:val="24"/>
                <w:sz w:val="24"/>
              </w:rPr>
            </w:pPr>
            <w:r>
              <w:rPr>
                <w:rFonts w:hint="default" w:ascii="Times New Roman" w:hAnsi="Times New Roman" w:cs="Times New Roman" w:eastAsiaTheme="minorEastAsia"/>
                <w:bCs/>
                <w:kern w:val="24"/>
                <w:sz w:val="24"/>
              </w:rPr>
              <w:t>2、应急预案与应急管理机构设置情况调查</w:t>
            </w:r>
          </w:p>
          <w:p w14:paraId="0374A3BC">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Theme="minorEastAsia"/>
                <w:b/>
                <w:color w:val="FF0000"/>
                <w:sz w:val="24"/>
              </w:rPr>
            </w:pPr>
            <w:r>
              <w:rPr>
                <w:rFonts w:hint="default" w:ascii="Times New Roman" w:hAnsi="Times New Roman" w:cs="Times New Roman" w:eastAsiaTheme="minorEastAsia"/>
                <w:szCs w:val="28"/>
              </w:rPr>
              <w:t>为防止和应对环境风险事故的发生，环境风险应急预案已完成备案，配备了必要的应急设施和应急队伍，成立了专门的环境安全应急管理机构，加强了日常检查管理。</w:t>
            </w:r>
          </w:p>
        </w:tc>
      </w:tr>
    </w:tbl>
    <w:p w14:paraId="3AC65FA5">
      <w:pPr>
        <w:pStyle w:val="26"/>
        <w:outlineLvl w:val="0"/>
        <w:rPr>
          <w:rFonts w:ascii="Times New Roman" w:hAnsi="Times New Roman" w:eastAsiaTheme="minorEastAsia"/>
          <w:b/>
          <w:bCs/>
          <w:color w:val="FF0000"/>
          <w:sz w:val="28"/>
          <w:szCs w:val="28"/>
        </w:rPr>
        <w:sectPr>
          <w:footerReference r:id="rId4" w:type="default"/>
          <w:pgSz w:w="11906" w:h="16838"/>
          <w:pgMar w:top="1440" w:right="1800" w:bottom="1440" w:left="1800" w:header="851" w:footer="992" w:gutter="0"/>
          <w:pgNumType w:start="1"/>
          <w:cols w:space="720" w:num="1"/>
          <w:docGrid w:type="lines" w:linePitch="312" w:charSpace="0"/>
        </w:sectPr>
      </w:pPr>
      <w:bookmarkStart w:id="35" w:name="_Toc1944"/>
      <w:bookmarkStart w:id="36" w:name="_Toc29903"/>
    </w:p>
    <w:tbl>
      <w:tblPr>
        <w:tblStyle w:val="23"/>
        <w:tblW w:w="8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40"/>
      </w:tblGrid>
      <w:tr w14:paraId="301C5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5" w:hRule="atLeast"/>
        </w:trPr>
        <w:tc>
          <w:tcPr>
            <w:tcW w:w="8940" w:type="dxa"/>
          </w:tcPr>
          <w:p w14:paraId="57108127">
            <w:pPr>
              <w:spacing w:line="360" w:lineRule="auto"/>
              <w:rPr>
                <w:rFonts w:ascii="Times New Roman" w:hAnsi="Times New Roman" w:eastAsiaTheme="minorEastAsia"/>
                <w:b/>
                <w:bCs/>
                <w:sz w:val="24"/>
                <w:szCs w:val="32"/>
              </w:rPr>
            </w:pPr>
            <w:r>
              <w:rPr>
                <w:rFonts w:ascii="Times New Roman" w:hAnsi="Times New Roman" w:eastAsiaTheme="minorEastAsia"/>
                <w:b/>
                <w:sz w:val="24"/>
              </w:rPr>
              <w:t>监测点位示意图：</w:t>
            </w:r>
          </w:p>
          <w:p w14:paraId="0663F0F5">
            <w:pPr>
              <w:pStyle w:val="26"/>
              <w:jc w:val="both"/>
              <w:rPr>
                <w:rFonts w:ascii="Times New Roman" w:hAnsi="Times New Roman" w:eastAsiaTheme="minorEastAsia"/>
                <w:color w:val="FF0000"/>
              </w:rPr>
            </w:pPr>
            <w:r>
              <w:drawing>
                <wp:anchor distT="0" distB="0" distL="114300" distR="114300" simplePos="0" relativeHeight="251662336" behindDoc="0" locked="0" layoutInCell="1" allowOverlap="1">
                  <wp:simplePos x="0" y="0"/>
                  <wp:positionH relativeFrom="column">
                    <wp:posOffset>26035</wp:posOffset>
                  </wp:positionH>
                  <wp:positionV relativeFrom="paragraph">
                    <wp:posOffset>4270375</wp:posOffset>
                  </wp:positionV>
                  <wp:extent cx="759460" cy="262255"/>
                  <wp:effectExtent l="0" t="0" r="2540" b="4445"/>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1"/>
                          <a:stretch>
                            <a:fillRect/>
                          </a:stretch>
                        </pic:blipFill>
                        <pic:spPr>
                          <a:xfrm>
                            <a:off x="0" y="0"/>
                            <a:ext cx="759460" cy="262255"/>
                          </a:xfrm>
                          <a:prstGeom prst="rect">
                            <a:avLst/>
                          </a:prstGeom>
                          <a:noFill/>
                          <a:ln>
                            <a:noFill/>
                          </a:ln>
                        </pic:spPr>
                      </pic:pic>
                    </a:graphicData>
                  </a:graphic>
                </wp:anchor>
              </w:drawing>
            </w:r>
            <w:r>
              <w:drawing>
                <wp:inline distT="0" distB="0" distL="114300" distR="114300">
                  <wp:extent cx="5426710" cy="4517390"/>
                  <wp:effectExtent l="0" t="0" r="13970" b="889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12"/>
                          <a:stretch>
                            <a:fillRect/>
                          </a:stretch>
                        </pic:blipFill>
                        <pic:spPr>
                          <a:xfrm>
                            <a:off x="0" y="0"/>
                            <a:ext cx="5426710" cy="4517390"/>
                          </a:xfrm>
                          <a:prstGeom prst="rect">
                            <a:avLst/>
                          </a:prstGeom>
                          <a:noFill/>
                          <a:ln>
                            <a:noFill/>
                          </a:ln>
                        </pic:spPr>
                      </pic:pic>
                    </a:graphicData>
                  </a:graphic>
                </wp:inline>
              </w:drawing>
            </w:r>
          </w:p>
          <w:p w14:paraId="431F9430">
            <w:pPr>
              <w:jc w:val="center"/>
              <w:rPr>
                <w:rFonts w:ascii="Times New Roman" w:hAnsi="Times New Roman" w:eastAsiaTheme="minorEastAsia"/>
                <w:b/>
                <w:bCs/>
                <w:sz w:val="24"/>
              </w:rPr>
            </w:pPr>
            <w:r>
              <w:rPr>
                <w:rFonts w:ascii="Times New Roman" w:hAnsi="Times New Roman" w:eastAsiaTheme="minorEastAsia"/>
                <w:b/>
                <w:bCs/>
                <w:sz w:val="24"/>
              </w:rPr>
              <w:t>图3-1废气</w:t>
            </w:r>
            <w:r>
              <w:rPr>
                <w:rFonts w:hint="eastAsia" w:ascii="Times New Roman" w:hAnsi="Times New Roman" w:eastAsiaTheme="minorEastAsia"/>
                <w:b/>
                <w:bCs/>
                <w:sz w:val="24"/>
                <w:lang w:val="en-US" w:eastAsia="zh-CN"/>
              </w:rPr>
              <w:t>及噪声</w:t>
            </w:r>
            <w:r>
              <w:rPr>
                <w:rFonts w:ascii="Times New Roman" w:hAnsi="Times New Roman" w:eastAsiaTheme="minorEastAsia"/>
                <w:b/>
                <w:bCs/>
                <w:sz w:val="24"/>
              </w:rPr>
              <w:t>监测点位示意图</w:t>
            </w:r>
          </w:p>
          <w:p w14:paraId="58D206F8">
            <w:pPr>
              <w:spacing w:line="360" w:lineRule="auto"/>
              <w:ind w:firstLine="463" w:firstLineChars="192"/>
              <w:jc w:val="both"/>
              <w:rPr>
                <w:rFonts w:ascii="Times New Roman" w:hAnsi="Times New Roman" w:eastAsiaTheme="minorEastAsia"/>
                <w:b/>
                <w:bCs/>
                <w:sz w:val="24"/>
              </w:rPr>
            </w:pPr>
          </w:p>
          <w:p w14:paraId="0C623F20">
            <w:pPr>
              <w:rPr>
                <w:rFonts w:ascii="Times New Roman" w:hAnsi="Times New Roman" w:eastAsiaTheme="minorEastAsia"/>
                <w:b/>
                <w:bCs/>
                <w:color w:val="FF0000"/>
                <w:sz w:val="24"/>
              </w:rPr>
            </w:pPr>
          </w:p>
        </w:tc>
      </w:tr>
    </w:tbl>
    <w:p w14:paraId="39486B6A">
      <w:pPr>
        <w:pStyle w:val="26"/>
        <w:outlineLvl w:val="0"/>
        <w:rPr>
          <w:rFonts w:ascii="Times New Roman" w:hAnsi="Times New Roman" w:eastAsiaTheme="minorEastAsia"/>
          <w:b/>
          <w:bCs/>
          <w:color w:val="FF0000"/>
          <w:sz w:val="28"/>
          <w:szCs w:val="28"/>
        </w:rPr>
        <w:sectPr>
          <w:pgSz w:w="11906" w:h="16838"/>
          <w:pgMar w:top="1440" w:right="1800" w:bottom="1440" w:left="1800" w:header="851" w:footer="992" w:gutter="0"/>
          <w:cols w:space="720" w:num="1"/>
          <w:docGrid w:type="lines" w:linePitch="312" w:charSpace="0"/>
        </w:sectPr>
      </w:pPr>
    </w:p>
    <w:p w14:paraId="6B8F10F4">
      <w:pPr>
        <w:pStyle w:val="26"/>
        <w:outlineLvl w:val="0"/>
        <w:rPr>
          <w:rFonts w:ascii="Times New Roman" w:hAnsi="Times New Roman" w:eastAsiaTheme="minorEastAsia"/>
          <w:b/>
          <w:bCs/>
          <w:color w:val="auto"/>
          <w:sz w:val="28"/>
          <w:szCs w:val="28"/>
        </w:rPr>
      </w:pPr>
      <w:r>
        <w:rPr>
          <w:rFonts w:ascii="Times New Roman" w:hAnsi="Times New Roman" w:eastAsiaTheme="minorEastAsia"/>
          <w:b/>
          <w:bCs/>
          <w:color w:val="auto"/>
          <w:sz w:val="28"/>
          <w:szCs w:val="28"/>
        </w:rPr>
        <w:t>表四</w:t>
      </w:r>
      <w:bookmarkEnd w:id="35"/>
      <w:r>
        <w:rPr>
          <w:rFonts w:ascii="Times New Roman" w:hAnsi="Times New Roman" w:eastAsiaTheme="minorEastAsia"/>
          <w:b/>
          <w:bCs/>
          <w:color w:val="auto"/>
          <w:sz w:val="28"/>
          <w:szCs w:val="28"/>
        </w:rPr>
        <w:t>建设项目环评报告表的主要结论与建议及审批部门审批决定</w:t>
      </w:r>
      <w:bookmarkEnd w:id="36"/>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7C21E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14:paraId="6A8A4CC3">
            <w:pPr>
              <w:spacing w:line="360" w:lineRule="auto"/>
              <w:rPr>
                <w:rFonts w:ascii="Times New Roman" w:hAnsi="Times New Roman" w:eastAsiaTheme="minorEastAsia"/>
                <w:b/>
                <w:sz w:val="28"/>
                <w:szCs w:val="28"/>
              </w:rPr>
            </w:pPr>
            <w:bookmarkStart w:id="37" w:name="_Toc7152"/>
            <w:r>
              <w:rPr>
                <w:rFonts w:ascii="Times New Roman" w:hAnsi="Times New Roman" w:eastAsiaTheme="minorEastAsia"/>
                <w:b/>
                <w:sz w:val="28"/>
                <w:szCs w:val="28"/>
              </w:rPr>
              <w:t>建设项目环评报告表的主要结论与建议及审批部门审批决定</w:t>
            </w:r>
            <w:bookmarkEnd w:id="37"/>
            <w:r>
              <w:rPr>
                <w:rFonts w:ascii="Times New Roman" w:hAnsi="Times New Roman" w:eastAsiaTheme="minorEastAsia"/>
                <w:b/>
                <w:sz w:val="28"/>
                <w:szCs w:val="28"/>
              </w:rPr>
              <w:t>：</w:t>
            </w:r>
          </w:p>
          <w:p w14:paraId="56AFB2E0">
            <w:pPr>
              <w:pStyle w:val="32"/>
              <w:keepNext w:val="0"/>
              <w:keepLines w:val="0"/>
              <w:pageBreakBefore w:val="0"/>
              <w:widowControl w:val="0"/>
              <w:kinsoku/>
              <w:wordWrap/>
              <w:overflowPunct/>
              <w:topLinePunct w:val="0"/>
              <w:autoSpaceDE/>
              <w:autoSpaceDN/>
              <w:bidi w:val="0"/>
              <w:adjustRightInd/>
              <w:snapToGrid/>
              <w:textAlignment w:val="auto"/>
            </w:pPr>
            <w:bookmarkStart w:id="38" w:name="_Toc6484"/>
            <w:bookmarkStart w:id="39" w:name="_Toc24560"/>
            <w:bookmarkStart w:id="40" w:name="_Toc2923"/>
            <w:bookmarkStart w:id="41" w:name="_Toc15132"/>
            <w:bookmarkStart w:id="42" w:name="_Toc11588"/>
            <w:r>
              <w:t>通过本项目所在地环境现状调查、污染源分析、环境影响分析可知，本项目选址合理，项目符合国</w:t>
            </w:r>
            <w:r>
              <w:rPr>
                <w:rFonts w:hint="eastAsia"/>
                <w:lang w:val="en-US" w:eastAsia="zh-CN"/>
              </w:rPr>
              <w:t>家</w:t>
            </w:r>
            <w:r>
              <w:t>产业政策及相关规划要求，符合国家环境保护相关政策法规要求，项目运行期产生的废水、废气、噪声、固废等采取有效措施后，均能满足国家相关排放标准的要求，企业在生产过程中在充分落实本环评提出的各项污染防治对策前提下，认真做好“三同时”及日常环保管理工作，从环保角度出发，本项目建设可行。</w:t>
            </w:r>
          </w:p>
          <w:p w14:paraId="2D6E13A4">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ascii="Times New Roman" w:hAnsi="Times New Roman" w:eastAsiaTheme="minorEastAsia"/>
                <w:b/>
                <w:sz w:val="24"/>
              </w:rPr>
            </w:pPr>
            <w:r>
              <w:rPr>
                <w:rFonts w:ascii="Times New Roman" w:hAnsi="Times New Roman" w:eastAsiaTheme="minorEastAsia"/>
                <w:b/>
                <w:sz w:val="24"/>
              </w:rPr>
              <w:t>二、审批部门审批决定</w:t>
            </w:r>
            <w:bookmarkEnd w:id="38"/>
            <w:bookmarkEnd w:id="39"/>
            <w:bookmarkEnd w:id="40"/>
            <w:bookmarkEnd w:id="41"/>
            <w:bookmarkEnd w:id="42"/>
          </w:p>
          <w:p w14:paraId="54D90867">
            <w:pPr>
              <w:pStyle w:val="3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r>
              <w:rPr>
                <w:rFonts w:hint="eastAsia"/>
              </w:rPr>
              <w:t>桦南县宏祥报废农机回收有限责任公司：</w:t>
            </w:r>
          </w:p>
          <w:p w14:paraId="5145E638">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你公司报送的《桦南县宏祥报废农机回收有限责任公司农机报废拆解项目环境影响报告表》已收悉。经审查研究，我局同意该项目建设。具体环保审批意见如下：</w:t>
            </w:r>
          </w:p>
          <w:p w14:paraId="2E8CF93C">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一、该项目建设地点为黑龙江省佳木斯市桦南县曙光农场第十五作业站，项目占地面积4392.34 m²。建设内容：新建一条年拆解10000辆报废农业机械生产线，依托原有厂房、场地建设车间、待拆车辆贮存场地、农机拆除成品半成品及零件贮存库、危险废物贮存库。项目总投资80万元。</w:t>
            </w:r>
          </w:p>
          <w:p w14:paraId="2414B801">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二、加强项目建设与运行环境管理，注意做好以下工作：</w:t>
            </w:r>
          </w:p>
          <w:p w14:paraId="5C048BEB">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1、项目施工期间会给周围环境造成一定影响。因此，应加强施工期的污染防治措施，将污染物对环境及周围环境敏感目标的影响降低到最小程度。场界扬尘满足《大气污染物综合排放标准》(GB16297-1996)表2中无组织排放标准要求；施工期生活污水排入厂区内现有公厕内，定期清掏，不外排；施工期产生的场界噪声满足《建筑施工场界环境噪声排放标准》(GB12523-2011)中要求；生活垃圾要收集到指定的垃圾箱(桶)内，由环卫部门统一及时处理。</w:t>
            </w:r>
          </w:p>
          <w:p w14:paraId="5D98DB29">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2、项目产生的废气主要为拆解车间废气。在全封闭拆解车间内切割工位设置移动式布袋除尘器，通过移动式布袋除尘器的进风口收集切割废气净化处理后排出的气体经车间侧壁通风设施以无组织形式排放。无组织颗粒物排放浓度要满足《大气污染物综合排放标准》(GB16297-1996)表2中无组织排放监控浓度限值要求；待拆的报废车辆油箱中废油量较少，在工序上方设置集气罩+活性炭吸附装置进行处理。非甲烷总烃排放浓度要满足《大气污染物综合排放标准》(GB16297-1996)非甲烷总烃无组织排放监控浓度限值；所有危险废物均在密闭容器内保存，以控制挥发性有机气体的产生，收集的危废贮存库废气通过活性炭吸附处理后由1根15m高排气筒排放。要满足《大气污染物综合排放标准》(GB16297-1996)表2中排放监控浓度限值要求。</w:t>
            </w:r>
          </w:p>
          <w:p w14:paraId="785107CA">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3、项目不产生生产废水，厂区污水主要为生活人员产生的生活污水和待拆车辆存放区初期雨水。生活污水排入防渗旱厕，定期清掏；待拆车辆存放区初期雨水经待拆车辆存放区四周排水沟汇入厂区1座80m³初期雨水收集池，经油水分离器隔油处理后，用于厂区洒扫降尘。</w:t>
            </w:r>
          </w:p>
          <w:p w14:paraId="5AA97357">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4、项目运营期噪声源要严格落实防噪降噪措施，尽量选用低噪声、低振动机械设备，经减振、消声、隔声处理等降噪措施后，厂界噪声要满足《工业企业厂界环境噪声排放标准》(GB12348-2008)表1中2类标准的要求。</w:t>
            </w:r>
          </w:p>
          <w:p w14:paraId="5FABA5AF">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5、项目固体废物主要为职工生活垃圾、一般固体废物和危险废物。生活垃圾：集中收集，由市政环卫部门统一清运处理；一般固体废物：移动式布袋除尘器会收集一定量的粉尘，主要成分为金属尘，集中收集，外售综合利用。拆解过程中产生的各种电子电器部件(包括仪表盘、电动机和发电机、电线电缆以及其他电子电器，不再进一步拆解),集中收集，交由有废弃电子产品处理资格的企业进行处置。不可利用废物集中收集，由市政部门统一清运；危险废物：项目新建一座危险废物贮存库，建筑面积50m²。危险废物进行分类堆放，不同危险废物堆放保持有一定的间距，不相容的危险废物堆放区必须有隔离区隔断，必须有泄漏液体收集装置、气体导出口及气体净化装置，有明显的危险废物识别标志，定期委托有资质单位回收处理。要满足《危险废物贮存污染控制标准》(GB18597-2023)中相关要求。</w:t>
            </w:r>
          </w:p>
          <w:p w14:paraId="2CF5D066">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三、项目的性质、规模、地点、采用的生产工艺或者防治污染的措施发生重大变动的，建设单位应当重新报批建设项目环境影响评价文件。</w:t>
            </w:r>
          </w:p>
          <w:p w14:paraId="5BB16605">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四、各项环保设施要与主体工程同时设计、同时施工、同时投入使用。在启动生产设施或者在实际排污之前，建设单位应依法申请取得排污许可证或者填报排污登记表。项目竣工后，建设单位应依照法定程序完成竣工环保验收后，方可正式投入运行。</w:t>
            </w:r>
          </w:p>
          <w:p w14:paraId="34B35936">
            <w:pPr>
              <w:pStyle w:val="32"/>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rPr>
              <w:t>五、佳木斯市桦南生态环境保护综合行政执法大队负责该项目生态环境保护事中事后监督管理。</w:t>
            </w:r>
          </w:p>
          <w:p w14:paraId="623D4100">
            <w:pPr>
              <w:pStyle w:val="32"/>
              <w:bidi w:val="0"/>
              <w:rPr>
                <w:rFonts w:hint="eastAsia"/>
              </w:rPr>
            </w:pPr>
          </w:p>
          <w:p w14:paraId="1052BB82">
            <w:pPr>
              <w:pStyle w:val="32"/>
              <w:bidi w:val="0"/>
              <w:rPr>
                <w:rFonts w:hint="eastAsia"/>
              </w:rPr>
            </w:pPr>
          </w:p>
          <w:p w14:paraId="48877E8D">
            <w:pPr>
              <w:pStyle w:val="32"/>
              <w:bidi w:val="0"/>
              <w:rPr>
                <w:rFonts w:hint="eastAsia"/>
              </w:rPr>
            </w:pPr>
          </w:p>
          <w:p w14:paraId="2C6E3BDD">
            <w:pPr>
              <w:pStyle w:val="32"/>
              <w:bidi w:val="0"/>
              <w:rPr>
                <w:rFonts w:hint="eastAsia"/>
              </w:rPr>
            </w:pPr>
          </w:p>
          <w:p w14:paraId="6317EEFF">
            <w:pPr>
              <w:pStyle w:val="32"/>
              <w:bidi w:val="0"/>
              <w:rPr>
                <w:rFonts w:hint="eastAsia"/>
              </w:rPr>
            </w:pPr>
          </w:p>
          <w:p w14:paraId="5DFD058D">
            <w:pPr>
              <w:pStyle w:val="32"/>
              <w:bidi w:val="0"/>
            </w:pPr>
          </w:p>
          <w:p w14:paraId="4ECAECBB">
            <w:pPr>
              <w:pStyle w:val="32"/>
              <w:bidi w:val="0"/>
            </w:pPr>
          </w:p>
          <w:p w14:paraId="59E89B19">
            <w:pPr>
              <w:pStyle w:val="32"/>
              <w:bidi w:val="0"/>
            </w:pPr>
          </w:p>
          <w:p w14:paraId="4B92EDC4">
            <w:pPr>
              <w:pStyle w:val="32"/>
              <w:bidi w:val="0"/>
            </w:pPr>
          </w:p>
          <w:p w14:paraId="5EB85051">
            <w:pPr>
              <w:pStyle w:val="32"/>
              <w:bidi w:val="0"/>
            </w:pPr>
          </w:p>
          <w:p w14:paraId="5560907A">
            <w:pPr>
              <w:pStyle w:val="32"/>
              <w:bidi w:val="0"/>
              <w:jc w:val="right"/>
              <w:rPr>
                <w:rFonts w:hint="eastAsia"/>
              </w:rPr>
            </w:pPr>
            <w:r>
              <w:rPr>
                <w:rFonts w:hint="eastAsia"/>
              </w:rPr>
              <w:t>佳木斯市桦南生态环境局</w:t>
            </w:r>
          </w:p>
          <w:p w14:paraId="4275AC92">
            <w:pPr>
              <w:pStyle w:val="32"/>
              <w:bidi w:val="0"/>
              <w:jc w:val="right"/>
            </w:pPr>
            <w:r>
              <w:rPr>
                <w:rFonts w:hint="eastAsia"/>
              </w:rPr>
              <w:t>2024年9月23日</w:t>
            </w:r>
          </w:p>
          <w:p w14:paraId="227EF8F7">
            <w:pPr>
              <w:pStyle w:val="26"/>
              <w:jc w:val="right"/>
              <w:rPr>
                <w:rFonts w:ascii="Times New Roman" w:hAnsi="Times New Roman" w:eastAsiaTheme="minorEastAsia"/>
                <w:color w:val="FF0000"/>
                <w:kern w:val="2"/>
              </w:rPr>
            </w:pPr>
          </w:p>
        </w:tc>
      </w:tr>
    </w:tbl>
    <w:p w14:paraId="5FBFBEF3">
      <w:pPr>
        <w:spacing w:line="360" w:lineRule="auto"/>
        <w:outlineLvl w:val="0"/>
        <w:rPr>
          <w:rFonts w:ascii="Times New Roman" w:hAnsi="Times New Roman" w:eastAsiaTheme="minorEastAsia"/>
          <w:b/>
          <w:color w:val="FF0000"/>
          <w:sz w:val="28"/>
          <w:szCs w:val="28"/>
        </w:rPr>
        <w:sectPr>
          <w:pgSz w:w="11906" w:h="16838"/>
          <w:pgMar w:top="1440" w:right="1800" w:bottom="1440" w:left="1800" w:header="851" w:footer="992" w:gutter="0"/>
          <w:cols w:space="720" w:num="1"/>
          <w:docGrid w:type="lines" w:linePitch="312" w:charSpace="0"/>
        </w:sectPr>
      </w:pPr>
      <w:bookmarkStart w:id="43" w:name="_Toc19615"/>
      <w:bookmarkStart w:id="44" w:name="_Toc22422"/>
    </w:p>
    <w:p w14:paraId="6B42B487">
      <w:pPr>
        <w:spacing w:line="360" w:lineRule="auto"/>
        <w:outlineLvl w:val="0"/>
        <w:rPr>
          <w:rFonts w:ascii="Times New Roman" w:hAnsi="Times New Roman" w:eastAsiaTheme="minorEastAsia"/>
          <w:b/>
          <w:sz w:val="28"/>
          <w:szCs w:val="28"/>
          <w:highlight w:val="none"/>
        </w:rPr>
      </w:pPr>
      <w:r>
        <w:rPr>
          <w:rFonts w:ascii="Times New Roman" w:hAnsi="Times New Roman" w:eastAsiaTheme="minorEastAsia"/>
          <w:b/>
          <w:sz w:val="28"/>
          <w:szCs w:val="28"/>
          <w:highlight w:val="none"/>
        </w:rPr>
        <w:t>表五</w:t>
      </w:r>
      <w:bookmarkEnd w:id="43"/>
      <w:r>
        <w:rPr>
          <w:rFonts w:ascii="Times New Roman" w:hAnsi="Times New Roman" w:eastAsiaTheme="minorEastAsia"/>
          <w:b/>
          <w:sz w:val="28"/>
          <w:szCs w:val="28"/>
          <w:highlight w:val="none"/>
        </w:rPr>
        <w:t>验收监测质量保证及质量控制</w:t>
      </w:r>
      <w:bookmarkEnd w:id="44"/>
    </w:p>
    <w:tbl>
      <w:tblPr>
        <w:tblStyle w:val="23"/>
        <w:tblW w:w="9011" w:type="dxa"/>
        <w:tblInd w:w="-2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36"/>
      </w:tblGrid>
      <w:tr w14:paraId="425E6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2" w:hRule="atLeast"/>
        </w:trPr>
        <w:tc>
          <w:tcPr>
            <w:tcW w:w="9011" w:type="dxa"/>
          </w:tcPr>
          <w:p w14:paraId="23934F39">
            <w:pPr>
              <w:keepNext w:val="0"/>
              <w:keepLines w:val="0"/>
              <w:pageBreakBefore w:val="0"/>
              <w:widowControl w:val="0"/>
              <w:kinsoku/>
              <w:wordWrap/>
              <w:overflowPunct/>
              <w:topLinePunct w:val="0"/>
              <w:autoSpaceDE/>
              <w:autoSpaceDN/>
              <w:bidi w:val="0"/>
              <w:adjustRightInd/>
              <w:snapToGrid/>
              <w:spacing w:line="360" w:lineRule="auto"/>
              <w:ind w:left="559" w:leftChars="266" w:firstLine="0" w:firstLineChars="0"/>
              <w:jc w:val="left"/>
              <w:textAlignment w:val="auto"/>
              <w:outlineLvl w:val="1"/>
              <w:rPr>
                <w:rFonts w:hint="eastAsia" w:asciiTheme="minorEastAsia" w:hAnsiTheme="minorEastAsia" w:eastAsiaTheme="minorEastAsia" w:cstheme="minorEastAsia"/>
                <w:b/>
                <w:sz w:val="24"/>
                <w:szCs w:val="24"/>
              </w:rPr>
            </w:pPr>
            <w:r>
              <w:rPr>
                <w:rFonts w:ascii="Times New Roman" w:hAnsi="Times New Roman" w:eastAsiaTheme="minorEastAsia"/>
                <w:b/>
                <w:bCs/>
                <w:sz w:val="28"/>
                <w:szCs w:val="28"/>
              </w:rPr>
              <w:t>验收监测质量保证及质量控制：</w:t>
            </w:r>
            <w:r>
              <w:rPr>
                <w:rFonts w:ascii="Times New Roman" w:hAnsi="Times New Roman" w:eastAsiaTheme="minorEastAsia"/>
                <w:bCs/>
                <w:sz w:val="24"/>
              </w:rPr>
              <w:br w:type="textWrapping"/>
            </w:r>
            <w:r>
              <w:rPr>
                <w:rFonts w:hint="eastAsia" w:asciiTheme="minorEastAsia" w:hAnsiTheme="minorEastAsia" w:eastAsiaTheme="minorEastAsia" w:cstheme="minorEastAsia"/>
                <w:b/>
                <w:bCs w:val="0"/>
                <w:sz w:val="24"/>
                <w:szCs w:val="24"/>
              </w:rPr>
              <w:t>一、监测质量保证措施</w:t>
            </w:r>
          </w:p>
          <w:p w14:paraId="655311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1.1按照《大气污染物综合排放标准》（GB16297-1996）、《挥发性有机物无组织排放控制标准》（GB37822-2019）、《工业企业厂界环境噪声排放标准》（GB12348-2008）等规定，对监测的全过程进行质量保证和控制。</w:t>
            </w:r>
          </w:p>
          <w:p w14:paraId="3EC9B26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1.2参加验收监测的技术人员，经过技术培训考核，持证上岗。</w:t>
            </w:r>
          </w:p>
          <w:p w14:paraId="5ACDA6F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1.3使用的监测仪器设备经计量部门检定合格，并在有效期内。</w:t>
            </w:r>
          </w:p>
          <w:p w14:paraId="1E8BC04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1.4现场采样和检测均在生产设备和环保设施正常运行情况下进行，且设施运行负荷在75%以上。</w:t>
            </w:r>
          </w:p>
          <w:p w14:paraId="2B20CB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sz w:val="24"/>
                <w:szCs w:val="24"/>
              </w:rPr>
            </w:pPr>
            <w:r>
              <w:rPr>
                <w:rFonts w:hint="default" w:ascii="Times New Roman" w:hAnsi="Times New Roman" w:cs="Times New Roman" w:eastAsiaTheme="minorEastAsia"/>
                <w:sz w:val="24"/>
                <w:szCs w:val="24"/>
              </w:rPr>
              <w:t>1.5测期间，同步记录生产状况、环保设施运行情况，保证监测期间生产负荷在规定范围内和环保设施处于正常运行状态。</w:t>
            </w:r>
          </w:p>
          <w:p w14:paraId="442FD9B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val="0"/>
                <w:sz w:val="24"/>
                <w:szCs w:val="24"/>
                <w:lang w:val="en-US" w:eastAsia="zh-CN"/>
              </w:rPr>
              <w:t>二</w:t>
            </w:r>
            <w:r>
              <w:rPr>
                <w:rFonts w:hint="eastAsia" w:asciiTheme="minorEastAsia" w:hAnsiTheme="minorEastAsia" w:eastAsiaTheme="minorEastAsia" w:cstheme="minorEastAsia"/>
                <w:b/>
                <w:bCs w:val="0"/>
                <w:sz w:val="24"/>
                <w:szCs w:val="24"/>
              </w:rPr>
              <w:t>、</w:t>
            </w:r>
            <w:r>
              <w:rPr>
                <w:rFonts w:hint="eastAsia" w:asciiTheme="minorEastAsia" w:hAnsiTheme="minorEastAsia" w:eastAsiaTheme="minorEastAsia" w:cstheme="minorEastAsia"/>
                <w:b/>
                <w:bCs w:val="0"/>
                <w:sz w:val="24"/>
                <w:szCs w:val="24"/>
                <w:lang w:val="en-US" w:eastAsia="zh-CN"/>
              </w:rPr>
              <w:t>检测分析方法、仪器</w:t>
            </w:r>
          </w:p>
          <w:p w14:paraId="0A15E9C2">
            <w:pPr>
              <w:spacing w:before="202" w:line="228" w:lineRule="auto"/>
              <w:ind w:left="16"/>
              <w:jc w:val="center"/>
              <w:rPr>
                <w:rFonts w:ascii="仿宋" w:hAnsi="仿宋" w:eastAsia="仿宋" w:cs="仿宋"/>
                <w:sz w:val="24"/>
                <w:szCs w:val="24"/>
              </w:rPr>
            </w:pPr>
            <w:r>
              <w:rPr>
                <w:rFonts w:ascii="Times New Roman" w:hAnsi="Times New Roman" w:eastAsiaTheme="minorEastAsia"/>
                <w:b/>
                <w:sz w:val="24"/>
              </w:rPr>
              <w:t>表</w:t>
            </w:r>
            <w:r>
              <w:rPr>
                <w:rFonts w:hint="eastAsia" w:ascii="Times New Roman" w:hAnsi="Times New Roman" w:eastAsiaTheme="minorEastAsia"/>
                <w:b/>
                <w:sz w:val="24"/>
                <w:lang w:val="en-US" w:eastAsia="zh-CN"/>
              </w:rPr>
              <w:t>5-1</w:t>
            </w:r>
            <w:r>
              <w:rPr>
                <w:rFonts w:ascii="Times New Roman" w:hAnsi="Times New Roman" w:eastAsiaTheme="minorEastAsia"/>
                <w:b/>
                <w:sz w:val="24"/>
              </w:rPr>
              <w:t>检测分析方法及仪器设备一览表</w:t>
            </w:r>
          </w:p>
          <w:p w14:paraId="4F4B89D5">
            <w:pPr>
              <w:spacing w:line="39" w:lineRule="exact"/>
            </w:pPr>
          </w:p>
          <w:tbl>
            <w:tblPr>
              <w:tblStyle w:val="77"/>
              <w:tblW w:w="899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6"/>
              <w:gridCol w:w="1030"/>
              <w:gridCol w:w="2828"/>
              <w:gridCol w:w="1676"/>
              <w:gridCol w:w="1549"/>
              <w:gridCol w:w="723"/>
              <w:gridCol w:w="705"/>
            </w:tblGrid>
            <w:tr w14:paraId="28DD8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86" w:type="dxa"/>
                  <w:vAlign w:val="center"/>
                </w:tcPr>
                <w:p w14:paraId="66EF68CF">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1"/>
                      <w:sz w:val="20"/>
                      <w:szCs w:val="20"/>
                    </w:rPr>
                    <w:t>类</w:t>
                  </w:r>
                  <w:r>
                    <w:rPr>
                      <w:rFonts w:ascii="仿宋" w:hAnsi="仿宋" w:eastAsia="仿宋" w:cs="仿宋"/>
                      <w:sz w:val="20"/>
                      <w:szCs w:val="20"/>
                    </w:rPr>
                    <w:t>别</w:t>
                  </w:r>
                </w:p>
              </w:tc>
              <w:tc>
                <w:tcPr>
                  <w:tcW w:w="1030" w:type="dxa"/>
                  <w:vAlign w:val="center"/>
                </w:tcPr>
                <w:p w14:paraId="6D280339">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7"/>
                      <w:sz w:val="20"/>
                      <w:szCs w:val="20"/>
                    </w:rPr>
                    <w:t>检</w:t>
                  </w:r>
                  <w:r>
                    <w:rPr>
                      <w:rFonts w:ascii="仿宋" w:hAnsi="仿宋" w:eastAsia="仿宋" w:cs="仿宋"/>
                      <w:spacing w:val="5"/>
                      <w:sz w:val="20"/>
                      <w:szCs w:val="20"/>
                    </w:rPr>
                    <w:t>测项目</w:t>
                  </w:r>
                </w:p>
              </w:tc>
              <w:tc>
                <w:tcPr>
                  <w:tcW w:w="2828" w:type="dxa"/>
                  <w:vAlign w:val="center"/>
                </w:tcPr>
                <w:p w14:paraId="74D153F7">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7"/>
                      <w:sz w:val="20"/>
                      <w:szCs w:val="20"/>
                    </w:rPr>
                    <w:t>检测分析方法</w:t>
                  </w:r>
                </w:p>
              </w:tc>
              <w:tc>
                <w:tcPr>
                  <w:tcW w:w="1676" w:type="dxa"/>
                  <w:vAlign w:val="center"/>
                </w:tcPr>
                <w:p w14:paraId="3F9E99DB">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4"/>
                      <w:sz w:val="20"/>
                      <w:szCs w:val="20"/>
                    </w:rPr>
                    <w:t>仪</w:t>
                  </w:r>
                  <w:r>
                    <w:rPr>
                      <w:rFonts w:ascii="仿宋" w:hAnsi="仿宋" w:eastAsia="仿宋" w:cs="仿宋"/>
                      <w:spacing w:val="2"/>
                      <w:sz w:val="20"/>
                      <w:szCs w:val="20"/>
                    </w:rPr>
                    <w:t>器设备名称、</w:t>
                  </w:r>
                  <w:r>
                    <w:rPr>
                      <w:rFonts w:ascii="仿宋" w:hAnsi="仿宋" w:eastAsia="仿宋" w:cs="仿宋"/>
                      <w:sz w:val="20"/>
                      <w:szCs w:val="20"/>
                    </w:rPr>
                    <w:t xml:space="preserve"> </w:t>
                  </w:r>
                  <w:r>
                    <w:rPr>
                      <w:rFonts w:ascii="仿宋" w:hAnsi="仿宋" w:eastAsia="仿宋" w:cs="仿宋"/>
                      <w:spacing w:val="5"/>
                      <w:sz w:val="20"/>
                      <w:szCs w:val="20"/>
                    </w:rPr>
                    <w:t>型号及编号</w:t>
                  </w:r>
                </w:p>
              </w:tc>
              <w:tc>
                <w:tcPr>
                  <w:tcW w:w="1549" w:type="dxa"/>
                  <w:vAlign w:val="center"/>
                </w:tcPr>
                <w:p w14:paraId="5F529A19">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5"/>
                      <w:sz w:val="20"/>
                      <w:szCs w:val="20"/>
                    </w:rPr>
                    <w:t>检定</w:t>
                  </w:r>
                  <w:r>
                    <w:rPr>
                      <w:rFonts w:ascii="Times New Roman" w:hAnsi="Times New Roman" w:eastAsia="Times New Roman" w:cs="Times New Roman"/>
                      <w:spacing w:val="5"/>
                      <w:sz w:val="20"/>
                      <w:szCs w:val="20"/>
                    </w:rPr>
                    <w:t>/</w:t>
                  </w:r>
                  <w:r>
                    <w:rPr>
                      <w:rFonts w:ascii="仿宋" w:hAnsi="仿宋" w:eastAsia="仿宋" w:cs="仿宋"/>
                      <w:spacing w:val="5"/>
                      <w:sz w:val="20"/>
                      <w:szCs w:val="20"/>
                    </w:rPr>
                    <w:t>校</w:t>
                  </w:r>
                  <w:r>
                    <w:rPr>
                      <w:rFonts w:ascii="仿宋" w:hAnsi="仿宋" w:eastAsia="仿宋" w:cs="仿宋"/>
                      <w:spacing w:val="4"/>
                      <w:sz w:val="20"/>
                      <w:szCs w:val="20"/>
                    </w:rPr>
                    <w:t>准</w:t>
                  </w:r>
                  <w:r>
                    <w:rPr>
                      <w:rFonts w:ascii="仿宋" w:hAnsi="仿宋" w:eastAsia="仿宋" w:cs="仿宋"/>
                      <w:spacing w:val="6"/>
                      <w:sz w:val="20"/>
                      <w:szCs w:val="20"/>
                    </w:rPr>
                    <w:t>有效</w:t>
                  </w:r>
                  <w:r>
                    <w:rPr>
                      <w:rFonts w:ascii="仿宋" w:hAnsi="仿宋" w:eastAsia="仿宋" w:cs="仿宋"/>
                      <w:spacing w:val="5"/>
                      <w:sz w:val="20"/>
                      <w:szCs w:val="20"/>
                    </w:rPr>
                    <w:t>期</w:t>
                  </w:r>
                </w:p>
              </w:tc>
              <w:tc>
                <w:tcPr>
                  <w:tcW w:w="723" w:type="dxa"/>
                  <w:vAlign w:val="center"/>
                </w:tcPr>
                <w:p w14:paraId="11103541">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1"/>
                      <w:sz w:val="20"/>
                      <w:szCs w:val="20"/>
                    </w:rPr>
                    <w:t>方法</w:t>
                  </w:r>
                  <w:r>
                    <w:rPr>
                      <w:rFonts w:ascii="仿宋" w:hAnsi="仿宋" w:eastAsia="仿宋" w:cs="仿宋"/>
                      <w:spacing w:val="5"/>
                      <w:sz w:val="20"/>
                      <w:szCs w:val="20"/>
                    </w:rPr>
                    <w:t>检</w:t>
                  </w:r>
                  <w:r>
                    <w:rPr>
                      <w:rFonts w:ascii="仿宋" w:hAnsi="仿宋" w:eastAsia="仿宋" w:cs="仿宋"/>
                      <w:spacing w:val="4"/>
                      <w:sz w:val="20"/>
                      <w:szCs w:val="20"/>
                    </w:rPr>
                    <w:t>出限</w:t>
                  </w:r>
                </w:p>
              </w:tc>
              <w:tc>
                <w:tcPr>
                  <w:tcW w:w="705" w:type="dxa"/>
                  <w:vAlign w:val="center"/>
                </w:tcPr>
                <w:p w14:paraId="5D3DE64B">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jc w:val="center"/>
                    <w:textAlignment w:val="baseline"/>
                    <w:rPr>
                      <w:rFonts w:ascii="仿宋" w:hAnsi="仿宋" w:eastAsia="仿宋" w:cs="仿宋"/>
                      <w:sz w:val="20"/>
                      <w:szCs w:val="20"/>
                    </w:rPr>
                  </w:pPr>
                  <w:r>
                    <w:rPr>
                      <w:rFonts w:ascii="仿宋" w:hAnsi="仿宋" w:eastAsia="仿宋" w:cs="仿宋"/>
                      <w:spacing w:val="4"/>
                      <w:sz w:val="20"/>
                      <w:szCs w:val="20"/>
                    </w:rPr>
                    <w:t>分析人</w:t>
                  </w:r>
                </w:p>
              </w:tc>
            </w:tr>
            <w:tr w14:paraId="195B3F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1" w:hRule="atLeast"/>
              </w:trPr>
              <w:tc>
                <w:tcPr>
                  <w:tcW w:w="486" w:type="dxa"/>
                  <w:vAlign w:val="center"/>
                </w:tcPr>
                <w:p w14:paraId="14D533B6">
                  <w:pPr>
                    <w:keepNext w:val="0"/>
                    <w:keepLines w:val="0"/>
                    <w:pageBreakBefore w:val="0"/>
                    <w:widowControl/>
                    <w:kinsoku w:val="0"/>
                    <w:wordWrap/>
                    <w:overflowPunct/>
                    <w:topLinePunct w:val="0"/>
                    <w:autoSpaceDE w:val="0"/>
                    <w:autoSpaceDN w:val="0"/>
                    <w:bidi w:val="0"/>
                    <w:adjustRightInd w:val="0"/>
                    <w:snapToGrid w:val="0"/>
                    <w:spacing w:line="240" w:lineRule="exact"/>
                    <w:jc w:val="both"/>
                    <w:textAlignment w:val="baseline"/>
                    <w:rPr>
                      <w:rFonts w:hint="default" w:ascii="仿宋" w:hAnsi="仿宋" w:eastAsia="仿宋" w:cs="仿宋"/>
                      <w:sz w:val="20"/>
                      <w:szCs w:val="20"/>
                      <w:lang w:val="en-US" w:eastAsia="zh-CN"/>
                    </w:rPr>
                  </w:pPr>
                  <w:r>
                    <w:rPr>
                      <w:rFonts w:hint="eastAsia" w:ascii="仿宋" w:hAnsi="仿宋" w:eastAsia="仿宋" w:cs="仿宋"/>
                      <w:sz w:val="20"/>
                      <w:szCs w:val="20"/>
                      <w:lang w:val="en-US" w:eastAsia="zh-CN"/>
                    </w:rPr>
                    <w:t>有组织废气</w:t>
                  </w:r>
                </w:p>
              </w:tc>
              <w:tc>
                <w:tcPr>
                  <w:tcW w:w="1030" w:type="dxa"/>
                  <w:vAlign w:val="center"/>
                </w:tcPr>
                <w:p w14:paraId="2E4852A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仿宋" w:hAnsi="仿宋" w:eastAsia="仿宋" w:cs="仿宋"/>
                      <w:sz w:val="20"/>
                      <w:szCs w:val="20"/>
                      <w:lang w:eastAsia="zh-CN"/>
                    </w:rPr>
                  </w:pPr>
                  <w:r>
                    <w:rPr>
                      <w:rFonts w:hint="eastAsia" w:ascii="仿宋" w:hAnsi="仿宋" w:eastAsia="仿宋" w:cs="仿宋"/>
                      <w:spacing w:val="2"/>
                      <w:position w:val="4"/>
                      <w:sz w:val="20"/>
                      <w:szCs w:val="20"/>
                      <w:lang w:val="en-US" w:eastAsia="zh-CN"/>
                    </w:rPr>
                    <w:t>非甲烷总烃</w:t>
                  </w:r>
                </w:p>
              </w:tc>
              <w:tc>
                <w:tcPr>
                  <w:tcW w:w="2828" w:type="dxa"/>
                  <w:vAlign w:val="center"/>
                </w:tcPr>
                <w:p w14:paraId="27DB378F">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firstLine="0"/>
                    <w:jc w:val="center"/>
                    <w:textAlignment w:val="baseline"/>
                    <w:rPr>
                      <w:rFonts w:ascii="仿宋" w:hAnsi="仿宋" w:eastAsia="仿宋" w:cs="仿宋"/>
                      <w:sz w:val="20"/>
                      <w:szCs w:val="20"/>
                    </w:rPr>
                  </w:pPr>
                  <w:r>
                    <w:rPr>
                      <w:rFonts w:hint="default" w:ascii="Times New Roman" w:hAnsi="Times New Roman" w:eastAsia="仿宋" w:cs="Times New Roman"/>
                      <w:color w:val="auto"/>
                      <w:sz w:val="21"/>
                      <w:szCs w:val="21"/>
                      <w:highlight w:val="none"/>
                    </w:rPr>
                    <w:t>HJ 38-2017</w:t>
                  </w:r>
                  <w:r>
                    <w:rPr>
                      <w:rFonts w:ascii="仿宋" w:hAnsi="仿宋" w:eastAsia="仿宋" w:cs="仿宋"/>
                      <w:spacing w:val="10"/>
                      <w:sz w:val="20"/>
                      <w:szCs w:val="20"/>
                    </w:rPr>
                    <w:t>《</w:t>
                  </w:r>
                  <w:r>
                    <w:rPr>
                      <w:rFonts w:hint="eastAsia" w:ascii="仿宋" w:hAnsi="仿宋" w:eastAsia="仿宋" w:cs="仿宋"/>
                      <w:spacing w:val="10"/>
                      <w:sz w:val="20"/>
                      <w:szCs w:val="20"/>
                    </w:rPr>
                    <w:t>固定污染源废气 总烃、甲烷和非甲烷总烃的测定 气相色谱法</w:t>
                  </w:r>
                  <w:r>
                    <w:rPr>
                      <w:rFonts w:ascii="仿宋" w:hAnsi="仿宋" w:eastAsia="仿宋" w:cs="仿宋"/>
                      <w:spacing w:val="4"/>
                      <w:sz w:val="20"/>
                      <w:szCs w:val="20"/>
                    </w:rPr>
                    <w:t>》</w:t>
                  </w:r>
                </w:p>
              </w:tc>
              <w:tc>
                <w:tcPr>
                  <w:tcW w:w="1676" w:type="dxa"/>
                  <w:vAlign w:val="center"/>
                </w:tcPr>
                <w:p w14:paraId="74F42F93">
                  <w:pPr>
                    <w:keepNext w:val="0"/>
                    <w:keepLines w:val="0"/>
                    <w:pageBreakBefore w:val="0"/>
                    <w:widowControl w:val="0"/>
                    <w:tabs>
                      <w:tab w:val="left" w:pos="5220"/>
                    </w:tabs>
                    <w:kinsoku/>
                    <w:wordWrap/>
                    <w:overflowPunct/>
                    <w:topLinePunct w:val="0"/>
                    <w:autoSpaceDE/>
                    <w:autoSpaceDN/>
                    <w:bidi w:val="0"/>
                    <w:adjustRightInd/>
                    <w:snapToGrid/>
                    <w:spacing w:line="220" w:lineRule="exact"/>
                    <w:ind w:left="0" w:leftChars="0" w:right="0" w:rightChars="0" w:firstLine="0" w:firstLineChars="0"/>
                    <w:jc w:val="center"/>
                    <w:textAlignment w:val="auto"/>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kern w:val="2"/>
                      <w:sz w:val="21"/>
                      <w:szCs w:val="21"/>
                      <w:lang w:val="en-US" w:eastAsia="zh-CN" w:bidi="ar-SA"/>
                    </w:rPr>
                    <w:t>气相色谱仪</w:t>
                  </w:r>
                  <w:r>
                    <w:rPr>
                      <w:rFonts w:hint="eastAsia" w:ascii="Times New Roman" w:hAnsi="Times New Roman" w:eastAsia="仿宋" w:cs="Times New Roman"/>
                      <w:kern w:val="2"/>
                      <w:sz w:val="21"/>
                      <w:szCs w:val="21"/>
                      <w:lang w:val="en-US" w:eastAsia="zh-CN" w:bidi="ar-SA"/>
                    </w:rPr>
                    <w:t xml:space="preserve">          </w:t>
                  </w:r>
                  <w:r>
                    <w:rPr>
                      <w:rFonts w:hint="default" w:ascii="Times New Roman" w:hAnsi="Times New Roman" w:eastAsia="仿宋" w:cs="Times New Roman"/>
                      <w:kern w:val="2"/>
                      <w:sz w:val="21"/>
                      <w:szCs w:val="21"/>
                      <w:lang w:val="en-US" w:eastAsia="zh-CN" w:bidi="ar-SA"/>
                    </w:rPr>
                    <w:t>GC-7890</w:t>
                  </w:r>
                </w:p>
                <w:p w14:paraId="4E0C1FDF">
                  <w:pPr>
                    <w:spacing w:before="55" w:line="240" w:lineRule="auto"/>
                    <w:jc w:val="center"/>
                    <w:rPr>
                      <w:rFonts w:ascii="Times New Roman" w:hAnsi="Times New Roman" w:eastAsia="Times New Roman" w:cs="Times New Roman"/>
                      <w:sz w:val="20"/>
                      <w:szCs w:val="20"/>
                    </w:rPr>
                  </w:pPr>
                  <w:r>
                    <w:rPr>
                      <w:rFonts w:hint="default" w:ascii="Times New Roman" w:hAnsi="Times New Roman" w:eastAsia="仿宋" w:cs="Times New Roman"/>
                      <w:kern w:val="2"/>
                      <w:sz w:val="21"/>
                      <w:szCs w:val="21"/>
                      <w:lang w:val="en-US" w:eastAsia="zh-CN" w:bidi="ar-SA"/>
                    </w:rPr>
                    <w:t>CS-SY-003</w:t>
                  </w:r>
                </w:p>
              </w:tc>
              <w:tc>
                <w:tcPr>
                  <w:tcW w:w="1549" w:type="dxa"/>
                  <w:vAlign w:val="center"/>
                </w:tcPr>
                <w:p w14:paraId="41DBE60E">
                  <w:pPr>
                    <w:spacing w:before="57" w:line="195" w:lineRule="auto"/>
                    <w:jc w:val="center"/>
                    <w:rPr>
                      <w:rFonts w:hint="eastAsia" w:ascii="Times New Roman" w:hAnsi="Times New Roman" w:eastAsia="宋体" w:cs="Times New Roman"/>
                      <w:sz w:val="20"/>
                      <w:szCs w:val="20"/>
                      <w:lang w:eastAsia="zh-CN"/>
                    </w:rPr>
                  </w:pPr>
                  <w:r>
                    <w:rPr>
                      <w:rFonts w:ascii="Times New Roman" w:hAnsi="Times New Roman" w:eastAsia="Times New Roman" w:cs="Times New Roman"/>
                      <w:spacing w:val="-2"/>
                      <w:sz w:val="20"/>
                      <w:szCs w:val="20"/>
                    </w:rPr>
                    <w:t>202</w:t>
                  </w:r>
                  <w:r>
                    <w:rPr>
                      <w:rFonts w:hint="eastAsia" w:ascii="Times New Roman" w:hAnsi="Times New Roman" w:eastAsia="宋体" w:cs="Times New Roman"/>
                      <w:spacing w:val="-2"/>
                      <w:sz w:val="20"/>
                      <w:szCs w:val="20"/>
                      <w:lang w:val="en-US" w:eastAsia="zh-CN"/>
                    </w:rPr>
                    <w:t>5</w:t>
                  </w:r>
                  <w:r>
                    <w:rPr>
                      <w:rFonts w:ascii="Times New Roman" w:hAnsi="Times New Roman" w:eastAsia="Times New Roman" w:cs="Times New Roman"/>
                      <w:spacing w:val="-2"/>
                      <w:sz w:val="20"/>
                      <w:szCs w:val="20"/>
                    </w:rPr>
                    <w:t>. 1</w:t>
                  </w:r>
                  <w:r>
                    <w:rPr>
                      <w:rFonts w:ascii="Times New Roman" w:hAnsi="Times New Roman" w:eastAsia="Times New Roman" w:cs="Times New Roman"/>
                      <w:spacing w:val="-1"/>
                      <w:sz w:val="20"/>
                      <w:szCs w:val="20"/>
                    </w:rPr>
                    <w:t>1.0</w:t>
                  </w:r>
                  <w:r>
                    <w:rPr>
                      <w:rFonts w:hint="eastAsia" w:ascii="Times New Roman" w:hAnsi="Times New Roman" w:eastAsia="宋体" w:cs="Times New Roman"/>
                      <w:spacing w:val="-1"/>
                      <w:sz w:val="20"/>
                      <w:szCs w:val="20"/>
                      <w:lang w:val="en-US" w:eastAsia="zh-CN"/>
                    </w:rPr>
                    <w:t>1</w:t>
                  </w:r>
                </w:p>
              </w:tc>
              <w:tc>
                <w:tcPr>
                  <w:tcW w:w="723" w:type="dxa"/>
                  <w:vAlign w:val="center"/>
                </w:tcPr>
                <w:p w14:paraId="390ADA56">
                  <w:pPr>
                    <w:widowControl w:val="0"/>
                    <w:wordWrap/>
                    <w:adjustRightInd/>
                    <w:snapToGrid/>
                    <w:spacing w:line="240" w:lineRule="auto"/>
                    <w:ind w:left="-105" w:leftChars="-50" w:right="-136" w:rightChars="-65"/>
                    <w:jc w:val="center"/>
                    <w:textAlignment w:val="auto"/>
                    <w:rPr>
                      <w:rFonts w:hint="eastAsia" w:ascii="Times New Roman" w:hAnsi="Times New Roman" w:eastAsia="仿宋" w:cs="Times New Roman"/>
                      <w:color w:val="000000"/>
                      <w:sz w:val="21"/>
                      <w:szCs w:val="21"/>
                      <w:lang w:val="en-US" w:eastAsia="zh-CN"/>
                    </w:rPr>
                  </w:pPr>
                  <w:r>
                    <w:rPr>
                      <w:rFonts w:hint="eastAsia" w:ascii="Times New Roman" w:hAnsi="Times New Roman" w:eastAsia="仿宋" w:cs="Times New Roman"/>
                      <w:color w:val="000000"/>
                      <w:sz w:val="21"/>
                      <w:szCs w:val="21"/>
                      <w:lang w:val="en-US" w:eastAsia="zh-CN"/>
                    </w:rPr>
                    <w:t>0.07</w:t>
                  </w:r>
                </w:p>
                <w:p w14:paraId="3A7293BE">
                  <w:pPr>
                    <w:widowControl w:val="0"/>
                    <w:wordWrap/>
                    <w:adjustRightInd/>
                    <w:snapToGrid/>
                    <w:spacing w:line="240" w:lineRule="auto"/>
                    <w:ind w:left="-105" w:leftChars="-50" w:right="-136" w:rightChars="-65"/>
                    <w:jc w:val="center"/>
                    <w:textAlignment w:val="auto"/>
                    <w:rPr>
                      <w:rFonts w:hint="default" w:ascii="Times New Roman" w:hAnsi="Times New Roman" w:eastAsia="Times New Roman" w:cs="Times New Roman"/>
                      <w:sz w:val="21"/>
                      <w:szCs w:val="21"/>
                    </w:rPr>
                  </w:pPr>
                  <w:r>
                    <w:rPr>
                      <w:rFonts w:hint="default" w:ascii="Times New Roman" w:hAnsi="Times New Roman" w:eastAsia="仿宋" w:cs="Times New Roman"/>
                      <w:color w:val="000000"/>
                      <w:sz w:val="21"/>
                      <w:szCs w:val="21"/>
                      <w:lang w:val="en-US" w:eastAsia="zh-CN"/>
                    </w:rPr>
                    <w:t>mg/m³</w:t>
                  </w:r>
                </w:p>
              </w:tc>
              <w:tc>
                <w:tcPr>
                  <w:tcW w:w="705" w:type="dxa"/>
                  <w:vAlign w:val="center"/>
                </w:tcPr>
                <w:p w14:paraId="141591EE">
                  <w:pPr>
                    <w:keepNext w:val="0"/>
                    <w:keepLines w:val="0"/>
                    <w:pageBreakBefore w:val="0"/>
                    <w:widowControl/>
                    <w:kinsoku w:val="0"/>
                    <w:wordWrap/>
                    <w:overflowPunct/>
                    <w:topLinePunct w:val="0"/>
                    <w:autoSpaceDE w:val="0"/>
                    <w:autoSpaceDN w:val="0"/>
                    <w:bidi w:val="0"/>
                    <w:adjustRightInd w:val="0"/>
                    <w:snapToGrid w:val="0"/>
                    <w:spacing w:before="288" w:line="240" w:lineRule="exact"/>
                    <w:jc w:val="center"/>
                    <w:textAlignment w:val="baseline"/>
                    <w:rPr>
                      <w:rFonts w:hint="default" w:ascii="仿宋" w:hAnsi="仿宋" w:eastAsia="仿宋" w:cs="仿宋"/>
                      <w:sz w:val="20"/>
                      <w:szCs w:val="20"/>
                      <w:lang w:val="en-US" w:eastAsia="zh-CN"/>
                    </w:rPr>
                  </w:pPr>
                  <w:r>
                    <w:rPr>
                      <w:rFonts w:hint="eastAsia" w:ascii="仿宋" w:hAnsi="仿宋" w:eastAsia="仿宋" w:cs="仿宋"/>
                      <w:sz w:val="20"/>
                      <w:szCs w:val="20"/>
                      <w:lang w:val="en-US" w:eastAsia="zh-CN"/>
                    </w:rPr>
                    <w:t>王华通</w:t>
                  </w:r>
                </w:p>
              </w:tc>
            </w:tr>
            <w:tr w14:paraId="34C285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8" w:hRule="atLeast"/>
              </w:trPr>
              <w:tc>
                <w:tcPr>
                  <w:tcW w:w="486" w:type="dxa"/>
                  <w:vMerge w:val="restart"/>
                  <w:vAlign w:val="center"/>
                </w:tcPr>
                <w:p w14:paraId="5734DE7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Arial" w:eastAsia="宋体"/>
                      <w:sz w:val="21"/>
                      <w:lang w:val="en-US" w:eastAsia="zh-CN"/>
                    </w:rPr>
                  </w:pPr>
                  <w:r>
                    <w:rPr>
                      <w:rFonts w:hint="eastAsia" w:ascii="仿宋" w:hAnsi="仿宋" w:eastAsia="仿宋" w:cs="仿宋"/>
                      <w:sz w:val="20"/>
                      <w:szCs w:val="20"/>
                      <w:lang w:val="en-US" w:eastAsia="zh-CN"/>
                    </w:rPr>
                    <w:t>无组织废气</w:t>
                  </w:r>
                </w:p>
              </w:tc>
              <w:tc>
                <w:tcPr>
                  <w:tcW w:w="1030" w:type="dxa"/>
                  <w:vAlign w:val="center"/>
                </w:tcPr>
                <w:p w14:paraId="163208C2">
                  <w:pPr>
                    <w:keepNext w:val="0"/>
                    <w:keepLines w:val="0"/>
                    <w:pageBreakBefore w:val="0"/>
                    <w:widowControl/>
                    <w:kinsoku w:val="0"/>
                    <w:wordWrap/>
                    <w:overflowPunct/>
                    <w:topLinePunct w:val="0"/>
                    <w:autoSpaceDE w:val="0"/>
                    <w:autoSpaceDN w:val="0"/>
                    <w:bidi w:val="0"/>
                    <w:adjustRightInd w:val="0"/>
                    <w:snapToGrid w:val="0"/>
                    <w:spacing w:before="65" w:line="240" w:lineRule="exact"/>
                    <w:jc w:val="center"/>
                    <w:textAlignment w:val="baseline"/>
                    <w:rPr>
                      <w:rFonts w:hint="eastAsia" w:ascii="仿宋" w:hAnsi="仿宋" w:eastAsia="仿宋" w:cs="仿宋"/>
                      <w:sz w:val="20"/>
                      <w:szCs w:val="20"/>
                      <w:lang w:val="en-US" w:eastAsia="zh-CN"/>
                    </w:rPr>
                  </w:pPr>
                  <w:r>
                    <w:rPr>
                      <w:rFonts w:hint="eastAsia" w:ascii="仿宋" w:hAnsi="仿宋" w:eastAsia="仿宋" w:cs="仿宋"/>
                      <w:spacing w:val="2"/>
                      <w:position w:val="4"/>
                      <w:sz w:val="20"/>
                      <w:szCs w:val="20"/>
                      <w:lang w:val="en-US" w:eastAsia="zh-CN"/>
                    </w:rPr>
                    <w:t>颗粒物</w:t>
                  </w:r>
                </w:p>
              </w:tc>
              <w:tc>
                <w:tcPr>
                  <w:tcW w:w="2828" w:type="dxa"/>
                  <w:vAlign w:val="center"/>
                </w:tcPr>
                <w:p w14:paraId="4EDD92EC">
                  <w:pPr>
                    <w:spacing w:before="31" w:line="221" w:lineRule="auto"/>
                    <w:ind w:left="40"/>
                    <w:jc w:val="center"/>
                    <w:rPr>
                      <w:rFonts w:hint="eastAsia" w:ascii="仿宋" w:hAnsi="仿宋" w:eastAsia="仿宋" w:cs="仿宋"/>
                      <w:spacing w:val="14"/>
                      <w:sz w:val="20"/>
                      <w:szCs w:val="20"/>
                      <w:lang w:eastAsia="zh-CN"/>
                    </w:rPr>
                  </w:pPr>
                  <w:r>
                    <w:rPr>
                      <w:rFonts w:hint="default" w:ascii="Times New Roman" w:hAnsi="Times New Roman" w:eastAsia="仿宋" w:cs="Times New Roman"/>
                      <w:spacing w:val="14"/>
                      <w:sz w:val="20"/>
                      <w:szCs w:val="20"/>
                    </w:rPr>
                    <w:t>HJ 1263-2022</w:t>
                  </w:r>
                  <w:r>
                    <w:rPr>
                      <w:rFonts w:hint="eastAsia" w:ascii="Times New Roman" w:hAnsi="Times New Roman" w:eastAsia="仿宋" w:cs="Times New Roman"/>
                      <w:spacing w:val="14"/>
                      <w:sz w:val="20"/>
                      <w:szCs w:val="20"/>
                      <w:lang w:eastAsia="zh-CN"/>
                    </w:rPr>
                    <w:t>《</w:t>
                  </w:r>
                  <w:r>
                    <w:rPr>
                      <w:rFonts w:hint="eastAsia" w:ascii="Times New Roman" w:hAnsi="Times New Roman" w:eastAsia="仿宋" w:cs="Times New Roman"/>
                      <w:spacing w:val="14"/>
                      <w:sz w:val="21"/>
                      <w:szCs w:val="21"/>
                      <w:lang w:eastAsia="zh-CN"/>
                    </w:rPr>
                    <w:t>环境空气 总悬浮颗粒物的测定重量法</w:t>
                  </w:r>
                  <w:r>
                    <w:rPr>
                      <w:rFonts w:hint="eastAsia" w:ascii="Times New Roman" w:hAnsi="Times New Roman" w:eastAsia="仿宋" w:cs="Times New Roman"/>
                      <w:spacing w:val="14"/>
                      <w:sz w:val="20"/>
                      <w:szCs w:val="20"/>
                      <w:lang w:eastAsia="zh-CN"/>
                    </w:rPr>
                    <w:t>》</w:t>
                  </w:r>
                </w:p>
              </w:tc>
              <w:tc>
                <w:tcPr>
                  <w:tcW w:w="1676" w:type="dxa"/>
                  <w:vAlign w:val="center"/>
                </w:tcPr>
                <w:p w14:paraId="3A8F3348">
                  <w:pPr>
                    <w:spacing w:before="44" w:line="240" w:lineRule="auto"/>
                    <w:ind w:left="491"/>
                    <w:rPr>
                      <w:rFonts w:ascii="仿宋" w:hAnsi="仿宋" w:eastAsia="仿宋" w:cs="仿宋"/>
                      <w:sz w:val="20"/>
                      <w:szCs w:val="20"/>
                    </w:rPr>
                  </w:pPr>
                  <w:r>
                    <w:rPr>
                      <w:rFonts w:ascii="仿宋" w:hAnsi="仿宋" w:eastAsia="仿宋" w:cs="仿宋"/>
                      <w:spacing w:val="1"/>
                      <w:sz w:val="20"/>
                      <w:szCs w:val="20"/>
                    </w:rPr>
                    <w:t>电子天</w:t>
                  </w:r>
                  <w:r>
                    <w:rPr>
                      <w:rFonts w:ascii="仿宋" w:hAnsi="仿宋" w:eastAsia="仿宋" w:cs="仿宋"/>
                      <w:sz w:val="20"/>
                      <w:szCs w:val="20"/>
                    </w:rPr>
                    <w:t>平</w:t>
                  </w:r>
                </w:p>
                <w:p w14:paraId="09F2F3A4">
                  <w:pPr>
                    <w:spacing w:before="41" w:line="240" w:lineRule="auto"/>
                    <w:ind w:left="497"/>
                    <w:rPr>
                      <w:rFonts w:ascii="Times New Roman" w:hAnsi="Times New Roman" w:eastAsia="Times New Roman" w:cs="Times New Roman"/>
                      <w:sz w:val="20"/>
                      <w:szCs w:val="20"/>
                    </w:rPr>
                  </w:pPr>
                  <w:r>
                    <w:rPr>
                      <w:rFonts w:ascii="Times New Roman" w:hAnsi="Times New Roman" w:eastAsia="Times New Roman" w:cs="Times New Roman"/>
                      <w:position w:val="5"/>
                      <w:sz w:val="20"/>
                      <w:szCs w:val="20"/>
                    </w:rPr>
                    <w:t>ATX</w:t>
                  </w:r>
                  <w:r>
                    <w:rPr>
                      <w:rFonts w:ascii="Times New Roman" w:hAnsi="Times New Roman" w:eastAsia="Times New Roman" w:cs="Times New Roman"/>
                      <w:spacing w:val="4"/>
                      <w:position w:val="5"/>
                      <w:sz w:val="20"/>
                      <w:szCs w:val="20"/>
                    </w:rPr>
                    <w:t>1</w:t>
                  </w:r>
                  <w:r>
                    <w:rPr>
                      <w:rFonts w:ascii="Times New Roman" w:hAnsi="Times New Roman" w:eastAsia="Times New Roman" w:cs="Times New Roman"/>
                      <w:spacing w:val="3"/>
                      <w:position w:val="5"/>
                      <w:sz w:val="20"/>
                      <w:szCs w:val="20"/>
                    </w:rPr>
                    <w:t>24</w:t>
                  </w:r>
                </w:p>
                <w:p w14:paraId="2D803959">
                  <w:pPr>
                    <w:spacing w:before="55" w:line="195"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CS</w:t>
                  </w:r>
                  <w:r>
                    <w:rPr>
                      <w:rFonts w:ascii="Times New Roman" w:hAnsi="Times New Roman" w:eastAsia="Times New Roman" w:cs="Times New Roman"/>
                      <w:spacing w:val="3"/>
                      <w:sz w:val="20"/>
                      <w:szCs w:val="20"/>
                    </w:rPr>
                    <w:t>-</w:t>
                  </w:r>
                  <w:r>
                    <w:rPr>
                      <w:rFonts w:ascii="Times New Roman" w:hAnsi="Times New Roman" w:eastAsia="Times New Roman" w:cs="Times New Roman"/>
                      <w:sz w:val="20"/>
                      <w:szCs w:val="20"/>
                    </w:rPr>
                    <w:t>SY</w:t>
                  </w:r>
                  <w:r>
                    <w:rPr>
                      <w:rFonts w:ascii="Times New Roman" w:hAnsi="Times New Roman" w:eastAsia="Times New Roman" w:cs="Times New Roman"/>
                      <w:spacing w:val="3"/>
                      <w:sz w:val="20"/>
                      <w:szCs w:val="20"/>
                    </w:rPr>
                    <w:t>-032</w:t>
                  </w:r>
                </w:p>
              </w:tc>
              <w:tc>
                <w:tcPr>
                  <w:tcW w:w="1549" w:type="dxa"/>
                  <w:vAlign w:val="center"/>
                </w:tcPr>
                <w:p w14:paraId="2B055CED">
                  <w:pPr>
                    <w:keepNext w:val="0"/>
                    <w:keepLines w:val="0"/>
                    <w:pageBreakBefore w:val="0"/>
                    <w:widowControl/>
                    <w:kinsoku w:val="0"/>
                    <w:wordWrap/>
                    <w:overflowPunct/>
                    <w:topLinePunct w:val="0"/>
                    <w:autoSpaceDE w:val="0"/>
                    <w:autoSpaceDN w:val="0"/>
                    <w:bidi w:val="0"/>
                    <w:adjustRightInd w:val="0"/>
                    <w:snapToGrid w:val="0"/>
                    <w:spacing w:line="240" w:lineRule="exact"/>
                    <w:ind w:left="0"/>
                    <w:jc w:val="center"/>
                    <w:textAlignment w:val="baseline"/>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202</w:t>
                  </w:r>
                  <w:r>
                    <w:rPr>
                      <w:rFonts w:hint="eastAsia" w:ascii="Times New Roman" w:hAnsi="Times New Roman" w:eastAsia="宋体" w:cs="Times New Roman"/>
                      <w:spacing w:val="-2"/>
                      <w:sz w:val="20"/>
                      <w:szCs w:val="20"/>
                      <w:lang w:val="en-US" w:eastAsia="zh-CN"/>
                    </w:rPr>
                    <w:t>5</w:t>
                  </w:r>
                  <w:r>
                    <w:rPr>
                      <w:rFonts w:ascii="Times New Roman" w:hAnsi="Times New Roman" w:eastAsia="Times New Roman" w:cs="Times New Roman"/>
                      <w:spacing w:val="-2"/>
                      <w:sz w:val="20"/>
                      <w:szCs w:val="20"/>
                    </w:rPr>
                    <w:t>. 1</w:t>
                  </w:r>
                  <w:r>
                    <w:rPr>
                      <w:rFonts w:ascii="Times New Roman" w:hAnsi="Times New Roman" w:eastAsia="Times New Roman" w:cs="Times New Roman"/>
                      <w:spacing w:val="-1"/>
                      <w:sz w:val="20"/>
                      <w:szCs w:val="20"/>
                    </w:rPr>
                    <w:t>1.0</w:t>
                  </w:r>
                  <w:r>
                    <w:rPr>
                      <w:rFonts w:hint="eastAsia" w:ascii="Times New Roman" w:hAnsi="Times New Roman" w:eastAsia="宋体" w:cs="Times New Roman"/>
                      <w:spacing w:val="-1"/>
                      <w:sz w:val="20"/>
                      <w:szCs w:val="20"/>
                      <w:lang w:val="en-US" w:eastAsia="zh-CN"/>
                    </w:rPr>
                    <w:t>1</w:t>
                  </w:r>
                </w:p>
              </w:tc>
              <w:tc>
                <w:tcPr>
                  <w:tcW w:w="723" w:type="dxa"/>
                  <w:vAlign w:val="center"/>
                </w:tcPr>
                <w:p w14:paraId="3DF78401">
                  <w:pPr>
                    <w:keepNext w:val="0"/>
                    <w:keepLines w:val="0"/>
                    <w:pageBreakBefore w:val="0"/>
                    <w:widowControl/>
                    <w:kinsoku w:val="0"/>
                    <w:wordWrap/>
                    <w:overflowPunct/>
                    <w:topLinePunct w:val="0"/>
                    <w:autoSpaceDE w:val="0"/>
                    <w:autoSpaceDN w:val="0"/>
                    <w:bidi w:val="0"/>
                    <w:adjustRightInd w:val="0"/>
                    <w:snapToGrid w:val="0"/>
                    <w:spacing w:line="240" w:lineRule="exact"/>
                    <w:ind w:left="0"/>
                    <w:jc w:val="center"/>
                    <w:textAlignment w:val="baseline"/>
                    <w:rPr>
                      <w:rFonts w:hint="default" w:ascii="Times New Roman" w:hAnsi="Times New Roman" w:eastAsia="宋体" w:cs="Times New Roman"/>
                      <w:spacing w:val="-2"/>
                      <w:sz w:val="20"/>
                      <w:szCs w:val="20"/>
                      <w:lang w:val="en-US" w:eastAsia="zh-CN"/>
                    </w:rPr>
                  </w:pPr>
                  <w:r>
                    <w:rPr>
                      <w:rFonts w:hint="eastAsia" w:ascii="Times New Roman" w:hAnsi="Times New Roman" w:eastAsia="宋体" w:cs="Times New Roman"/>
                      <w:spacing w:val="-2"/>
                      <w:sz w:val="20"/>
                      <w:szCs w:val="20"/>
                      <w:lang w:val="en-US" w:eastAsia="zh-CN"/>
                    </w:rPr>
                    <w:t>7</w:t>
                  </w:r>
                  <w:r>
                    <w:rPr>
                      <w:rFonts w:hint="default" w:ascii="Times New Roman" w:hAnsi="Times New Roman" w:eastAsia="宋体" w:cs="Times New Roman"/>
                      <w:spacing w:val="-2"/>
                      <w:sz w:val="20"/>
                      <w:szCs w:val="20"/>
                      <w:lang w:val="en-US" w:eastAsia="zh-CN"/>
                    </w:rPr>
                    <w:t>μg/m</w:t>
                  </w:r>
                  <w:r>
                    <w:rPr>
                      <w:rFonts w:hint="default" w:ascii="Times New Roman" w:hAnsi="Times New Roman" w:eastAsia="宋体" w:cs="Times New Roman"/>
                      <w:spacing w:val="-2"/>
                      <w:sz w:val="20"/>
                      <w:szCs w:val="20"/>
                      <w:vertAlign w:val="superscript"/>
                      <w:lang w:val="en-US" w:eastAsia="zh-CN"/>
                    </w:rPr>
                    <w:t>3</w:t>
                  </w:r>
                </w:p>
              </w:tc>
              <w:tc>
                <w:tcPr>
                  <w:tcW w:w="705" w:type="dxa"/>
                  <w:vAlign w:val="center"/>
                </w:tcPr>
                <w:p w14:paraId="70BB82FD">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firstLine="0"/>
                    <w:jc w:val="center"/>
                    <w:textAlignment w:val="baseline"/>
                    <w:rPr>
                      <w:rFonts w:ascii="仿宋" w:hAnsi="仿宋" w:eastAsia="仿宋" w:cs="仿宋"/>
                      <w:sz w:val="20"/>
                      <w:szCs w:val="20"/>
                    </w:rPr>
                  </w:pPr>
                  <w:r>
                    <w:rPr>
                      <w:rFonts w:ascii="仿宋" w:hAnsi="仿宋" w:eastAsia="仿宋" w:cs="仿宋"/>
                      <w:spacing w:val="4"/>
                      <w:sz w:val="20"/>
                      <w:szCs w:val="20"/>
                    </w:rPr>
                    <w:t>王楠楠</w:t>
                  </w:r>
                </w:p>
              </w:tc>
            </w:tr>
            <w:tr w14:paraId="5F5C37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3" w:hRule="atLeast"/>
              </w:trPr>
              <w:tc>
                <w:tcPr>
                  <w:tcW w:w="486" w:type="dxa"/>
                  <w:vMerge w:val="continue"/>
                  <w:vAlign w:val="center"/>
                </w:tcPr>
                <w:p w14:paraId="52FDE37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仿宋" w:hAnsi="仿宋" w:eastAsia="仿宋" w:cs="仿宋"/>
                      <w:sz w:val="20"/>
                      <w:szCs w:val="20"/>
                      <w:lang w:val="en-US" w:eastAsia="zh-CN"/>
                    </w:rPr>
                  </w:pPr>
                </w:p>
              </w:tc>
              <w:tc>
                <w:tcPr>
                  <w:tcW w:w="1030" w:type="dxa"/>
                  <w:vAlign w:val="center"/>
                </w:tcPr>
                <w:p w14:paraId="63C2B2CA">
                  <w:pPr>
                    <w:keepNext w:val="0"/>
                    <w:keepLines w:val="0"/>
                    <w:pageBreakBefore w:val="0"/>
                    <w:widowControl/>
                    <w:kinsoku w:val="0"/>
                    <w:wordWrap/>
                    <w:overflowPunct/>
                    <w:topLinePunct w:val="0"/>
                    <w:autoSpaceDE w:val="0"/>
                    <w:autoSpaceDN w:val="0"/>
                    <w:bidi w:val="0"/>
                    <w:adjustRightInd w:val="0"/>
                    <w:snapToGrid w:val="0"/>
                    <w:spacing w:before="65" w:line="240" w:lineRule="exact"/>
                    <w:jc w:val="center"/>
                    <w:textAlignment w:val="baseline"/>
                    <w:rPr>
                      <w:rFonts w:hint="default" w:ascii="仿宋" w:hAnsi="仿宋" w:eastAsia="仿宋" w:cs="仿宋"/>
                      <w:spacing w:val="2"/>
                      <w:position w:val="4"/>
                      <w:sz w:val="20"/>
                      <w:szCs w:val="20"/>
                      <w:lang w:val="en-US" w:eastAsia="zh-CN"/>
                    </w:rPr>
                  </w:pPr>
                  <w:r>
                    <w:rPr>
                      <w:rFonts w:hint="eastAsia" w:ascii="仿宋" w:hAnsi="仿宋" w:eastAsia="仿宋" w:cs="仿宋"/>
                      <w:spacing w:val="2"/>
                      <w:position w:val="4"/>
                      <w:sz w:val="20"/>
                      <w:szCs w:val="20"/>
                      <w:lang w:val="en-US" w:eastAsia="zh-CN"/>
                    </w:rPr>
                    <w:t>非甲烷总烃</w:t>
                  </w:r>
                </w:p>
              </w:tc>
              <w:tc>
                <w:tcPr>
                  <w:tcW w:w="2828" w:type="dxa"/>
                  <w:vAlign w:val="center"/>
                </w:tcPr>
                <w:p w14:paraId="4BA553D1">
                  <w:pPr>
                    <w:spacing w:before="31" w:line="221" w:lineRule="auto"/>
                    <w:ind w:left="40"/>
                    <w:jc w:val="center"/>
                    <w:rPr>
                      <w:rFonts w:hint="eastAsia" w:ascii="Times New Roman" w:hAnsi="Times New Roman" w:eastAsia="仿宋" w:cs="Times New Roman"/>
                      <w:spacing w:val="14"/>
                      <w:sz w:val="20"/>
                      <w:szCs w:val="20"/>
                      <w:lang w:eastAsia="zh-CN"/>
                    </w:rPr>
                  </w:pPr>
                  <w:r>
                    <w:rPr>
                      <w:rFonts w:hint="default" w:ascii="Times New Roman" w:hAnsi="Times New Roman" w:eastAsia="仿宋" w:cs="Times New Roman"/>
                      <w:spacing w:val="14"/>
                      <w:sz w:val="20"/>
                      <w:szCs w:val="20"/>
                    </w:rPr>
                    <w:t>HJ 604-2017</w:t>
                  </w:r>
                  <w:r>
                    <w:rPr>
                      <w:rFonts w:hint="eastAsia" w:ascii="Times New Roman" w:hAnsi="Times New Roman" w:eastAsia="仿宋" w:cs="Times New Roman"/>
                      <w:spacing w:val="14"/>
                      <w:sz w:val="20"/>
                      <w:szCs w:val="20"/>
                      <w:lang w:eastAsia="zh-CN"/>
                    </w:rPr>
                    <w:t>《环境空气 总烃、甲烷和非甲烷总烃的测定 直接进样-气相色谱法》</w:t>
                  </w:r>
                </w:p>
              </w:tc>
              <w:tc>
                <w:tcPr>
                  <w:tcW w:w="1676" w:type="dxa"/>
                  <w:vAlign w:val="center"/>
                </w:tcPr>
                <w:p w14:paraId="78EADF40">
                  <w:pPr>
                    <w:keepNext w:val="0"/>
                    <w:keepLines w:val="0"/>
                    <w:pageBreakBefore w:val="0"/>
                    <w:widowControl w:val="0"/>
                    <w:tabs>
                      <w:tab w:val="left" w:pos="5220"/>
                    </w:tabs>
                    <w:kinsoku/>
                    <w:wordWrap/>
                    <w:overflowPunct/>
                    <w:topLinePunct w:val="0"/>
                    <w:autoSpaceDE/>
                    <w:autoSpaceDN/>
                    <w:bidi w:val="0"/>
                    <w:adjustRightInd/>
                    <w:snapToGrid/>
                    <w:spacing w:line="220" w:lineRule="exact"/>
                    <w:ind w:left="0" w:leftChars="0" w:right="0" w:rightChars="0" w:firstLine="0" w:firstLineChars="0"/>
                    <w:jc w:val="center"/>
                    <w:textAlignment w:val="auto"/>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kern w:val="2"/>
                      <w:sz w:val="21"/>
                      <w:szCs w:val="21"/>
                      <w:lang w:val="en-US" w:eastAsia="zh-CN" w:bidi="ar-SA"/>
                    </w:rPr>
                    <w:t>气相色谱仪</w:t>
                  </w:r>
                  <w:r>
                    <w:rPr>
                      <w:rFonts w:hint="eastAsia" w:ascii="Times New Roman" w:hAnsi="Times New Roman" w:eastAsia="仿宋" w:cs="Times New Roman"/>
                      <w:kern w:val="2"/>
                      <w:sz w:val="21"/>
                      <w:szCs w:val="21"/>
                      <w:lang w:val="en-US" w:eastAsia="zh-CN" w:bidi="ar-SA"/>
                    </w:rPr>
                    <w:t xml:space="preserve">          </w:t>
                  </w:r>
                  <w:r>
                    <w:rPr>
                      <w:rFonts w:hint="default" w:ascii="Times New Roman" w:hAnsi="Times New Roman" w:eastAsia="仿宋" w:cs="Times New Roman"/>
                      <w:kern w:val="2"/>
                      <w:sz w:val="21"/>
                      <w:szCs w:val="21"/>
                      <w:lang w:val="en-US" w:eastAsia="zh-CN" w:bidi="ar-SA"/>
                    </w:rPr>
                    <w:t>GC-7890</w:t>
                  </w:r>
                </w:p>
                <w:p w14:paraId="564725C2">
                  <w:pPr>
                    <w:spacing w:before="55" w:line="195" w:lineRule="auto"/>
                    <w:jc w:val="center"/>
                    <w:rPr>
                      <w:rFonts w:ascii="Times New Roman" w:hAnsi="Times New Roman" w:eastAsia="Times New Roman" w:cs="Times New Roman"/>
                      <w:sz w:val="20"/>
                      <w:szCs w:val="20"/>
                    </w:rPr>
                  </w:pPr>
                  <w:r>
                    <w:rPr>
                      <w:rFonts w:hint="default" w:ascii="Times New Roman" w:hAnsi="Times New Roman" w:eastAsia="仿宋" w:cs="Times New Roman"/>
                      <w:kern w:val="2"/>
                      <w:sz w:val="21"/>
                      <w:szCs w:val="21"/>
                      <w:lang w:val="en-US" w:eastAsia="zh-CN" w:bidi="ar-SA"/>
                    </w:rPr>
                    <w:t>CS-SY-003</w:t>
                  </w:r>
                </w:p>
              </w:tc>
              <w:tc>
                <w:tcPr>
                  <w:tcW w:w="1549" w:type="dxa"/>
                  <w:vAlign w:val="center"/>
                </w:tcPr>
                <w:p w14:paraId="54F78D91">
                  <w:pPr>
                    <w:keepNext w:val="0"/>
                    <w:keepLines w:val="0"/>
                    <w:pageBreakBefore w:val="0"/>
                    <w:widowControl/>
                    <w:kinsoku w:val="0"/>
                    <w:wordWrap/>
                    <w:overflowPunct/>
                    <w:topLinePunct w:val="0"/>
                    <w:autoSpaceDE w:val="0"/>
                    <w:autoSpaceDN w:val="0"/>
                    <w:bidi w:val="0"/>
                    <w:adjustRightInd w:val="0"/>
                    <w:snapToGrid w:val="0"/>
                    <w:spacing w:line="240" w:lineRule="exact"/>
                    <w:ind w:left="0"/>
                    <w:jc w:val="center"/>
                    <w:textAlignment w:val="baseline"/>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202</w:t>
                  </w:r>
                  <w:r>
                    <w:rPr>
                      <w:rFonts w:hint="eastAsia" w:ascii="Times New Roman" w:hAnsi="Times New Roman" w:eastAsia="宋体" w:cs="Times New Roman"/>
                      <w:spacing w:val="-2"/>
                      <w:sz w:val="20"/>
                      <w:szCs w:val="20"/>
                      <w:lang w:val="en-US" w:eastAsia="zh-CN"/>
                    </w:rPr>
                    <w:t>5</w:t>
                  </w:r>
                  <w:r>
                    <w:rPr>
                      <w:rFonts w:ascii="Times New Roman" w:hAnsi="Times New Roman" w:eastAsia="Times New Roman" w:cs="Times New Roman"/>
                      <w:spacing w:val="-2"/>
                      <w:sz w:val="20"/>
                      <w:szCs w:val="20"/>
                    </w:rPr>
                    <w:t>. 1</w:t>
                  </w:r>
                  <w:r>
                    <w:rPr>
                      <w:rFonts w:ascii="Times New Roman" w:hAnsi="Times New Roman" w:eastAsia="Times New Roman" w:cs="Times New Roman"/>
                      <w:spacing w:val="-1"/>
                      <w:sz w:val="20"/>
                      <w:szCs w:val="20"/>
                    </w:rPr>
                    <w:t>1.0</w:t>
                  </w:r>
                  <w:r>
                    <w:rPr>
                      <w:rFonts w:hint="eastAsia" w:ascii="Times New Roman" w:hAnsi="Times New Roman" w:eastAsia="宋体" w:cs="Times New Roman"/>
                      <w:spacing w:val="-1"/>
                      <w:sz w:val="20"/>
                      <w:szCs w:val="20"/>
                      <w:lang w:val="en-US" w:eastAsia="zh-CN"/>
                    </w:rPr>
                    <w:t>1</w:t>
                  </w:r>
                </w:p>
              </w:tc>
              <w:tc>
                <w:tcPr>
                  <w:tcW w:w="723" w:type="dxa"/>
                  <w:vAlign w:val="center"/>
                </w:tcPr>
                <w:p w14:paraId="6609EAA6">
                  <w:pPr>
                    <w:widowControl w:val="0"/>
                    <w:wordWrap/>
                    <w:adjustRightInd/>
                    <w:snapToGrid/>
                    <w:spacing w:line="240" w:lineRule="auto"/>
                    <w:ind w:left="-105" w:leftChars="-50" w:right="-136" w:rightChars="-65"/>
                    <w:jc w:val="center"/>
                    <w:textAlignment w:val="auto"/>
                    <w:rPr>
                      <w:rFonts w:hint="eastAsia" w:ascii="Times New Roman" w:hAnsi="Times New Roman" w:eastAsia="仿宋" w:cs="Times New Roman"/>
                      <w:color w:val="000000"/>
                      <w:sz w:val="21"/>
                      <w:szCs w:val="21"/>
                      <w:lang w:val="en-US" w:eastAsia="zh-CN"/>
                    </w:rPr>
                  </w:pPr>
                  <w:r>
                    <w:rPr>
                      <w:rFonts w:hint="eastAsia" w:ascii="Times New Roman" w:hAnsi="Times New Roman" w:eastAsia="仿宋" w:cs="Times New Roman"/>
                      <w:color w:val="000000"/>
                      <w:sz w:val="21"/>
                      <w:szCs w:val="21"/>
                      <w:lang w:val="en-US" w:eastAsia="zh-CN"/>
                    </w:rPr>
                    <w:t>0.07</w:t>
                  </w:r>
                </w:p>
                <w:p w14:paraId="37AFF6A2">
                  <w:pPr>
                    <w:keepNext w:val="0"/>
                    <w:keepLines w:val="0"/>
                    <w:pageBreakBefore w:val="0"/>
                    <w:widowControl/>
                    <w:kinsoku w:val="0"/>
                    <w:wordWrap/>
                    <w:overflowPunct/>
                    <w:topLinePunct w:val="0"/>
                    <w:autoSpaceDE w:val="0"/>
                    <w:autoSpaceDN w:val="0"/>
                    <w:bidi w:val="0"/>
                    <w:adjustRightInd w:val="0"/>
                    <w:snapToGrid w:val="0"/>
                    <w:spacing w:line="240" w:lineRule="exact"/>
                    <w:ind w:left="0"/>
                    <w:jc w:val="center"/>
                    <w:textAlignment w:val="baseline"/>
                    <w:rPr>
                      <w:rFonts w:hint="eastAsia" w:ascii="Times New Roman" w:hAnsi="Times New Roman" w:eastAsia="宋体" w:cs="Times New Roman"/>
                      <w:spacing w:val="-2"/>
                      <w:sz w:val="20"/>
                      <w:szCs w:val="20"/>
                      <w:lang w:val="en-US" w:eastAsia="zh-CN"/>
                    </w:rPr>
                  </w:pPr>
                  <w:r>
                    <w:rPr>
                      <w:rFonts w:hint="default" w:ascii="Times New Roman" w:hAnsi="Times New Roman" w:eastAsia="仿宋" w:cs="Times New Roman"/>
                      <w:color w:val="000000"/>
                      <w:sz w:val="21"/>
                      <w:szCs w:val="21"/>
                      <w:lang w:val="en-US" w:eastAsia="zh-CN"/>
                    </w:rPr>
                    <w:t>mg/m³</w:t>
                  </w:r>
                </w:p>
              </w:tc>
              <w:tc>
                <w:tcPr>
                  <w:tcW w:w="705" w:type="dxa"/>
                  <w:vAlign w:val="center"/>
                </w:tcPr>
                <w:p w14:paraId="76EA69F2">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firstLine="0"/>
                    <w:jc w:val="center"/>
                    <w:textAlignment w:val="baseline"/>
                    <w:rPr>
                      <w:rFonts w:ascii="仿宋" w:hAnsi="仿宋" w:eastAsia="仿宋" w:cs="仿宋"/>
                      <w:spacing w:val="4"/>
                      <w:sz w:val="20"/>
                      <w:szCs w:val="20"/>
                    </w:rPr>
                  </w:pPr>
                  <w:r>
                    <w:rPr>
                      <w:rFonts w:hint="eastAsia" w:ascii="仿宋" w:hAnsi="仿宋" w:eastAsia="仿宋" w:cs="仿宋"/>
                      <w:sz w:val="20"/>
                      <w:szCs w:val="20"/>
                      <w:lang w:val="en-US" w:eastAsia="zh-CN"/>
                    </w:rPr>
                    <w:t>王华通</w:t>
                  </w:r>
                </w:p>
              </w:tc>
            </w:tr>
            <w:tr w14:paraId="62D09B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6" w:hRule="atLeast"/>
              </w:trPr>
              <w:tc>
                <w:tcPr>
                  <w:tcW w:w="486" w:type="dxa"/>
                  <w:vAlign w:val="center"/>
                </w:tcPr>
                <w:p w14:paraId="68A088C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仿宋" w:hAnsi="仿宋" w:eastAsia="仿宋" w:cs="仿宋"/>
                      <w:sz w:val="20"/>
                      <w:szCs w:val="20"/>
                      <w:lang w:val="en-US" w:eastAsia="zh-CN"/>
                    </w:rPr>
                  </w:pPr>
                  <w:r>
                    <w:rPr>
                      <w:rFonts w:hint="eastAsia" w:ascii="仿宋" w:hAnsi="仿宋" w:eastAsia="仿宋" w:cs="仿宋"/>
                      <w:sz w:val="20"/>
                      <w:szCs w:val="20"/>
                      <w:lang w:val="en-US" w:eastAsia="zh-CN"/>
                    </w:rPr>
                    <w:t>噪声</w:t>
                  </w:r>
                </w:p>
              </w:tc>
              <w:tc>
                <w:tcPr>
                  <w:tcW w:w="1030" w:type="dxa"/>
                  <w:vAlign w:val="center"/>
                </w:tcPr>
                <w:p w14:paraId="436717EE">
                  <w:pPr>
                    <w:keepNext w:val="0"/>
                    <w:keepLines w:val="0"/>
                    <w:pageBreakBefore w:val="0"/>
                    <w:widowControl w:val="0"/>
                    <w:kinsoku/>
                    <w:wordWrap/>
                    <w:overflowPunct/>
                    <w:topLinePunct w:val="0"/>
                    <w:autoSpaceDE/>
                    <w:autoSpaceDN/>
                    <w:bidi w:val="0"/>
                    <w:adjustRightInd/>
                    <w:snapToGrid/>
                    <w:spacing w:line="240" w:lineRule="exact"/>
                    <w:ind w:left="25" w:leftChars="12" w:right="63" w:rightChars="30" w:firstLine="33" w:firstLineChars="16"/>
                    <w:jc w:val="center"/>
                    <w:textAlignment w:val="auto"/>
                    <w:rPr>
                      <w:rFonts w:hint="eastAsia" w:ascii="仿宋" w:hAnsi="仿宋" w:eastAsia="仿宋" w:cs="仿宋"/>
                      <w:spacing w:val="2"/>
                      <w:position w:val="4"/>
                      <w:sz w:val="20"/>
                      <w:szCs w:val="20"/>
                      <w:lang w:val="en-US" w:eastAsia="zh-CN"/>
                    </w:rPr>
                  </w:pPr>
                  <w:r>
                    <w:rPr>
                      <w:rFonts w:hint="default" w:ascii="Times New Roman" w:hAnsi="Times New Roman" w:eastAsia="仿宋" w:cs="Times New Roman"/>
                      <w:color w:val="000000"/>
                      <w:sz w:val="21"/>
                      <w:szCs w:val="21"/>
                      <w:highlight w:val="none"/>
                      <w:lang w:eastAsia="zh-CN"/>
                    </w:rPr>
                    <w:t>厂界环境噪声</w:t>
                  </w:r>
                </w:p>
              </w:tc>
              <w:tc>
                <w:tcPr>
                  <w:tcW w:w="2828" w:type="dxa"/>
                  <w:vAlign w:val="center"/>
                </w:tcPr>
                <w:p w14:paraId="08635B8F">
                  <w:pPr>
                    <w:keepNext w:val="0"/>
                    <w:keepLines w:val="0"/>
                    <w:pageBreakBefore w:val="0"/>
                    <w:widowControl w:val="0"/>
                    <w:tabs>
                      <w:tab w:val="left" w:pos="5220"/>
                    </w:tabs>
                    <w:kinsoku/>
                    <w:wordWrap/>
                    <w:overflowPunct/>
                    <w:topLinePunct w:val="0"/>
                    <w:autoSpaceDE/>
                    <w:autoSpaceDN/>
                    <w:bidi w:val="0"/>
                    <w:adjustRightInd/>
                    <w:snapToGrid/>
                    <w:spacing w:line="240" w:lineRule="exact"/>
                    <w:ind w:left="1" w:leftChars="0"/>
                    <w:jc w:val="center"/>
                    <w:textAlignment w:val="auto"/>
                    <w:rPr>
                      <w:rFonts w:hint="default" w:ascii="Times New Roman" w:hAnsi="Times New Roman" w:eastAsia="仿宋" w:cs="Times New Roman"/>
                      <w:spacing w:val="14"/>
                      <w:sz w:val="20"/>
                      <w:szCs w:val="20"/>
                    </w:rPr>
                  </w:pPr>
                  <w:r>
                    <w:rPr>
                      <w:rFonts w:hint="default" w:ascii="Times New Roman" w:hAnsi="Times New Roman" w:eastAsia="仿宋" w:cs="Times New Roman"/>
                      <w:color w:val="000000"/>
                      <w:sz w:val="21"/>
                      <w:szCs w:val="21"/>
                      <w:highlight w:val="none"/>
                      <w:lang w:val="en-US" w:eastAsia="zh-CN"/>
                    </w:rPr>
                    <w:t>GB 12348-2008《工业企业厂界环境噪声排放标准》</w:t>
                  </w:r>
                </w:p>
              </w:tc>
              <w:tc>
                <w:tcPr>
                  <w:tcW w:w="1676" w:type="dxa"/>
                  <w:vAlign w:val="center"/>
                </w:tcPr>
                <w:p w14:paraId="73568F4E">
                  <w:pPr>
                    <w:keepNext w:val="0"/>
                    <w:keepLines w:val="0"/>
                    <w:pageBreakBefore w:val="0"/>
                    <w:widowControl w:val="0"/>
                    <w:tabs>
                      <w:tab w:val="left" w:pos="5220"/>
                    </w:tabs>
                    <w:kinsoku/>
                    <w:wordWrap/>
                    <w:overflowPunct/>
                    <w:topLinePunct w:val="0"/>
                    <w:autoSpaceDE/>
                    <w:autoSpaceDN/>
                    <w:bidi w:val="0"/>
                    <w:adjustRightInd/>
                    <w:snapToGrid/>
                    <w:spacing w:line="240" w:lineRule="exact"/>
                    <w:ind w:left="1" w:leftChars="0"/>
                    <w:jc w:val="center"/>
                    <w:textAlignment w:val="auto"/>
                    <w:rPr>
                      <w:rFonts w:hint="default" w:ascii="Times New Roman" w:hAnsi="Times New Roman" w:eastAsia="仿宋" w:cs="Times New Roman"/>
                      <w:color w:val="000000"/>
                      <w:sz w:val="21"/>
                      <w:szCs w:val="21"/>
                      <w:highlight w:val="none"/>
                      <w:lang w:val="en-US" w:eastAsia="zh-CN"/>
                    </w:rPr>
                  </w:pPr>
                  <w:r>
                    <w:rPr>
                      <w:rFonts w:hint="default" w:ascii="Times New Roman" w:hAnsi="Times New Roman" w:eastAsia="仿宋" w:cs="Times New Roman"/>
                      <w:color w:val="000000"/>
                      <w:sz w:val="21"/>
                      <w:szCs w:val="21"/>
                      <w:highlight w:val="none"/>
                      <w:lang w:val="en-US" w:eastAsia="zh-CN"/>
                    </w:rPr>
                    <w:t>多功能声级计AWA6228</w:t>
                  </w:r>
                </w:p>
                <w:p w14:paraId="1A61A15A">
                  <w:pPr>
                    <w:keepNext w:val="0"/>
                    <w:keepLines w:val="0"/>
                    <w:pageBreakBefore w:val="0"/>
                    <w:widowControl w:val="0"/>
                    <w:tabs>
                      <w:tab w:val="left" w:pos="5220"/>
                    </w:tabs>
                    <w:kinsoku/>
                    <w:wordWrap/>
                    <w:overflowPunct/>
                    <w:topLinePunct w:val="0"/>
                    <w:autoSpaceDE/>
                    <w:autoSpaceDN/>
                    <w:bidi w:val="0"/>
                    <w:adjustRightInd/>
                    <w:snapToGrid/>
                    <w:spacing w:line="240" w:lineRule="exact"/>
                    <w:ind w:left="1" w:leftChars="0"/>
                    <w:jc w:val="center"/>
                    <w:textAlignment w:val="auto"/>
                    <w:rPr>
                      <w:rFonts w:ascii="Times New Roman" w:hAnsi="Times New Roman" w:eastAsia="Times New Roman" w:cs="Times New Roman"/>
                      <w:sz w:val="20"/>
                      <w:szCs w:val="20"/>
                    </w:rPr>
                  </w:pPr>
                  <w:r>
                    <w:rPr>
                      <w:rFonts w:hint="eastAsia" w:ascii="Times New Roman" w:hAnsi="Times New Roman" w:eastAsia="仿宋" w:cs="Times New Roman"/>
                      <w:color w:val="000000"/>
                      <w:sz w:val="21"/>
                      <w:szCs w:val="21"/>
                      <w:highlight w:val="none"/>
                      <w:lang w:val="en-US" w:eastAsia="zh-CN"/>
                    </w:rPr>
                    <w:t>C</w:t>
                  </w:r>
                  <w:r>
                    <w:rPr>
                      <w:rFonts w:hint="default" w:ascii="Times New Roman" w:hAnsi="Times New Roman" w:eastAsia="仿宋" w:cs="Times New Roman"/>
                      <w:color w:val="000000"/>
                      <w:sz w:val="21"/>
                      <w:szCs w:val="21"/>
                      <w:highlight w:val="none"/>
                      <w:lang w:val="en-US" w:eastAsia="zh-CN"/>
                    </w:rPr>
                    <w:t>S-XH-007</w:t>
                  </w:r>
                </w:p>
              </w:tc>
              <w:tc>
                <w:tcPr>
                  <w:tcW w:w="1549" w:type="dxa"/>
                  <w:vAlign w:val="center"/>
                </w:tcPr>
                <w:p w14:paraId="323C20F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Times New Roman" w:hAnsi="Times New Roman" w:eastAsia="Times New Roman" w:cs="Times New Roman"/>
                      <w:spacing w:val="-2"/>
                      <w:sz w:val="20"/>
                      <w:szCs w:val="20"/>
                    </w:rPr>
                  </w:pPr>
                  <w:r>
                    <w:rPr>
                      <w:rFonts w:ascii="Times New Roman" w:hAnsi="Times New Roman" w:eastAsia="Times New Roman" w:cs="Times New Roman"/>
                      <w:spacing w:val="-2"/>
                      <w:sz w:val="20"/>
                      <w:szCs w:val="20"/>
                    </w:rPr>
                    <w:t>202</w:t>
                  </w:r>
                  <w:r>
                    <w:rPr>
                      <w:rFonts w:hint="eastAsia" w:ascii="Times New Roman" w:hAnsi="Times New Roman" w:eastAsia="宋体" w:cs="Times New Roman"/>
                      <w:spacing w:val="-2"/>
                      <w:sz w:val="20"/>
                      <w:szCs w:val="20"/>
                      <w:lang w:val="en-US" w:eastAsia="zh-CN"/>
                    </w:rPr>
                    <w:t>5</w:t>
                  </w:r>
                  <w:r>
                    <w:rPr>
                      <w:rFonts w:ascii="Times New Roman" w:hAnsi="Times New Roman" w:eastAsia="Times New Roman" w:cs="Times New Roman"/>
                      <w:spacing w:val="-2"/>
                      <w:sz w:val="20"/>
                      <w:szCs w:val="20"/>
                    </w:rPr>
                    <w:t>. 1</w:t>
                  </w:r>
                  <w:r>
                    <w:rPr>
                      <w:rFonts w:ascii="Times New Roman" w:hAnsi="Times New Roman" w:eastAsia="Times New Roman" w:cs="Times New Roman"/>
                      <w:spacing w:val="-1"/>
                      <w:sz w:val="20"/>
                      <w:szCs w:val="20"/>
                    </w:rPr>
                    <w:t>1.0</w:t>
                  </w:r>
                  <w:r>
                    <w:rPr>
                      <w:rFonts w:hint="eastAsia" w:ascii="Times New Roman" w:hAnsi="Times New Roman" w:eastAsia="宋体" w:cs="Times New Roman"/>
                      <w:spacing w:val="-1"/>
                      <w:sz w:val="20"/>
                      <w:szCs w:val="20"/>
                      <w:lang w:val="en-US" w:eastAsia="zh-CN"/>
                    </w:rPr>
                    <w:t>1</w:t>
                  </w:r>
                </w:p>
              </w:tc>
              <w:tc>
                <w:tcPr>
                  <w:tcW w:w="723" w:type="dxa"/>
                  <w:vAlign w:val="center"/>
                </w:tcPr>
                <w:p w14:paraId="6012DA30">
                  <w:pPr>
                    <w:keepNext w:val="0"/>
                    <w:keepLines w:val="0"/>
                    <w:pageBreakBefore w:val="0"/>
                    <w:widowControl w:val="0"/>
                    <w:kinsoku/>
                    <w:wordWrap/>
                    <w:overflowPunct/>
                    <w:topLinePunct w:val="0"/>
                    <w:autoSpaceDE/>
                    <w:autoSpaceDN/>
                    <w:bidi w:val="0"/>
                    <w:adjustRightInd/>
                    <w:snapToGrid/>
                    <w:spacing w:line="240" w:lineRule="exact"/>
                    <w:ind w:left="-105" w:leftChars="-50" w:right="-136" w:rightChars="-65"/>
                    <w:jc w:val="center"/>
                    <w:textAlignment w:val="auto"/>
                    <w:rPr>
                      <w:rFonts w:hint="eastAsia" w:ascii="Times New Roman" w:hAnsi="Times New Roman" w:eastAsia="宋体" w:cs="Times New Roman"/>
                      <w:spacing w:val="-2"/>
                      <w:sz w:val="20"/>
                      <w:szCs w:val="20"/>
                      <w:lang w:val="en-US" w:eastAsia="zh-CN"/>
                    </w:rPr>
                  </w:pPr>
                  <w:r>
                    <w:rPr>
                      <w:rFonts w:hint="default" w:ascii="Times New Roman" w:hAnsi="Times New Roman" w:eastAsia="仿宋" w:cs="Times New Roman"/>
                      <w:color w:val="000000"/>
                      <w:sz w:val="21"/>
                      <w:szCs w:val="21"/>
                      <w:highlight w:val="none"/>
                      <w:lang w:val="en-US" w:eastAsia="zh-CN"/>
                    </w:rPr>
                    <w:t>--</w:t>
                  </w:r>
                </w:p>
              </w:tc>
              <w:tc>
                <w:tcPr>
                  <w:tcW w:w="705" w:type="dxa"/>
                  <w:vAlign w:val="center"/>
                </w:tcPr>
                <w:p w14:paraId="27BD3AE3">
                  <w:pPr>
                    <w:keepNext w:val="0"/>
                    <w:keepLines w:val="0"/>
                    <w:pageBreakBefore w:val="0"/>
                    <w:widowControl/>
                    <w:kinsoku w:val="0"/>
                    <w:wordWrap/>
                    <w:overflowPunct/>
                    <w:topLinePunct w:val="0"/>
                    <w:autoSpaceDE w:val="0"/>
                    <w:autoSpaceDN w:val="0"/>
                    <w:bidi w:val="0"/>
                    <w:adjustRightInd w:val="0"/>
                    <w:snapToGrid w:val="0"/>
                    <w:spacing w:line="240" w:lineRule="exact"/>
                    <w:ind w:left="0" w:right="0" w:firstLine="0"/>
                    <w:jc w:val="center"/>
                    <w:textAlignment w:val="baseline"/>
                    <w:rPr>
                      <w:rFonts w:ascii="仿宋" w:hAnsi="仿宋" w:eastAsia="仿宋" w:cs="仿宋"/>
                      <w:spacing w:val="4"/>
                      <w:sz w:val="20"/>
                      <w:szCs w:val="20"/>
                    </w:rPr>
                  </w:pPr>
                  <w:r>
                    <w:rPr>
                      <w:rFonts w:hint="eastAsia" w:ascii="仿宋" w:hAnsi="仿宋" w:eastAsia="仿宋" w:cs="仿宋"/>
                      <w:spacing w:val="4"/>
                      <w:sz w:val="20"/>
                      <w:szCs w:val="20"/>
                    </w:rPr>
                    <w:t>刘</w:t>
                  </w:r>
                  <w:r>
                    <w:rPr>
                      <w:rFonts w:hint="eastAsia" w:ascii="仿宋" w:hAnsi="仿宋" w:eastAsia="仿宋" w:cs="仿宋"/>
                      <w:spacing w:val="4"/>
                      <w:sz w:val="20"/>
                      <w:szCs w:val="20"/>
                      <w:lang w:val="en-US" w:eastAsia="zh-CN"/>
                    </w:rPr>
                    <w:t xml:space="preserve">  </w:t>
                  </w:r>
                  <w:r>
                    <w:rPr>
                      <w:rFonts w:hint="eastAsia" w:ascii="仿宋" w:hAnsi="仿宋" w:eastAsia="仿宋" w:cs="仿宋"/>
                      <w:spacing w:val="4"/>
                      <w:sz w:val="20"/>
                      <w:szCs w:val="20"/>
                    </w:rPr>
                    <w:t>翔吴</w:t>
                  </w:r>
                  <w:r>
                    <w:rPr>
                      <w:rFonts w:hint="eastAsia" w:ascii="仿宋" w:hAnsi="仿宋" w:eastAsia="仿宋" w:cs="仿宋"/>
                      <w:spacing w:val="4"/>
                      <w:sz w:val="20"/>
                      <w:szCs w:val="20"/>
                      <w:lang w:val="en-US" w:eastAsia="zh-CN"/>
                    </w:rPr>
                    <w:t xml:space="preserve">  </w:t>
                  </w:r>
                  <w:r>
                    <w:rPr>
                      <w:rFonts w:hint="eastAsia" w:ascii="仿宋" w:hAnsi="仿宋" w:eastAsia="仿宋" w:cs="仿宋"/>
                      <w:spacing w:val="4"/>
                      <w:sz w:val="20"/>
                      <w:szCs w:val="20"/>
                    </w:rPr>
                    <w:t>震</w:t>
                  </w:r>
                </w:p>
              </w:tc>
            </w:tr>
          </w:tbl>
          <w:p w14:paraId="08B36FB2">
            <w:pPr>
              <w:rPr>
                <w:rFonts w:hint="default" w:ascii="Times New Roman" w:hAnsi="Times New Roman" w:eastAsia="仿宋" w:cs="Times New Roman"/>
                <w:b/>
                <w:color w:val="000000"/>
                <w:sz w:val="24"/>
              </w:rPr>
            </w:pPr>
          </w:p>
          <w:p w14:paraId="0B7A3BCE">
            <w:pPr>
              <w:jc w:val="center"/>
              <w:rPr>
                <w:rFonts w:hint="default" w:ascii="Times New Roman" w:hAnsi="Times New Roman" w:eastAsia="仿宋" w:cs="Times New Roman"/>
                <w:b/>
                <w:color w:val="000000"/>
                <w:sz w:val="24"/>
              </w:rPr>
            </w:pPr>
            <w:r>
              <w:rPr>
                <w:rFonts w:hint="default" w:ascii="Times New Roman" w:hAnsi="Times New Roman" w:eastAsiaTheme="minorEastAsia"/>
                <w:b/>
                <w:sz w:val="24"/>
              </w:rPr>
              <w:t>表</w:t>
            </w:r>
            <w:r>
              <w:rPr>
                <w:rFonts w:hint="eastAsia" w:ascii="Times New Roman" w:hAnsi="Times New Roman" w:eastAsiaTheme="minorEastAsia"/>
                <w:b/>
                <w:sz w:val="24"/>
                <w:lang w:val="en-US" w:eastAsia="zh-CN"/>
              </w:rPr>
              <w:t xml:space="preserve">5-2 </w:t>
            </w:r>
            <w:r>
              <w:rPr>
                <w:rFonts w:hint="default" w:ascii="Times New Roman" w:hAnsi="Times New Roman" w:eastAsiaTheme="minorEastAsia"/>
                <w:b/>
                <w:sz w:val="24"/>
              </w:rPr>
              <w:t>声级计校准情况表    单位：dB(A)</w:t>
            </w:r>
          </w:p>
          <w:tbl>
            <w:tblPr>
              <w:tblStyle w:val="22"/>
              <w:tblW w:w="9020"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791"/>
              <w:gridCol w:w="845"/>
              <w:gridCol w:w="1394"/>
              <w:gridCol w:w="1425"/>
              <w:gridCol w:w="771"/>
              <w:gridCol w:w="803"/>
              <w:gridCol w:w="1234"/>
              <w:gridCol w:w="757"/>
            </w:tblGrid>
            <w:tr w14:paraId="50EABF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22" w:hRule="exact"/>
                <w:jc w:val="center"/>
              </w:trPr>
              <w:tc>
                <w:tcPr>
                  <w:tcW w:w="2636" w:type="dxa"/>
                  <w:gridSpan w:val="2"/>
                  <w:tcBorders>
                    <w:left w:val="single" w:color="auto" w:sz="4" w:space="0"/>
                  </w:tcBorders>
                  <w:vAlign w:val="center"/>
                </w:tcPr>
                <w:p w14:paraId="6D6AFC66">
                  <w:pPr>
                    <w:jc w:val="center"/>
                    <w:rPr>
                      <w:rFonts w:hint="eastAsia" w:eastAsia="仿宋"/>
                      <w:color w:val="000000"/>
                      <w:sz w:val="21"/>
                      <w:szCs w:val="21"/>
                      <w:lang w:eastAsia="zh-CN"/>
                    </w:rPr>
                  </w:pPr>
                  <w:r>
                    <w:rPr>
                      <w:rFonts w:hint="eastAsia" w:eastAsia="仿宋"/>
                      <w:color w:val="000000"/>
                      <w:sz w:val="21"/>
                      <w:szCs w:val="21"/>
                      <w:lang w:eastAsia="zh-CN"/>
                    </w:rPr>
                    <w:t>校准时间</w:t>
                  </w:r>
                </w:p>
              </w:tc>
              <w:tc>
                <w:tcPr>
                  <w:tcW w:w="1394" w:type="dxa"/>
                  <w:tcBorders>
                    <w:left w:val="single" w:color="auto" w:sz="4" w:space="0"/>
                  </w:tcBorders>
                  <w:vAlign w:val="center"/>
                </w:tcPr>
                <w:p w14:paraId="552A0E7F">
                  <w:pPr>
                    <w:jc w:val="center"/>
                    <w:rPr>
                      <w:rFonts w:eastAsia="仿宋"/>
                      <w:color w:val="000000"/>
                      <w:sz w:val="21"/>
                      <w:szCs w:val="21"/>
                    </w:rPr>
                  </w:pPr>
                  <w:r>
                    <w:rPr>
                      <w:rFonts w:hAnsi="仿宋" w:eastAsia="仿宋"/>
                      <w:color w:val="000000"/>
                      <w:sz w:val="21"/>
                      <w:szCs w:val="21"/>
                    </w:rPr>
                    <w:t>声级计</w:t>
                  </w:r>
                </w:p>
              </w:tc>
              <w:tc>
                <w:tcPr>
                  <w:tcW w:w="1425" w:type="dxa"/>
                  <w:vAlign w:val="center"/>
                </w:tcPr>
                <w:p w14:paraId="14DE0FE9">
                  <w:pPr>
                    <w:jc w:val="center"/>
                    <w:rPr>
                      <w:rFonts w:eastAsia="仿宋"/>
                      <w:color w:val="000000"/>
                      <w:sz w:val="21"/>
                      <w:szCs w:val="21"/>
                    </w:rPr>
                  </w:pPr>
                  <w:r>
                    <w:rPr>
                      <w:rFonts w:hAnsi="仿宋" w:eastAsia="仿宋"/>
                      <w:color w:val="000000"/>
                      <w:sz w:val="21"/>
                      <w:szCs w:val="21"/>
                    </w:rPr>
                    <w:t>标准声源</w:t>
                  </w:r>
                </w:p>
              </w:tc>
              <w:tc>
                <w:tcPr>
                  <w:tcW w:w="771" w:type="dxa"/>
                  <w:vAlign w:val="center"/>
                </w:tcPr>
                <w:p w14:paraId="09EF2B80">
                  <w:pPr>
                    <w:jc w:val="center"/>
                    <w:rPr>
                      <w:rFonts w:eastAsia="仿宋"/>
                      <w:color w:val="000000"/>
                      <w:sz w:val="21"/>
                      <w:szCs w:val="21"/>
                    </w:rPr>
                  </w:pPr>
                  <w:r>
                    <w:rPr>
                      <w:rFonts w:hAnsi="仿宋" w:eastAsia="仿宋"/>
                      <w:color w:val="000000"/>
                      <w:sz w:val="21"/>
                      <w:szCs w:val="21"/>
                    </w:rPr>
                    <w:t>测量前</w:t>
                  </w:r>
                </w:p>
              </w:tc>
              <w:tc>
                <w:tcPr>
                  <w:tcW w:w="803" w:type="dxa"/>
                  <w:vAlign w:val="center"/>
                </w:tcPr>
                <w:p w14:paraId="32656F49">
                  <w:pPr>
                    <w:jc w:val="center"/>
                    <w:rPr>
                      <w:rFonts w:eastAsia="仿宋"/>
                      <w:color w:val="000000"/>
                      <w:sz w:val="21"/>
                      <w:szCs w:val="21"/>
                    </w:rPr>
                  </w:pPr>
                  <w:r>
                    <w:rPr>
                      <w:rFonts w:hAnsi="仿宋" w:eastAsia="仿宋"/>
                      <w:color w:val="000000"/>
                      <w:sz w:val="21"/>
                      <w:szCs w:val="21"/>
                    </w:rPr>
                    <w:t>测量后</w:t>
                  </w:r>
                </w:p>
              </w:tc>
              <w:tc>
                <w:tcPr>
                  <w:tcW w:w="1234" w:type="dxa"/>
                  <w:vAlign w:val="center"/>
                </w:tcPr>
                <w:p w14:paraId="434AC405">
                  <w:pPr>
                    <w:jc w:val="center"/>
                    <w:rPr>
                      <w:rFonts w:eastAsia="仿宋"/>
                      <w:color w:val="000000"/>
                      <w:sz w:val="21"/>
                      <w:szCs w:val="21"/>
                    </w:rPr>
                  </w:pPr>
                  <w:r>
                    <w:rPr>
                      <w:rFonts w:hAnsi="仿宋" w:eastAsia="仿宋"/>
                      <w:color w:val="000000"/>
                      <w:sz w:val="21"/>
                      <w:szCs w:val="21"/>
                    </w:rPr>
                    <w:t>校准情况</w:t>
                  </w:r>
                </w:p>
              </w:tc>
              <w:tc>
                <w:tcPr>
                  <w:tcW w:w="757" w:type="dxa"/>
                  <w:tcBorders>
                    <w:right w:val="single" w:color="auto" w:sz="4" w:space="0"/>
                  </w:tcBorders>
                  <w:vAlign w:val="center"/>
                </w:tcPr>
                <w:p w14:paraId="0EBBADBD">
                  <w:pPr>
                    <w:jc w:val="center"/>
                    <w:rPr>
                      <w:rFonts w:eastAsia="仿宋"/>
                      <w:color w:val="000000"/>
                      <w:sz w:val="21"/>
                      <w:szCs w:val="21"/>
                    </w:rPr>
                  </w:pPr>
                  <w:r>
                    <w:rPr>
                      <w:rFonts w:hAnsi="仿宋" w:eastAsia="仿宋"/>
                      <w:color w:val="000000"/>
                      <w:sz w:val="21"/>
                      <w:szCs w:val="21"/>
                    </w:rPr>
                    <w:t>校准人</w:t>
                  </w:r>
                </w:p>
              </w:tc>
            </w:tr>
            <w:tr w14:paraId="6C3A57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exact"/>
                <w:jc w:val="center"/>
              </w:trPr>
              <w:tc>
                <w:tcPr>
                  <w:tcW w:w="1791" w:type="dxa"/>
                  <w:vMerge w:val="restart"/>
                  <w:tcBorders>
                    <w:left w:val="single" w:color="auto" w:sz="4" w:space="0"/>
                  </w:tcBorders>
                  <w:vAlign w:val="center"/>
                </w:tcPr>
                <w:p w14:paraId="7CC216E8">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202</w:t>
                  </w:r>
                  <w:r>
                    <w:rPr>
                      <w:rFonts w:hint="eastAsia" w:ascii="Times New Roman" w:hAnsi="Times New Roman" w:eastAsia="仿宋" w:cs="Times New Roman"/>
                      <w:color w:val="000000"/>
                      <w:sz w:val="21"/>
                      <w:szCs w:val="21"/>
                      <w:lang w:val="en-US" w:eastAsia="zh-CN"/>
                    </w:rPr>
                    <w:t>4</w:t>
                  </w:r>
                  <w:r>
                    <w:rPr>
                      <w:rFonts w:hint="default" w:ascii="Times New Roman" w:hAnsi="Times New Roman" w:eastAsia="仿宋" w:cs="Times New Roman"/>
                      <w:color w:val="000000"/>
                      <w:sz w:val="21"/>
                      <w:szCs w:val="21"/>
                      <w:lang w:val="en-US" w:eastAsia="zh-CN"/>
                    </w:rPr>
                    <w:t>年</w:t>
                  </w:r>
                  <w:r>
                    <w:rPr>
                      <w:rFonts w:hint="eastAsia" w:ascii="Times New Roman" w:hAnsi="Times New Roman" w:eastAsia="仿宋" w:cs="Times New Roman"/>
                      <w:color w:val="000000"/>
                      <w:sz w:val="21"/>
                      <w:szCs w:val="21"/>
                      <w:lang w:val="en-US" w:eastAsia="zh-CN"/>
                    </w:rPr>
                    <w:t>11</w:t>
                  </w:r>
                  <w:r>
                    <w:rPr>
                      <w:rFonts w:hint="default" w:ascii="Times New Roman" w:hAnsi="Times New Roman" w:eastAsia="仿宋" w:cs="Times New Roman"/>
                      <w:color w:val="000000"/>
                      <w:sz w:val="21"/>
                      <w:szCs w:val="21"/>
                      <w:lang w:val="en-US" w:eastAsia="zh-CN"/>
                    </w:rPr>
                    <w:t>月</w:t>
                  </w:r>
                  <w:r>
                    <w:rPr>
                      <w:rFonts w:hint="eastAsia" w:ascii="Times New Roman" w:hAnsi="Times New Roman" w:eastAsia="仿宋" w:cs="Times New Roman"/>
                      <w:color w:val="000000"/>
                      <w:sz w:val="21"/>
                      <w:szCs w:val="21"/>
                      <w:lang w:val="en-US" w:eastAsia="zh-CN"/>
                    </w:rPr>
                    <w:t>13</w:t>
                  </w:r>
                  <w:r>
                    <w:rPr>
                      <w:rFonts w:hint="default" w:ascii="Times New Roman" w:hAnsi="Times New Roman" w:eastAsia="仿宋" w:cs="Times New Roman"/>
                      <w:color w:val="000000"/>
                      <w:sz w:val="21"/>
                      <w:szCs w:val="21"/>
                      <w:lang w:val="en-US" w:eastAsia="zh-CN"/>
                    </w:rPr>
                    <w:t>日</w:t>
                  </w:r>
                </w:p>
              </w:tc>
              <w:tc>
                <w:tcPr>
                  <w:tcW w:w="845" w:type="dxa"/>
                  <w:tcBorders>
                    <w:left w:val="single" w:color="auto" w:sz="4" w:space="0"/>
                  </w:tcBorders>
                  <w:vAlign w:val="center"/>
                </w:tcPr>
                <w:p w14:paraId="70577217">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昼间</w:t>
                  </w:r>
                </w:p>
              </w:tc>
              <w:tc>
                <w:tcPr>
                  <w:tcW w:w="1394" w:type="dxa"/>
                  <w:vMerge w:val="restart"/>
                  <w:tcBorders>
                    <w:left w:val="single" w:color="auto" w:sz="4" w:space="0"/>
                  </w:tcBorders>
                  <w:vAlign w:val="center"/>
                </w:tcPr>
                <w:p w14:paraId="033691C1">
                  <w:pPr>
                    <w:adjustRightInd w:val="0"/>
                    <w:snapToGrid w:val="0"/>
                    <w:spacing w:line="240" w:lineRule="exact"/>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AWA6228型</w:t>
                  </w:r>
                </w:p>
                <w:p w14:paraId="0133B5B3">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多功能声级计</w:t>
                  </w:r>
                </w:p>
              </w:tc>
              <w:tc>
                <w:tcPr>
                  <w:tcW w:w="1425" w:type="dxa"/>
                  <w:vMerge w:val="restart"/>
                  <w:vAlign w:val="center"/>
                </w:tcPr>
                <w:p w14:paraId="7AB247DE">
                  <w:pPr>
                    <w:jc w:val="center"/>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rPr>
                    <w:t>AWA6221</w:t>
                  </w:r>
                  <w:r>
                    <w:rPr>
                      <w:rFonts w:hint="default" w:ascii="Times New Roman" w:hAnsi="Times New Roman" w:eastAsia="仿宋" w:cs="Times New Roman"/>
                      <w:color w:val="auto"/>
                      <w:sz w:val="21"/>
                      <w:szCs w:val="21"/>
                      <w:lang w:val="en-US" w:eastAsia="zh-CN"/>
                    </w:rPr>
                    <w:t>B</w:t>
                  </w:r>
                  <w:r>
                    <w:rPr>
                      <w:rFonts w:hint="default" w:ascii="Times New Roman" w:hAnsi="Times New Roman" w:eastAsia="仿宋" w:cs="Times New Roman"/>
                      <w:sz w:val="21"/>
                      <w:szCs w:val="21"/>
                    </w:rPr>
                    <w:t>型</w:t>
                  </w:r>
                </w:p>
                <w:p w14:paraId="1DDFEF59">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sz w:val="21"/>
                      <w:szCs w:val="21"/>
                    </w:rPr>
                    <w:t>声校准器</w:t>
                  </w:r>
                </w:p>
              </w:tc>
              <w:tc>
                <w:tcPr>
                  <w:tcW w:w="771" w:type="dxa"/>
                  <w:vAlign w:val="center"/>
                </w:tcPr>
                <w:p w14:paraId="0E506E94">
                  <w:pPr>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9</w:t>
                  </w:r>
                  <w:r>
                    <w:rPr>
                      <w:rFonts w:hint="eastAsia" w:ascii="Times New Roman" w:hAnsi="Times New Roman" w:eastAsia="仿宋" w:cs="Times New Roman"/>
                      <w:color w:val="000000"/>
                      <w:sz w:val="21"/>
                      <w:szCs w:val="21"/>
                      <w:lang w:val="en-US" w:eastAsia="zh-CN"/>
                    </w:rPr>
                    <w:t>4.0</w:t>
                  </w:r>
                </w:p>
              </w:tc>
              <w:tc>
                <w:tcPr>
                  <w:tcW w:w="803" w:type="dxa"/>
                  <w:vAlign w:val="center"/>
                </w:tcPr>
                <w:p w14:paraId="120545EC">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93.</w:t>
                  </w:r>
                  <w:r>
                    <w:rPr>
                      <w:rFonts w:hint="eastAsia" w:ascii="Times New Roman" w:hAnsi="Times New Roman" w:eastAsia="仿宋" w:cs="Times New Roman"/>
                      <w:color w:val="000000"/>
                      <w:sz w:val="21"/>
                      <w:szCs w:val="21"/>
                      <w:lang w:val="en-US" w:eastAsia="zh-CN"/>
                    </w:rPr>
                    <w:t>9</w:t>
                  </w:r>
                </w:p>
              </w:tc>
              <w:tc>
                <w:tcPr>
                  <w:tcW w:w="1234" w:type="dxa"/>
                  <w:vAlign w:val="center"/>
                </w:tcPr>
                <w:p w14:paraId="67BAAE21">
                  <w:pPr>
                    <w:jc w:val="center"/>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合格</w:t>
                  </w:r>
                </w:p>
              </w:tc>
              <w:tc>
                <w:tcPr>
                  <w:tcW w:w="757" w:type="dxa"/>
                  <w:vMerge w:val="restart"/>
                  <w:tcBorders>
                    <w:right w:val="single" w:color="auto" w:sz="4" w:space="0"/>
                  </w:tcBorders>
                  <w:vAlign w:val="center"/>
                </w:tcPr>
                <w:p w14:paraId="0F148D3B">
                  <w:pPr>
                    <w:jc w:val="center"/>
                    <w:rPr>
                      <w:rFonts w:hint="eastAsia" w:eastAsia="仿宋"/>
                      <w:color w:val="000000"/>
                      <w:sz w:val="21"/>
                      <w:szCs w:val="21"/>
                      <w:lang w:eastAsia="zh-CN"/>
                    </w:rPr>
                  </w:pPr>
                  <w:r>
                    <w:rPr>
                      <w:rFonts w:hint="eastAsia" w:ascii="仿宋" w:hAnsi="仿宋" w:eastAsia="仿宋" w:cs="仿宋"/>
                      <w:spacing w:val="4"/>
                      <w:sz w:val="20"/>
                      <w:szCs w:val="20"/>
                    </w:rPr>
                    <w:t>刘</w:t>
                  </w:r>
                  <w:r>
                    <w:rPr>
                      <w:rFonts w:hint="eastAsia" w:ascii="仿宋" w:hAnsi="仿宋" w:eastAsia="仿宋" w:cs="仿宋"/>
                      <w:spacing w:val="4"/>
                      <w:sz w:val="20"/>
                      <w:szCs w:val="20"/>
                      <w:lang w:val="en-US" w:eastAsia="zh-CN"/>
                    </w:rPr>
                    <w:t xml:space="preserve">  </w:t>
                  </w:r>
                  <w:r>
                    <w:rPr>
                      <w:rFonts w:hint="eastAsia" w:ascii="仿宋" w:hAnsi="仿宋" w:eastAsia="仿宋" w:cs="仿宋"/>
                      <w:spacing w:val="4"/>
                      <w:sz w:val="20"/>
                      <w:szCs w:val="20"/>
                    </w:rPr>
                    <w:t>翔吴</w:t>
                  </w:r>
                  <w:r>
                    <w:rPr>
                      <w:rFonts w:hint="eastAsia" w:ascii="仿宋" w:hAnsi="仿宋" w:eastAsia="仿宋" w:cs="仿宋"/>
                      <w:spacing w:val="4"/>
                      <w:sz w:val="20"/>
                      <w:szCs w:val="20"/>
                      <w:lang w:val="en-US" w:eastAsia="zh-CN"/>
                    </w:rPr>
                    <w:t xml:space="preserve">  </w:t>
                  </w:r>
                  <w:r>
                    <w:rPr>
                      <w:rFonts w:hint="eastAsia" w:ascii="仿宋" w:hAnsi="仿宋" w:eastAsia="仿宋" w:cs="仿宋"/>
                      <w:spacing w:val="4"/>
                      <w:sz w:val="20"/>
                      <w:szCs w:val="20"/>
                    </w:rPr>
                    <w:t>震</w:t>
                  </w:r>
                </w:p>
              </w:tc>
            </w:tr>
            <w:tr w14:paraId="6138E4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8" w:hRule="exact"/>
                <w:jc w:val="center"/>
              </w:trPr>
              <w:tc>
                <w:tcPr>
                  <w:tcW w:w="1791" w:type="dxa"/>
                  <w:vMerge w:val="continue"/>
                  <w:tcBorders>
                    <w:left w:val="single" w:color="auto" w:sz="4" w:space="0"/>
                  </w:tcBorders>
                  <w:vAlign w:val="center"/>
                </w:tcPr>
                <w:p w14:paraId="7289D42A">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p>
              </w:tc>
              <w:tc>
                <w:tcPr>
                  <w:tcW w:w="845" w:type="dxa"/>
                  <w:tcBorders>
                    <w:left w:val="single" w:color="auto" w:sz="4" w:space="0"/>
                  </w:tcBorders>
                  <w:vAlign w:val="center"/>
                </w:tcPr>
                <w:p w14:paraId="5242963F">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夜间</w:t>
                  </w:r>
                </w:p>
              </w:tc>
              <w:tc>
                <w:tcPr>
                  <w:tcW w:w="1394" w:type="dxa"/>
                  <w:vMerge w:val="continue"/>
                  <w:tcBorders>
                    <w:left w:val="single" w:color="auto" w:sz="4" w:space="0"/>
                  </w:tcBorders>
                  <w:vAlign w:val="center"/>
                </w:tcPr>
                <w:p w14:paraId="6FE19B85">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p>
              </w:tc>
              <w:tc>
                <w:tcPr>
                  <w:tcW w:w="1425" w:type="dxa"/>
                  <w:vMerge w:val="continue"/>
                  <w:vAlign w:val="center"/>
                </w:tcPr>
                <w:p w14:paraId="7F543FDB">
                  <w:pPr>
                    <w:jc w:val="center"/>
                    <w:rPr>
                      <w:rFonts w:hint="default" w:ascii="Times New Roman" w:hAnsi="Times New Roman" w:eastAsia="仿宋" w:cs="Times New Roman"/>
                      <w:color w:val="000000"/>
                      <w:kern w:val="2"/>
                      <w:sz w:val="21"/>
                      <w:szCs w:val="21"/>
                      <w:lang w:val="en-US" w:eastAsia="zh-CN" w:bidi="ar-SA"/>
                    </w:rPr>
                  </w:pPr>
                </w:p>
              </w:tc>
              <w:tc>
                <w:tcPr>
                  <w:tcW w:w="771" w:type="dxa"/>
                  <w:vAlign w:val="center"/>
                </w:tcPr>
                <w:p w14:paraId="5BEFF389">
                  <w:pPr>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9</w:t>
                  </w:r>
                  <w:r>
                    <w:rPr>
                      <w:rFonts w:hint="eastAsia" w:ascii="Times New Roman" w:hAnsi="Times New Roman" w:eastAsia="仿宋" w:cs="Times New Roman"/>
                      <w:color w:val="000000"/>
                      <w:sz w:val="21"/>
                      <w:szCs w:val="21"/>
                      <w:lang w:val="en-US" w:eastAsia="zh-CN"/>
                    </w:rPr>
                    <w:t>4.0</w:t>
                  </w:r>
                </w:p>
              </w:tc>
              <w:tc>
                <w:tcPr>
                  <w:tcW w:w="803" w:type="dxa"/>
                  <w:vAlign w:val="center"/>
                </w:tcPr>
                <w:p w14:paraId="0C82C8AD">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9</w:t>
                  </w:r>
                  <w:r>
                    <w:rPr>
                      <w:rFonts w:hint="eastAsia" w:ascii="Times New Roman" w:hAnsi="Times New Roman" w:eastAsia="仿宋" w:cs="Times New Roman"/>
                      <w:color w:val="000000"/>
                      <w:sz w:val="21"/>
                      <w:szCs w:val="21"/>
                      <w:lang w:val="en-US" w:eastAsia="zh-CN"/>
                    </w:rPr>
                    <w:t>4.0</w:t>
                  </w:r>
                </w:p>
              </w:tc>
              <w:tc>
                <w:tcPr>
                  <w:tcW w:w="1234" w:type="dxa"/>
                  <w:vAlign w:val="center"/>
                </w:tcPr>
                <w:p w14:paraId="6B7DB111">
                  <w:pPr>
                    <w:jc w:val="center"/>
                    <w:rPr>
                      <w:rFonts w:hint="default" w:ascii="Times New Roman" w:hAnsi="Times New Roman" w:eastAsia="仿宋" w:cs="Times New Roman"/>
                      <w:color w:val="000000"/>
                      <w:sz w:val="21"/>
                      <w:szCs w:val="21"/>
                    </w:rPr>
                  </w:pPr>
                  <w:r>
                    <w:rPr>
                      <w:rFonts w:hint="default" w:ascii="Times New Roman" w:hAnsi="Times New Roman" w:eastAsia="仿宋" w:cs="Times New Roman"/>
                      <w:color w:val="000000"/>
                      <w:sz w:val="21"/>
                      <w:szCs w:val="21"/>
                    </w:rPr>
                    <w:t>合格</w:t>
                  </w:r>
                </w:p>
              </w:tc>
              <w:tc>
                <w:tcPr>
                  <w:tcW w:w="757" w:type="dxa"/>
                  <w:vMerge w:val="continue"/>
                  <w:tcBorders>
                    <w:right w:val="single" w:color="auto" w:sz="4" w:space="0"/>
                  </w:tcBorders>
                  <w:vAlign w:val="center"/>
                </w:tcPr>
                <w:p w14:paraId="16AA65B1">
                  <w:pPr>
                    <w:jc w:val="center"/>
                    <w:rPr>
                      <w:rFonts w:hint="eastAsia" w:eastAsia="仿宋"/>
                      <w:color w:val="000000"/>
                      <w:sz w:val="21"/>
                      <w:szCs w:val="21"/>
                      <w:lang w:eastAsia="zh-CN"/>
                    </w:rPr>
                  </w:pPr>
                </w:p>
              </w:tc>
            </w:tr>
            <w:tr w14:paraId="7861AA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6" w:hRule="exact"/>
                <w:jc w:val="center"/>
              </w:trPr>
              <w:tc>
                <w:tcPr>
                  <w:tcW w:w="1791" w:type="dxa"/>
                  <w:vMerge w:val="restart"/>
                  <w:tcBorders>
                    <w:left w:val="single" w:color="auto" w:sz="4" w:space="0"/>
                  </w:tcBorders>
                  <w:vAlign w:val="center"/>
                </w:tcPr>
                <w:p w14:paraId="145E4AC8">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202</w:t>
                  </w:r>
                  <w:r>
                    <w:rPr>
                      <w:rFonts w:hint="eastAsia" w:ascii="Times New Roman" w:hAnsi="Times New Roman" w:eastAsia="仿宋" w:cs="Times New Roman"/>
                      <w:color w:val="000000"/>
                      <w:sz w:val="21"/>
                      <w:szCs w:val="21"/>
                      <w:lang w:val="en-US" w:eastAsia="zh-CN"/>
                    </w:rPr>
                    <w:t>4</w:t>
                  </w:r>
                  <w:r>
                    <w:rPr>
                      <w:rFonts w:hint="default" w:ascii="Times New Roman" w:hAnsi="Times New Roman" w:eastAsia="仿宋" w:cs="Times New Roman"/>
                      <w:color w:val="000000"/>
                      <w:sz w:val="21"/>
                      <w:szCs w:val="21"/>
                      <w:lang w:val="en-US" w:eastAsia="zh-CN"/>
                    </w:rPr>
                    <w:t>年</w:t>
                  </w:r>
                  <w:r>
                    <w:rPr>
                      <w:rFonts w:hint="eastAsia" w:ascii="Times New Roman" w:hAnsi="Times New Roman" w:eastAsia="仿宋" w:cs="Times New Roman"/>
                      <w:color w:val="000000"/>
                      <w:sz w:val="21"/>
                      <w:szCs w:val="21"/>
                      <w:lang w:val="en-US" w:eastAsia="zh-CN"/>
                    </w:rPr>
                    <w:t>11</w:t>
                  </w:r>
                  <w:r>
                    <w:rPr>
                      <w:rFonts w:hint="default" w:ascii="Times New Roman" w:hAnsi="Times New Roman" w:eastAsia="仿宋" w:cs="Times New Roman"/>
                      <w:color w:val="000000"/>
                      <w:sz w:val="21"/>
                      <w:szCs w:val="21"/>
                      <w:lang w:val="en-US" w:eastAsia="zh-CN"/>
                    </w:rPr>
                    <w:t>月</w:t>
                  </w:r>
                  <w:r>
                    <w:rPr>
                      <w:rFonts w:hint="eastAsia" w:ascii="Times New Roman" w:hAnsi="Times New Roman" w:eastAsia="仿宋" w:cs="Times New Roman"/>
                      <w:color w:val="000000"/>
                      <w:sz w:val="21"/>
                      <w:szCs w:val="21"/>
                      <w:lang w:val="en-US" w:eastAsia="zh-CN"/>
                    </w:rPr>
                    <w:t>14</w:t>
                  </w:r>
                  <w:r>
                    <w:rPr>
                      <w:rFonts w:hint="default" w:ascii="Times New Roman" w:hAnsi="Times New Roman" w:eastAsia="仿宋" w:cs="Times New Roman"/>
                      <w:color w:val="000000"/>
                      <w:sz w:val="21"/>
                      <w:szCs w:val="21"/>
                      <w:lang w:val="en-US" w:eastAsia="zh-CN"/>
                    </w:rPr>
                    <w:t>日</w:t>
                  </w:r>
                </w:p>
              </w:tc>
              <w:tc>
                <w:tcPr>
                  <w:tcW w:w="845" w:type="dxa"/>
                  <w:tcBorders>
                    <w:left w:val="single" w:color="auto" w:sz="4" w:space="0"/>
                  </w:tcBorders>
                  <w:vAlign w:val="center"/>
                </w:tcPr>
                <w:p w14:paraId="21783549">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昼间</w:t>
                  </w:r>
                </w:p>
              </w:tc>
              <w:tc>
                <w:tcPr>
                  <w:tcW w:w="1394" w:type="dxa"/>
                  <w:vMerge w:val="restart"/>
                  <w:tcBorders>
                    <w:left w:val="single" w:color="auto" w:sz="4" w:space="0"/>
                  </w:tcBorders>
                  <w:vAlign w:val="center"/>
                </w:tcPr>
                <w:p w14:paraId="59C53BD4">
                  <w:pPr>
                    <w:adjustRightInd w:val="0"/>
                    <w:snapToGrid w:val="0"/>
                    <w:spacing w:line="240" w:lineRule="exact"/>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AWA6228型</w:t>
                  </w:r>
                </w:p>
                <w:p w14:paraId="05ED608A">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多功能声级计</w:t>
                  </w:r>
                </w:p>
              </w:tc>
              <w:tc>
                <w:tcPr>
                  <w:tcW w:w="1425" w:type="dxa"/>
                  <w:vMerge w:val="restart"/>
                  <w:vAlign w:val="center"/>
                </w:tcPr>
                <w:p w14:paraId="4AFCB67B">
                  <w:pPr>
                    <w:jc w:val="center"/>
                    <w:rPr>
                      <w:rFonts w:hint="default" w:ascii="Times New Roman" w:hAnsi="Times New Roman" w:eastAsia="仿宋" w:cs="Times New Roman"/>
                      <w:sz w:val="21"/>
                      <w:szCs w:val="21"/>
                    </w:rPr>
                  </w:pPr>
                  <w:r>
                    <w:rPr>
                      <w:rFonts w:hint="default" w:ascii="Times New Roman" w:hAnsi="Times New Roman" w:eastAsia="仿宋" w:cs="Times New Roman"/>
                      <w:color w:val="auto"/>
                      <w:sz w:val="21"/>
                      <w:szCs w:val="21"/>
                    </w:rPr>
                    <w:t>AWA6221</w:t>
                  </w:r>
                  <w:r>
                    <w:rPr>
                      <w:rFonts w:hint="default" w:ascii="Times New Roman" w:hAnsi="Times New Roman" w:eastAsia="仿宋" w:cs="Times New Roman"/>
                      <w:color w:val="auto"/>
                      <w:sz w:val="21"/>
                      <w:szCs w:val="21"/>
                      <w:lang w:val="en-US" w:eastAsia="zh-CN"/>
                    </w:rPr>
                    <w:t>B</w:t>
                  </w:r>
                  <w:r>
                    <w:rPr>
                      <w:rFonts w:hint="default" w:ascii="Times New Roman" w:hAnsi="Times New Roman" w:eastAsia="仿宋" w:cs="Times New Roman"/>
                      <w:sz w:val="21"/>
                      <w:szCs w:val="21"/>
                    </w:rPr>
                    <w:t>型</w:t>
                  </w:r>
                </w:p>
                <w:p w14:paraId="6C5238C9">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sz w:val="21"/>
                      <w:szCs w:val="21"/>
                    </w:rPr>
                    <w:t>声校准器</w:t>
                  </w:r>
                </w:p>
              </w:tc>
              <w:tc>
                <w:tcPr>
                  <w:tcW w:w="771" w:type="dxa"/>
                  <w:vAlign w:val="center"/>
                </w:tcPr>
                <w:p w14:paraId="6C348F9D">
                  <w:pPr>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93.</w:t>
                  </w:r>
                  <w:r>
                    <w:rPr>
                      <w:rFonts w:hint="eastAsia" w:ascii="Times New Roman" w:hAnsi="Times New Roman" w:eastAsia="仿宋" w:cs="Times New Roman"/>
                      <w:color w:val="000000"/>
                      <w:sz w:val="21"/>
                      <w:szCs w:val="21"/>
                      <w:lang w:val="en-US" w:eastAsia="zh-CN"/>
                    </w:rPr>
                    <w:t>9</w:t>
                  </w:r>
                </w:p>
              </w:tc>
              <w:tc>
                <w:tcPr>
                  <w:tcW w:w="803" w:type="dxa"/>
                  <w:vAlign w:val="center"/>
                </w:tcPr>
                <w:p w14:paraId="645489B9">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9</w:t>
                  </w:r>
                  <w:r>
                    <w:rPr>
                      <w:rFonts w:hint="eastAsia" w:ascii="Times New Roman" w:hAnsi="Times New Roman" w:eastAsia="仿宋" w:cs="Times New Roman"/>
                      <w:color w:val="000000"/>
                      <w:sz w:val="21"/>
                      <w:szCs w:val="21"/>
                      <w:lang w:val="en-US" w:eastAsia="zh-CN"/>
                    </w:rPr>
                    <w:t>4.0</w:t>
                  </w:r>
                </w:p>
              </w:tc>
              <w:tc>
                <w:tcPr>
                  <w:tcW w:w="1234" w:type="dxa"/>
                  <w:vAlign w:val="center"/>
                </w:tcPr>
                <w:p w14:paraId="072E1227">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合格</w:t>
                  </w:r>
                </w:p>
              </w:tc>
              <w:tc>
                <w:tcPr>
                  <w:tcW w:w="757" w:type="dxa"/>
                  <w:vMerge w:val="continue"/>
                  <w:tcBorders>
                    <w:right w:val="single" w:color="auto" w:sz="4" w:space="0"/>
                  </w:tcBorders>
                  <w:vAlign w:val="center"/>
                </w:tcPr>
                <w:p w14:paraId="2E42C845">
                  <w:pPr>
                    <w:jc w:val="center"/>
                    <w:rPr>
                      <w:rFonts w:hint="eastAsia" w:eastAsia="仿宋"/>
                      <w:color w:val="000000"/>
                      <w:sz w:val="21"/>
                      <w:szCs w:val="21"/>
                      <w:lang w:eastAsia="zh-CN"/>
                    </w:rPr>
                  </w:pPr>
                </w:p>
              </w:tc>
            </w:tr>
            <w:tr w14:paraId="6869CD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2" w:hRule="exact"/>
                <w:jc w:val="center"/>
              </w:trPr>
              <w:tc>
                <w:tcPr>
                  <w:tcW w:w="1791" w:type="dxa"/>
                  <w:vMerge w:val="continue"/>
                  <w:tcBorders>
                    <w:left w:val="single" w:color="auto" w:sz="4" w:space="0"/>
                  </w:tcBorders>
                  <w:vAlign w:val="center"/>
                </w:tcPr>
                <w:p w14:paraId="6BCB7E49">
                  <w:pPr>
                    <w:adjustRightInd w:val="0"/>
                    <w:snapToGrid w:val="0"/>
                    <w:spacing w:line="240" w:lineRule="exact"/>
                    <w:jc w:val="center"/>
                    <w:rPr>
                      <w:rFonts w:hint="default" w:ascii="Times New Roman" w:hAnsi="Times New Roman" w:eastAsia="仿宋" w:cs="Times New Roman"/>
                      <w:color w:val="000000"/>
                      <w:sz w:val="21"/>
                      <w:szCs w:val="21"/>
                      <w:lang w:val="en-US" w:eastAsia="zh-CN"/>
                    </w:rPr>
                  </w:pPr>
                </w:p>
              </w:tc>
              <w:tc>
                <w:tcPr>
                  <w:tcW w:w="845" w:type="dxa"/>
                  <w:tcBorders>
                    <w:left w:val="single" w:color="auto" w:sz="4" w:space="0"/>
                  </w:tcBorders>
                  <w:vAlign w:val="center"/>
                </w:tcPr>
                <w:p w14:paraId="1199D551">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夜间</w:t>
                  </w:r>
                </w:p>
              </w:tc>
              <w:tc>
                <w:tcPr>
                  <w:tcW w:w="1394" w:type="dxa"/>
                  <w:vMerge w:val="continue"/>
                  <w:tcBorders>
                    <w:left w:val="single" w:color="auto" w:sz="4" w:space="0"/>
                  </w:tcBorders>
                  <w:vAlign w:val="center"/>
                </w:tcPr>
                <w:p w14:paraId="6AD9037B">
                  <w:pPr>
                    <w:adjustRightInd w:val="0"/>
                    <w:snapToGrid w:val="0"/>
                    <w:spacing w:line="240" w:lineRule="exact"/>
                    <w:jc w:val="center"/>
                    <w:rPr>
                      <w:rFonts w:hint="default" w:ascii="Times New Roman" w:hAnsi="Times New Roman" w:eastAsia="仿宋" w:cs="Times New Roman"/>
                      <w:color w:val="000000"/>
                      <w:kern w:val="2"/>
                      <w:sz w:val="21"/>
                      <w:szCs w:val="21"/>
                      <w:lang w:val="en-US" w:eastAsia="zh-CN" w:bidi="ar-SA"/>
                    </w:rPr>
                  </w:pPr>
                </w:p>
              </w:tc>
              <w:tc>
                <w:tcPr>
                  <w:tcW w:w="1425" w:type="dxa"/>
                  <w:vMerge w:val="continue"/>
                  <w:vAlign w:val="center"/>
                </w:tcPr>
                <w:p w14:paraId="1A074F6F">
                  <w:pPr>
                    <w:jc w:val="center"/>
                    <w:rPr>
                      <w:rFonts w:hint="default" w:ascii="Times New Roman" w:hAnsi="Times New Roman" w:eastAsia="仿宋" w:cs="Times New Roman"/>
                      <w:color w:val="000000"/>
                      <w:kern w:val="2"/>
                      <w:sz w:val="21"/>
                      <w:szCs w:val="21"/>
                      <w:lang w:val="en-US" w:eastAsia="zh-CN" w:bidi="ar-SA"/>
                    </w:rPr>
                  </w:pPr>
                </w:p>
              </w:tc>
              <w:tc>
                <w:tcPr>
                  <w:tcW w:w="771" w:type="dxa"/>
                  <w:vAlign w:val="center"/>
                </w:tcPr>
                <w:p w14:paraId="73EBCAE9">
                  <w:pPr>
                    <w:jc w:val="center"/>
                    <w:rPr>
                      <w:rFonts w:hint="default" w:ascii="Times New Roman" w:hAnsi="Times New Roman" w:eastAsia="仿宋" w:cs="Times New Roman"/>
                      <w:color w:val="000000"/>
                      <w:sz w:val="21"/>
                      <w:szCs w:val="21"/>
                      <w:lang w:val="en-US" w:eastAsia="zh-CN"/>
                    </w:rPr>
                  </w:pPr>
                  <w:r>
                    <w:rPr>
                      <w:rFonts w:hint="default" w:ascii="Times New Roman" w:hAnsi="Times New Roman" w:eastAsia="仿宋" w:cs="Times New Roman"/>
                      <w:color w:val="000000"/>
                      <w:sz w:val="21"/>
                      <w:szCs w:val="21"/>
                      <w:lang w:val="en-US" w:eastAsia="zh-CN"/>
                    </w:rPr>
                    <w:t>93.</w:t>
                  </w:r>
                  <w:r>
                    <w:rPr>
                      <w:rFonts w:hint="eastAsia" w:ascii="Times New Roman" w:hAnsi="Times New Roman" w:eastAsia="仿宋" w:cs="Times New Roman"/>
                      <w:color w:val="000000"/>
                      <w:sz w:val="21"/>
                      <w:szCs w:val="21"/>
                      <w:lang w:val="en-US" w:eastAsia="zh-CN"/>
                    </w:rPr>
                    <w:t>9</w:t>
                  </w:r>
                </w:p>
              </w:tc>
              <w:tc>
                <w:tcPr>
                  <w:tcW w:w="803" w:type="dxa"/>
                  <w:vAlign w:val="center"/>
                </w:tcPr>
                <w:p w14:paraId="79D4B714">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lang w:val="en-US" w:eastAsia="zh-CN"/>
                    </w:rPr>
                    <w:t>9</w:t>
                  </w:r>
                  <w:r>
                    <w:rPr>
                      <w:rFonts w:hint="eastAsia" w:ascii="Times New Roman" w:hAnsi="Times New Roman" w:eastAsia="仿宋" w:cs="Times New Roman"/>
                      <w:color w:val="000000"/>
                      <w:sz w:val="21"/>
                      <w:szCs w:val="21"/>
                      <w:lang w:val="en-US" w:eastAsia="zh-CN"/>
                    </w:rPr>
                    <w:t>4.0</w:t>
                  </w:r>
                </w:p>
              </w:tc>
              <w:tc>
                <w:tcPr>
                  <w:tcW w:w="1234" w:type="dxa"/>
                  <w:vAlign w:val="center"/>
                </w:tcPr>
                <w:p w14:paraId="1B7A08CA">
                  <w:pPr>
                    <w:jc w:val="center"/>
                    <w:rPr>
                      <w:rFonts w:hint="default" w:ascii="Times New Roman" w:hAnsi="Times New Roman" w:eastAsia="仿宋" w:cs="Times New Roman"/>
                      <w:color w:val="000000"/>
                      <w:kern w:val="2"/>
                      <w:sz w:val="21"/>
                      <w:szCs w:val="21"/>
                      <w:lang w:val="en-US" w:eastAsia="zh-CN" w:bidi="ar-SA"/>
                    </w:rPr>
                  </w:pPr>
                  <w:r>
                    <w:rPr>
                      <w:rFonts w:hint="default" w:ascii="Times New Roman" w:hAnsi="Times New Roman" w:eastAsia="仿宋" w:cs="Times New Roman"/>
                      <w:color w:val="000000"/>
                      <w:sz w:val="21"/>
                      <w:szCs w:val="21"/>
                    </w:rPr>
                    <w:t>合格</w:t>
                  </w:r>
                </w:p>
              </w:tc>
              <w:tc>
                <w:tcPr>
                  <w:tcW w:w="757" w:type="dxa"/>
                  <w:vMerge w:val="continue"/>
                  <w:tcBorders>
                    <w:right w:val="single" w:color="auto" w:sz="4" w:space="0"/>
                  </w:tcBorders>
                  <w:vAlign w:val="center"/>
                </w:tcPr>
                <w:p w14:paraId="7CC9E777">
                  <w:pPr>
                    <w:jc w:val="center"/>
                    <w:rPr>
                      <w:rFonts w:hint="eastAsia" w:eastAsia="仿宋"/>
                      <w:color w:val="000000"/>
                      <w:sz w:val="21"/>
                      <w:szCs w:val="21"/>
                      <w:lang w:eastAsia="zh-CN"/>
                    </w:rPr>
                  </w:pPr>
                </w:p>
              </w:tc>
            </w:tr>
          </w:tbl>
          <w:p w14:paraId="656A8432">
            <w:pPr>
              <w:pStyle w:val="26"/>
              <w:jc w:val="both"/>
              <w:rPr>
                <w:rFonts w:ascii="Times New Roman" w:hAnsi="Times New Roman"/>
                <w:color w:val="FF0000"/>
              </w:rPr>
            </w:pPr>
          </w:p>
        </w:tc>
      </w:tr>
    </w:tbl>
    <w:p w14:paraId="2F8A6FBC">
      <w:pPr>
        <w:spacing w:line="360" w:lineRule="auto"/>
        <w:outlineLvl w:val="0"/>
        <w:rPr>
          <w:rFonts w:ascii="Times New Roman" w:hAnsi="Times New Roman" w:eastAsiaTheme="minorEastAsia"/>
          <w:b/>
          <w:color w:val="FF0000"/>
          <w:sz w:val="28"/>
          <w:szCs w:val="28"/>
        </w:rPr>
        <w:sectPr>
          <w:pgSz w:w="11906" w:h="16838"/>
          <w:pgMar w:top="1440" w:right="1800" w:bottom="1440" w:left="1800" w:header="851" w:footer="992" w:gutter="0"/>
          <w:cols w:space="720" w:num="1"/>
          <w:docGrid w:type="lines" w:linePitch="312" w:charSpace="0"/>
        </w:sectPr>
      </w:pPr>
      <w:bookmarkStart w:id="45" w:name="_Toc29931"/>
      <w:bookmarkStart w:id="46" w:name="_Toc24879"/>
    </w:p>
    <w:p w14:paraId="27921CF9">
      <w:pPr>
        <w:spacing w:line="360" w:lineRule="auto"/>
        <w:outlineLvl w:val="0"/>
        <w:rPr>
          <w:rFonts w:ascii="Times New Roman" w:hAnsi="Times New Roman" w:eastAsiaTheme="minorEastAsia"/>
          <w:b/>
          <w:sz w:val="28"/>
          <w:szCs w:val="28"/>
          <w:highlight w:val="none"/>
        </w:rPr>
      </w:pPr>
      <w:r>
        <w:rPr>
          <w:rFonts w:ascii="Times New Roman" w:hAnsi="Times New Roman" w:eastAsiaTheme="minorEastAsia"/>
          <w:b/>
          <w:sz w:val="28"/>
          <w:szCs w:val="28"/>
          <w:highlight w:val="none"/>
        </w:rPr>
        <w:t>表六</w:t>
      </w:r>
      <w:bookmarkEnd w:id="45"/>
      <w:r>
        <w:rPr>
          <w:rFonts w:ascii="Times New Roman" w:hAnsi="Times New Roman" w:eastAsiaTheme="minorEastAsia"/>
          <w:b/>
          <w:sz w:val="28"/>
          <w:szCs w:val="28"/>
          <w:highlight w:val="none"/>
        </w:rPr>
        <w:t>验收监测内容</w:t>
      </w:r>
      <w:bookmarkEnd w:id="46"/>
    </w:p>
    <w:tbl>
      <w:tblPr>
        <w:tblStyle w:val="23"/>
        <w:tblW w:w="9000" w:type="dxa"/>
        <w:tblInd w:w="-23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0"/>
      </w:tblGrid>
      <w:tr w14:paraId="50F7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22" w:hRule="atLeast"/>
        </w:trPr>
        <w:tc>
          <w:tcPr>
            <w:tcW w:w="9000" w:type="dxa"/>
          </w:tcPr>
          <w:p w14:paraId="2B6E393A">
            <w:pPr>
              <w:keepNext w:val="0"/>
              <w:keepLines w:val="0"/>
              <w:pageBreakBefore w:val="0"/>
              <w:kinsoku/>
              <w:wordWrap/>
              <w:overflowPunct/>
              <w:topLinePunct w:val="0"/>
              <w:bidi w:val="0"/>
              <w:snapToGrid/>
              <w:spacing w:before="246"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bCs/>
                <w:sz w:val="24"/>
                <w:szCs w:val="24"/>
              </w:rPr>
              <w:t>建设单位委托山东创森环境检测有限公司照环评相关要求对项目进行了有组织废气、无组织废气、</w:t>
            </w:r>
            <w:r>
              <w:rPr>
                <w:rFonts w:hint="default" w:ascii="Times New Roman" w:hAnsi="Times New Roman" w:eastAsia="宋体" w:cs="Times New Roman"/>
                <w:sz w:val="24"/>
                <w:szCs w:val="24"/>
              </w:rPr>
              <w:t>噪声监测工作</w:t>
            </w:r>
            <w:r>
              <w:rPr>
                <w:rFonts w:hint="default" w:ascii="Times New Roman" w:hAnsi="Times New Roman" w:eastAsia="宋体" w:cs="Times New Roman"/>
                <w:sz w:val="24"/>
                <w:szCs w:val="24"/>
                <w:highlight w:val="none"/>
              </w:rPr>
              <w:t>，监测时间为</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2024年11月13日至2024年11月14日。</w:t>
            </w:r>
          </w:p>
          <w:p w14:paraId="3E962576">
            <w:pPr>
              <w:keepNext w:val="0"/>
              <w:keepLines w:val="0"/>
              <w:pageBreakBefore w:val="0"/>
              <w:widowControl/>
              <w:kinsoku/>
              <w:wordWrap/>
              <w:overflowPunct/>
              <w:topLinePunct w:val="0"/>
              <w:bidi w:val="0"/>
              <w:snapToGrid/>
              <w:spacing w:line="360" w:lineRule="auto"/>
              <w:ind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验收监测内容</w:t>
            </w:r>
          </w:p>
          <w:p w14:paraId="7E7E7C54">
            <w:pPr>
              <w:keepNext w:val="0"/>
              <w:keepLines w:val="0"/>
              <w:pageBreakBefore w:val="0"/>
              <w:widowControl/>
              <w:kinsoku/>
              <w:wordWrap/>
              <w:overflowPunct/>
              <w:topLinePunct w:val="0"/>
              <w:bidi w:val="0"/>
              <w:snapToGrid/>
              <w:spacing w:before="0" w:after="0"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1.废气验收监测</w:t>
            </w:r>
          </w:p>
          <w:p w14:paraId="75E5521E">
            <w:pPr>
              <w:pStyle w:val="26"/>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厂界上风向布设1个监测点，下风向布设3个监测点，监测项目为非甲烷总烃、颗粒物。</w:t>
            </w:r>
          </w:p>
          <w:p w14:paraId="7DA21DF0">
            <w:pPr>
              <w:pStyle w:val="26"/>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无组织颗粒物排放浓度执行《大气污染物综合排放标准》（GB16297-1996）表2中无组织排放监控浓度限值要求</w:t>
            </w:r>
          </w:p>
          <w:p w14:paraId="54165578">
            <w:pPr>
              <w:pStyle w:val="2"/>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p w14:paraId="7B9C431F">
            <w:pPr>
              <w:pStyle w:val="2"/>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有组织废气：非甲烷总烃</w:t>
            </w:r>
            <w:r>
              <w:rPr>
                <w:rFonts w:hint="eastAsia" w:ascii="Times New Roman" w:hAnsi="Times New Roman" w:cs="Times New Roman"/>
                <w:color w:val="auto"/>
                <w:kern w:val="0"/>
                <w:sz w:val="24"/>
                <w:szCs w:val="24"/>
                <w:lang w:val="en-US" w:eastAsia="zh-CN" w:bidi="ar-SA"/>
              </w:rPr>
              <w:t>和颗粒物</w:t>
            </w:r>
            <w:r>
              <w:rPr>
                <w:rFonts w:hint="default" w:ascii="Times New Roman" w:hAnsi="Times New Roman" w:eastAsia="宋体" w:cs="Times New Roman"/>
                <w:color w:val="auto"/>
                <w:kern w:val="0"/>
                <w:sz w:val="24"/>
                <w:szCs w:val="24"/>
                <w:lang w:val="en-US" w:eastAsia="zh-CN" w:bidi="ar-SA"/>
              </w:rPr>
              <w:t>排放浓度满足《大气污染物综合排放标准》（GB16297-1996）表2排放浓度限值</w:t>
            </w:r>
            <w:r>
              <w:rPr>
                <w:rFonts w:hint="eastAsia" w:ascii="Times New Roman" w:hAnsi="Times New Roman" w:eastAsia="宋体" w:cs="Times New Roman"/>
                <w:color w:val="auto"/>
                <w:kern w:val="0"/>
                <w:sz w:val="24"/>
                <w:szCs w:val="24"/>
                <w:lang w:val="en-US" w:eastAsia="zh-CN" w:bidi="ar-SA"/>
              </w:rPr>
              <w:t>。</w:t>
            </w:r>
          </w:p>
          <w:p w14:paraId="45DF4372">
            <w:pPr>
              <w:jc w:val="center"/>
              <w:rPr>
                <w:rFonts w:hint="default" w:ascii="Times New Roman" w:hAnsi="Times New Roman" w:eastAsiaTheme="minorEastAsia"/>
                <w:b/>
                <w:sz w:val="24"/>
              </w:rPr>
            </w:pPr>
            <w:r>
              <w:rPr>
                <w:rFonts w:hint="default" w:ascii="Times New Roman" w:hAnsi="Times New Roman" w:eastAsiaTheme="minorEastAsia"/>
                <w:b/>
                <w:sz w:val="24"/>
              </w:rPr>
              <w:t>表6-1废气验收监测内容</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75"/>
              <w:gridCol w:w="3213"/>
              <w:gridCol w:w="1764"/>
              <w:gridCol w:w="2228"/>
            </w:tblGrid>
            <w:tr w14:paraId="2D8730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21" w:hRule="atLeast"/>
                <w:jc w:val="center"/>
              </w:trPr>
              <w:tc>
                <w:tcPr>
                  <w:tcW w:w="897" w:type="pct"/>
                  <w:tcBorders>
                    <w:tl2br w:val="nil"/>
                    <w:tr2bl w:val="nil"/>
                  </w:tcBorders>
                  <w:noWrap w:val="0"/>
                  <w:vAlign w:val="center"/>
                </w:tcPr>
                <w:p w14:paraId="79D7544A">
                  <w:pPr>
                    <w:spacing w:before="62" w:beforeLines="20" w:after="62" w:afterLines="20"/>
                    <w:jc w:val="center"/>
                    <w:rPr>
                      <w:rFonts w:ascii="Times New Roman" w:hAnsi="Times New Roman" w:eastAsia="宋体"/>
                      <w:bCs/>
                      <w:szCs w:val="21"/>
                    </w:rPr>
                  </w:pPr>
                  <w:r>
                    <w:rPr>
                      <w:rFonts w:ascii="Times New Roman" w:hAnsi="Times New Roman" w:eastAsia="宋体"/>
                      <w:bCs/>
                      <w:szCs w:val="21"/>
                    </w:rPr>
                    <w:t>类别</w:t>
                  </w:r>
                </w:p>
              </w:tc>
              <w:tc>
                <w:tcPr>
                  <w:tcW w:w="1829" w:type="pct"/>
                  <w:tcBorders>
                    <w:tl2br w:val="nil"/>
                    <w:tr2bl w:val="nil"/>
                  </w:tcBorders>
                  <w:noWrap w:val="0"/>
                  <w:vAlign w:val="center"/>
                </w:tcPr>
                <w:p w14:paraId="7DA6E772">
                  <w:pPr>
                    <w:spacing w:before="62" w:beforeLines="20" w:after="62" w:afterLines="20"/>
                    <w:jc w:val="center"/>
                    <w:rPr>
                      <w:rFonts w:ascii="Times New Roman" w:hAnsi="Times New Roman" w:eastAsia="宋体"/>
                      <w:bCs/>
                      <w:szCs w:val="21"/>
                    </w:rPr>
                  </w:pPr>
                  <w:r>
                    <w:rPr>
                      <w:rFonts w:ascii="Times New Roman" w:hAnsi="Times New Roman" w:eastAsia="宋体"/>
                      <w:bCs/>
                      <w:szCs w:val="21"/>
                    </w:rPr>
                    <w:t>监测点位</w:t>
                  </w:r>
                </w:p>
              </w:tc>
              <w:tc>
                <w:tcPr>
                  <w:tcW w:w="1004" w:type="pct"/>
                  <w:tcBorders>
                    <w:tl2br w:val="nil"/>
                    <w:tr2bl w:val="nil"/>
                  </w:tcBorders>
                  <w:noWrap w:val="0"/>
                  <w:vAlign w:val="center"/>
                </w:tcPr>
                <w:p w14:paraId="66DD110E">
                  <w:pPr>
                    <w:spacing w:before="62" w:beforeLines="20" w:after="62" w:afterLines="20"/>
                    <w:jc w:val="center"/>
                    <w:rPr>
                      <w:rFonts w:ascii="Times New Roman" w:hAnsi="Times New Roman" w:eastAsia="宋体"/>
                      <w:bCs/>
                      <w:szCs w:val="21"/>
                    </w:rPr>
                  </w:pPr>
                  <w:r>
                    <w:rPr>
                      <w:rFonts w:ascii="Times New Roman" w:hAnsi="Times New Roman" w:eastAsia="宋体"/>
                      <w:bCs/>
                      <w:szCs w:val="21"/>
                    </w:rPr>
                    <w:t>监测项目</w:t>
                  </w:r>
                </w:p>
              </w:tc>
              <w:tc>
                <w:tcPr>
                  <w:tcW w:w="1268" w:type="pct"/>
                  <w:tcBorders>
                    <w:tl2br w:val="nil"/>
                    <w:tr2bl w:val="nil"/>
                  </w:tcBorders>
                  <w:noWrap w:val="0"/>
                  <w:vAlign w:val="center"/>
                </w:tcPr>
                <w:p w14:paraId="4C561F60">
                  <w:pPr>
                    <w:spacing w:before="62" w:beforeLines="20" w:after="62" w:afterLines="20"/>
                    <w:jc w:val="center"/>
                    <w:rPr>
                      <w:rFonts w:ascii="Times New Roman" w:hAnsi="Times New Roman" w:eastAsia="宋体"/>
                      <w:bCs/>
                      <w:szCs w:val="21"/>
                    </w:rPr>
                  </w:pPr>
                  <w:r>
                    <w:rPr>
                      <w:rFonts w:ascii="Times New Roman" w:hAnsi="Times New Roman" w:eastAsia="宋体"/>
                      <w:bCs/>
                      <w:szCs w:val="21"/>
                    </w:rPr>
                    <w:t>监测频次</w:t>
                  </w:r>
                </w:p>
              </w:tc>
            </w:tr>
            <w:tr w14:paraId="422A70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9" w:hRule="atLeast"/>
                <w:jc w:val="center"/>
              </w:trPr>
              <w:tc>
                <w:tcPr>
                  <w:tcW w:w="897" w:type="pct"/>
                  <w:vMerge w:val="restart"/>
                  <w:tcBorders>
                    <w:tl2br w:val="nil"/>
                    <w:tr2bl w:val="nil"/>
                  </w:tcBorders>
                  <w:noWrap w:val="0"/>
                  <w:vAlign w:val="center"/>
                </w:tcPr>
                <w:p w14:paraId="0E1785D2">
                  <w:pPr>
                    <w:spacing w:before="62" w:beforeLines="20" w:after="62" w:afterLines="20"/>
                    <w:jc w:val="center"/>
                    <w:rPr>
                      <w:rFonts w:ascii="Times New Roman" w:hAnsi="Times New Roman" w:eastAsia="宋体"/>
                      <w:szCs w:val="21"/>
                    </w:rPr>
                  </w:pPr>
                  <w:r>
                    <w:rPr>
                      <w:rFonts w:ascii="Times New Roman" w:hAnsi="Times New Roman" w:eastAsia="宋体"/>
                      <w:szCs w:val="21"/>
                    </w:rPr>
                    <w:t>无组织废气</w:t>
                  </w:r>
                </w:p>
              </w:tc>
              <w:tc>
                <w:tcPr>
                  <w:tcW w:w="1829" w:type="pct"/>
                  <w:tcBorders>
                    <w:tl2br w:val="nil"/>
                    <w:tr2bl w:val="nil"/>
                  </w:tcBorders>
                  <w:noWrap w:val="0"/>
                  <w:vAlign w:val="center"/>
                </w:tcPr>
                <w:p w14:paraId="3A605DD5">
                  <w:pPr>
                    <w:spacing w:before="62" w:beforeLines="20" w:after="62" w:afterLines="20"/>
                    <w:jc w:val="center"/>
                    <w:rPr>
                      <w:rFonts w:hint="default" w:ascii="Times New Roman" w:hAnsi="Times New Roman" w:eastAsia="宋体"/>
                      <w:szCs w:val="21"/>
                      <w:lang w:val="en-US" w:eastAsia="zh-CN"/>
                    </w:rPr>
                  </w:pPr>
                  <w:r>
                    <w:rPr>
                      <w:rFonts w:ascii="Times New Roman" w:hAnsi="Times New Roman" w:eastAsia="宋体"/>
                      <w:szCs w:val="21"/>
                    </w:rPr>
                    <w:t>厂界上风向布设1个监测点</w:t>
                  </w:r>
                  <w:r>
                    <w:rPr>
                      <w:rFonts w:hint="eastAsia" w:ascii="Times New Roman" w:hAnsi="Times New Roman" w:eastAsia="宋体"/>
                      <w:szCs w:val="21"/>
                      <w:lang w:val="en-US" w:eastAsia="zh-CN"/>
                    </w:rPr>
                    <w:t>(P1)</w:t>
                  </w:r>
                  <w:r>
                    <w:rPr>
                      <w:rFonts w:ascii="Times New Roman" w:hAnsi="Times New Roman" w:eastAsia="宋体"/>
                      <w:szCs w:val="21"/>
                    </w:rPr>
                    <w:t>，下风向布设3个监测点</w:t>
                  </w:r>
                  <w:r>
                    <w:rPr>
                      <w:rFonts w:hint="eastAsia" w:ascii="Times New Roman" w:hAnsi="Times New Roman" w:eastAsia="宋体"/>
                      <w:szCs w:val="21"/>
                      <w:lang w:eastAsia="zh-CN"/>
                    </w:rPr>
                    <w:t>，</w:t>
                  </w:r>
                  <w:r>
                    <w:rPr>
                      <w:rFonts w:hint="eastAsia" w:ascii="Times New Roman" w:hAnsi="Times New Roman" w:eastAsia="宋体"/>
                      <w:szCs w:val="21"/>
                      <w:lang w:val="en-US" w:eastAsia="zh-CN"/>
                    </w:rPr>
                    <w:t>(P2,P3,P4)</w:t>
                  </w:r>
                </w:p>
              </w:tc>
              <w:tc>
                <w:tcPr>
                  <w:tcW w:w="1004" w:type="pct"/>
                  <w:tcBorders>
                    <w:tl2br w:val="nil"/>
                    <w:tr2bl w:val="nil"/>
                  </w:tcBorders>
                  <w:noWrap w:val="0"/>
                  <w:vAlign w:val="center"/>
                </w:tcPr>
                <w:p w14:paraId="20869283">
                  <w:pPr>
                    <w:spacing w:before="62" w:beforeLines="20" w:after="62" w:afterLines="20"/>
                    <w:jc w:val="center"/>
                    <w:rPr>
                      <w:rFonts w:hint="default" w:ascii="Times New Roman" w:hAnsi="Times New Roman" w:eastAsia="宋体"/>
                      <w:szCs w:val="21"/>
                      <w:lang w:val="en-US" w:eastAsia="zh-CN"/>
                    </w:rPr>
                  </w:pPr>
                  <w:r>
                    <w:rPr>
                      <w:rFonts w:ascii="Times New Roman" w:hAnsi="Times New Roman" w:eastAsia="宋体"/>
                    </w:rPr>
                    <w:t>非甲烷总烃</w:t>
                  </w:r>
                  <w:r>
                    <w:rPr>
                      <w:rFonts w:hint="eastAsia" w:ascii="Times New Roman" w:hAnsi="Times New Roman" w:eastAsia="宋体"/>
                      <w:lang w:eastAsia="zh-CN"/>
                    </w:rPr>
                    <w:t>，</w:t>
                  </w:r>
                  <w:r>
                    <w:rPr>
                      <w:rFonts w:hint="eastAsia" w:ascii="Times New Roman" w:hAnsi="Times New Roman" w:eastAsia="宋体"/>
                      <w:lang w:val="en-US" w:eastAsia="zh-CN"/>
                    </w:rPr>
                    <w:t>颗粒物</w:t>
                  </w:r>
                </w:p>
              </w:tc>
              <w:tc>
                <w:tcPr>
                  <w:tcW w:w="1268" w:type="pct"/>
                  <w:tcBorders>
                    <w:tl2br w:val="nil"/>
                    <w:tr2bl w:val="nil"/>
                  </w:tcBorders>
                  <w:noWrap w:val="0"/>
                  <w:vAlign w:val="center"/>
                </w:tcPr>
                <w:p w14:paraId="0868CB39">
                  <w:pPr>
                    <w:spacing w:before="62" w:beforeLines="20" w:after="62" w:afterLines="20"/>
                    <w:jc w:val="center"/>
                    <w:rPr>
                      <w:rFonts w:ascii="Times New Roman" w:hAnsi="Times New Roman" w:eastAsia="宋体"/>
                      <w:szCs w:val="21"/>
                    </w:rPr>
                  </w:pPr>
                  <w:r>
                    <w:rPr>
                      <w:rFonts w:ascii="Times New Roman" w:hAnsi="Times New Roman" w:eastAsia="宋体"/>
                      <w:szCs w:val="21"/>
                    </w:rPr>
                    <w:t>连续监测2天</w:t>
                  </w:r>
                </w:p>
                <w:p w14:paraId="1417B861">
                  <w:pPr>
                    <w:spacing w:before="62" w:beforeLines="20" w:after="62" w:afterLines="20"/>
                    <w:jc w:val="center"/>
                    <w:rPr>
                      <w:rFonts w:ascii="Times New Roman" w:hAnsi="Times New Roman" w:eastAsia="宋体"/>
                      <w:szCs w:val="21"/>
                    </w:rPr>
                  </w:pPr>
                  <w:r>
                    <w:rPr>
                      <w:rFonts w:ascii="Times New Roman" w:hAnsi="Times New Roman" w:eastAsia="宋体"/>
                      <w:szCs w:val="21"/>
                    </w:rPr>
                    <w:t>每天监测4次</w:t>
                  </w:r>
                </w:p>
              </w:tc>
            </w:tr>
            <w:tr w14:paraId="643D96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9" w:hRule="atLeast"/>
                <w:jc w:val="center"/>
              </w:trPr>
              <w:tc>
                <w:tcPr>
                  <w:tcW w:w="897" w:type="pct"/>
                  <w:vMerge w:val="continue"/>
                  <w:tcBorders>
                    <w:tl2br w:val="nil"/>
                    <w:tr2bl w:val="nil"/>
                  </w:tcBorders>
                  <w:noWrap w:val="0"/>
                  <w:vAlign w:val="center"/>
                </w:tcPr>
                <w:p w14:paraId="414F72B9">
                  <w:pPr>
                    <w:spacing w:before="62" w:beforeLines="20" w:after="62" w:afterLines="20"/>
                    <w:jc w:val="center"/>
                    <w:rPr>
                      <w:rFonts w:ascii="Times New Roman" w:hAnsi="Times New Roman" w:eastAsia="宋体"/>
                      <w:szCs w:val="21"/>
                    </w:rPr>
                  </w:pPr>
                  <w:bookmarkStart w:id="47" w:name="_Toc295467210"/>
                  <w:bookmarkStart w:id="48" w:name="_Toc145923959"/>
                  <w:bookmarkStart w:id="49" w:name="_Toc145901441"/>
                  <w:bookmarkStart w:id="50" w:name="_Toc116952706"/>
                  <w:bookmarkStart w:id="51" w:name="_Toc114640580"/>
                  <w:bookmarkStart w:id="52" w:name="_Toc113675808"/>
                  <w:bookmarkStart w:id="53" w:name="_Toc336502638"/>
                  <w:bookmarkStart w:id="54" w:name="_Toc113674651"/>
                  <w:bookmarkStart w:id="55" w:name="_Toc117141405"/>
                  <w:bookmarkStart w:id="56" w:name="_Toc143657500"/>
                </w:p>
              </w:tc>
              <w:tc>
                <w:tcPr>
                  <w:tcW w:w="1829" w:type="pct"/>
                  <w:tcBorders>
                    <w:tl2br w:val="nil"/>
                    <w:tr2bl w:val="nil"/>
                  </w:tcBorders>
                  <w:noWrap w:val="0"/>
                  <w:vAlign w:val="center"/>
                </w:tcPr>
                <w:p w14:paraId="4F4252B7">
                  <w:pPr>
                    <w:spacing w:before="62" w:beforeLines="20" w:after="62" w:afterLines="20"/>
                    <w:jc w:val="center"/>
                    <w:rPr>
                      <w:rFonts w:hint="default" w:ascii="Times New Roman" w:hAnsi="Times New Roman" w:eastAsia="宋体"/>
                      <w:szCs w:val="21"/>
                      <w:lang w:val="en-US"/>
                    </w:rPr>
                  </w:pPr>
                  <w:r>
                    <w:rPr>
                      <w:rFonts w:hint="eastAsia" w:ascii="Times New Roman" w:hAnsi="Times New Roman" w:eastAsia="宋体"/>
                      <w:szCs w:val="21"/>
                      <w:lang w:val="en-US" w:eastAsia="zh-CN"/>
                    </w:rPr>
                    <w:t>厂房外(P5)</w:t>
                  </w:r>
                </w:p>
              </w:tc>
              <w:tc>
                <w:tcPr>
                  <w:tcW w:w="1004" w:type="pct"/>
                  <w:tcBorders>
                    <w:tl2br w:val="nil"/>
                    <w:tr2bl w:val="nil"/>
                  </w:tcBorders>
                  <w:noWrap w:val="0"/>
                  <w:vAlign w:val="center"/>
                </w:tcPr>
                <w:p w14:paraId="1B235327">
                  <w:pPr>
                    <w:spacing w:before="62" w:beforeLines="20" w:after="62" w:afterLines="20"/>
                    <w:jc w:val="center"/>
                    <w:rPr>
                      <w:rFonts w:ascii="Times New Roman" w:hAnsi="Times New Roman" w:eastAsia="宋体"/>
                    </w:rPr>
                  </w:pPr>
                  <w:r>
                    <w:rPr>
                      <w:rFonts w:ascii="Times New Roman" w:hAnsi="Times New Roman" w:eastAsia="宋体"/>
                    </w:rPr>
                    <w:t>非甲烷总烃</w:t>
                  </w:r>
                </w:p>
              </w:tc>
              <w:tc>
                <w:tcPr>
                  <w:tcW w:w="1268" w:type="pct"/>
                  <w:tcBorders>
                    <w:tl2br w:val="nil"/>
                    <w:tr2bl w:val="nil"/>
                  </w:tcBorders>
                  <w:noWrap w:val="0"/>
                  <w:vAlign w:val="center"/>
                </w:tcPr>
                <w:p w14:paraId="3C836803">
                  <w:pPr>
                    <w:spacing w:before="62" w:beforeLines="20" w:after="62" w:afterLines="20"/>
                    <w:jc w:val="center"/>
                    <w:rPr>
                      <w:rFonts w:ascii="Times New Roman" w:hAnsi="Times New Roman" w:eastAsia="宋体"/>
                      <w:szCs w:val="21"/>
                    </w:rPr>
                  </w:pPr>
                  <w:r>
                    <w:rPr>
                      <w:rFonts w:ascii="Times New Roman" w:hAnsi="Times New Roman" w:eastAsia="宋体"/>
                      <w:szCs w:val="21"/>
                    </w:rPr>
                    <w:t>连续监测2天</w:t>
                  </w:r>
                </w:p>
                <w:p w14:paraId="2493070F">
                  <w:pPr>
                    <w:spacing w:before="62" w:beforeLines="20" w:after="62" w:afterLines="20"/>
                    <w:jc w:val="center"/>
                    <w:rPr>
                      <w:rFonts w:ascii="Times New Roman" w:hAnsi="Times New Roman" w:eastAsia="宋体"/>
                      <w:szCs w:val="21"/>
                    </w:rPr>
                  </w:pPr>
                  <w:r>
                    <w:rPr>
                      <w:rFonts w:ascii="Times New Roman" w:hAnsi="Times New Roman" w:eastAsia="宋体"/>
                      <w:szCs w:val="21"/>
                    </w:rPr>
                    <w:t>每天监测4次</w:t>
                  </w:r>
                </w:p>
              </w:tc>
            </w:tr>
            <w:tr w14:paraId="572878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9" w:hRule="atLeast"/>
                <w:jc w:val="center"/>
              </w:trPr>
              <w:tc>
                <w:tcPr>
                  <w:tcW w:w="897" w:type="pct"/>
                  <w:tcBorders>
                    <w:tl2br w:val="nil"/>
                    <w:tr2bl w:val="nil"/>
                  </w:tcBorders>
                  <w:noWrap w:val="0"/>
                  <w:vAlign w:val="center"/>
                </w:tcPr>
                <w:p w14:paraId="7973FB55">
                  <w:pPr>
                    <w:spacing w:before="62" w:beforeLines="20" w:after="62" w:afterLines="20"/>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有组织废气</w:t>
                  </w:r>
                </w:p>
              </w:tc>
              <w:tc>
                <w:tcPr>
                  <w:tcW w:w="1829" w:type="pct"/>
                  <w:tcBorders>
                    <w:tl2br w:val="nil"/>
                    <w:tr2bl w:val="nil"/>
                  </w:tcBorders>
                  <w:noWrap w:val="0"/>
                  <w:vAlign w:val="center"/>
                </w:tcPr>
                <w:p w14:paraId="00D4F6FB">
                  <w:pPr>
                    <w:spacing w:before="62" w:beforeLines="20" w:after="62" w:afterLines="20"/>
                    <w:jc w:val="center"/>
                    <w:rPr>
                      <w:rFonts w:hint="default" w:ascii="Times New Roman" w:hAnsi="Times New Roman" w:eastAsia="宋体"/>
                      <w:szCs w:val="21"/>
                      <w:lang w:val="en-US"/>
                    </w:rPr>
                  </w:pPr>
                  <w:r>
                    <w:rPr>
                      <w:rFonts w:hint="eastAsia"/>
                      <w:color w:val="auto"/>
                      <w:lang w:val="en-US" w:eastAsia="zh-CN"/>
                    </w:rPr>
                    <w:t>排气筒(DA001)</w:t>
                  </w:r>
                </w:p>
              </w:tc>
              <w:tc>
                <w:tcPr>
                  <w:tcW w:w="1004" w:type="pct"/>
                  <w:tcBorders>
                    <w:tl2br w:val="nil"/>
                    <w:tr2bl w:val="nil"/>
                  </w:tcBorders>
                  <w:noWrap w:val="0"/>
                  <w:vAlign w:val="center"/>
                </w:tcPr>
                <w:p w14:paraId="39B1CC0F">
                  <w:pPr>
                    <w:spacing w:before="62" w:beforeLines="20" w:after="62" w:afterLines="20"/>
                    <w:jc w:val="center"/>
                    <w:rPr>
                      <w:rFonts w:hint="default" w:ascii="Times New Roman" w:hAnsi="Times New Roman" w:eastAsia="宋体"/>
                      <w:lang w:val="en-US" w:eastAsia="zh-CN"/>
                    </w:rPr>
                  </w:pPr>
                  <w:r>
                    <w:rPr>
                      <w:rFonts w:ascii="Times New Roman" w:hAnsi="Times New Roman" w:eastAsia="宋体"/>
                    </w:rPr>
                    <w:t>非甲烷总烃</w:t>
                  </w:r>
                  <w:r>
                    <w:rPr>
                      <w:rFonts w:hint="eastAsia" w:ascii="Times New Roman" w:hAnsi="Times New Roman"/>
                      <w:lang w:eastAsia="zh-CN"/>
                    </w:rPr>
                    <w:t>，</w:t>
                  </w:r>
                  <w:r>
                    <w:rPr>
                      <w:rFonts w:hint="eastAsia" w:ascii="Times New Roman" w:hAnsi="Times New Roman"/>
                      <w:lang w:val="en-US" w:eastAsia="zh-CN"/>
                    </w:rPr>
                    <w:t>颗粒物</w:t>
                  </w:r>
                </w:p>
              </w:tc>
              <w:tc>
                <w:tcPr>
                  <w:tcW w:w="1268" w:type="pct"/>
                  <w:tcBorders>
                    <w:tl2br w:val="nil"/>
                    <w:tr2bl w:val="nil"/>
                  </w:tcBorders>
                  <w:noWrap w:val="0"/>
                  <w:vAlign w:val="center"/>
                </w:tcPr>
                <w:p w14:paraId="29E327F7">
                  <w:pPr>
                    <w:spacing w:before="62" w:beforeLines="20" w:after="62" w:afterLines="20"/>
                    <w:jc w:val="center"/>
                    <w:rPr>
                      <w:rFonts w:ascii="Times New Roman" w:hAnsi="Times New Roman" w:eastAsia="宋体"/>
                      <w:szCs w:val="21"/>
                    </w:rPr>
                  </w:pPr>
                  <w:r>
                    <w:rPr>
                      <w:rFonts w:hint="eastAsia" w:ascii="Times New Roman" w:hAnsi="Times New Roman" w:cs="Times New Roman"/>
                      <w:b w:val="0"/>
                      <w:bCs/>
                      <w:color w:val="auto"/>
                      <w:sz w:val="21"/>
                      <w:szCs w:val="21"/>
                      <w:vertAlign w:val="baseline"/>
                      <w:lang w:val="en-US" w:eastAsia="zh-CN"/>
                    </w:rPr>
                    <w:t>3</w:t>
                  </w:r>
                  <w:r>
                    <w:rPr>
                      <w:rFonts w:hint="default" w:ascii="Times New Roman" w:hAnsi="Times New Roman" w:eastAsia="宋体" w:cs="Times New Roman"/>
                      <w:b w:val="0"/>
                      <w:bCs/>
                      <w:color w:val="auto"/>
                      <w:sz w:val="21"/>
                      <w:szCs w:val="21"/>
                      <w:vertAlign w:val="baseline"/>
                      <w:lang w:val="en-US" w:eastAsia="zh-CN"/>
                    </w:rPr>
                    <w:t>次/天，连续监测2天</w:t>
                  </w:r>
                </w:p>
              </w:tc>
            </w:tr>
          </w:tbl>
          <w:p w14:paraId="2D25570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bCs/>
                <w:sz w:val="24"/>
              </w:rPr>
            </w:pPr>
            <w:r>
              <w:rPr>
                <w:rFonts w:ascii="Times New Roman" w:hAnsi="Times New Roman" w:eastAsia="宋体"/>
                <w:bCs/>
                <w:sz w:val="24"/>
              </w:rPr>
              <w:t>2.噪声验收监测内容</w:t>
            </w:r>
            <w:bookmarkEnd w:id="47"/>
            <w:bookmarkEnd w:id="48"/>
            <w:bookmarkEnd w:id="49"/>
            <w:bookmarkEnd w:id="50"/>
            <w:bookmarkEnd w:id="51"/>
            <w:bookmarkEnd w:id="52"/>
            <w:bookmarkEnd w:id="53"/>
            <w:bookmarkEnd w:id="54"/>
            <w:bookmarkEnd w:id="55"/>
            <w:bookmarkEnd w:id="56"/>
          </w:p>
          <w:p w14:paraId="5F9F41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z w:val="24"/>
              </w:rPr>
            </w:pPr>
            <w:r>
              <w:rPr>
                <w:rFonts w:ascii="Times New Roman" w:hAnsi="Times New Roman" w:eastAsia="宋体"/>
                <w:sz w:val="24"/>
              </w:rPr>
              <w:t>在该厂法定厂界东侧、南侧、西侧、北侧各布设1个噪声监测点，噪声验收监测内容见下表。</w:t>
            </w:r>
            <w:r>
              <w:rPr>
                <w:rFonts w:ascii="Times New Roman" w:hAnsi="Times New Roman" w:eastAsia="宋体" w:cs="Times New Roman"/>
                <w:sz w:val="24"/>
              </w:rPr>
              <w:t>满足《工业企业厂界环境噪声排放标准》（GB12348-2008）表1中2类标准要求。</w:t>
            </w:r>
          </w:p>
          <w:p w14:paraId="4EDC71C0">
            <w:pPr>
              <w:spacing w:line="360" w:lineRule="auto"/>
              <w:ind w:firstLine="482" w:firstLineChars="200"/>
              <w:jc w:val="center"/>
              <w:rPr>
                <w:rFonts w:ascii="Times New Roman" w:hAnsi="Times New Roman" w:eastAsia="宋体"/>
                <w:b/>
                <w:bCs/>
                <w:sz w:val="24"/>
              </w:rPr>
            </w:pPr>
            <w:r>
              <w:rPr>
                <w:rFonts w:hint="default" w:ascii="Times New Roman" w:hAnsi="Times New Roman" w:eastAsiaTheme="minorEastAsia"/>
                <w:b/>
                <w:sz w:val="24"/>
              </w:rPr>
              <w:t>表6-2噪声验收监测内容</w:t>
            </w:r>
          </w:p>
          <w:tbl>
            <w:tblPr>
              <w:tblStyle w:val="23"/>
              <w:tblW w:w="870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4305"/>
              <w:gridCol w:w="2903"/>
            </w:tblGrid>
            <w:tr w14:paraId="05F73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0" w:type="dxa"/>
                  <w:tcBorders>
                    <w:tl2br w:val="nil"/>
                    <w:tr2bl w:val="nil"/>
                  </w:tcBorders>
                  <w:noWrap w:val="0"/>
                  <w:vAlign w:val="center"/>
                </w:tcPr>
                <w:p w14:paraId="1F68DB7D">
                  <w:pPr>
                    <w:jc w:val="center"/>
                    <w:rPr>
                      <w:rFonts w:ascii="Times New Roman" w:hAnsi="Times New Roman" w:eastAsia="宋体"/>
                      <w:szCs w:val="21"/>
                    </w:rPr>
                  </w:pPr>
                  <w:r>
                    <w:rPr>
                      <w:rFonts w:ascii="Times New Roman" w:hAnsi="Times New Roman" w:eastAsia="宋体"/>
                      <w:szCs w:val="21"/>
                    </w:rPr>
                    <w:t>序号</w:t>
                  </w:r>
                </w:p>
              </w:tc>
              <w:tc>
                <w:tcPr>
                  <w:tcW w:w="4305" w:type="dxa"/>
                  <w:tcBorders>
                    <w:tl2br w:val="nil"/>
                    <w:tr2bl w:val="nil"/>
                  </w:tcBorders>
                  <w:noWrap w:val="0"/>
                  <w:vAlign w:val="center"/>
                </w:tcPr>
                <w:p w14:paraId="6A8FEA46">
                  <w:pPr>
                    <w:jc w:val="center"/>
                    <w:rPr>
                      <w:rFonts w:ascii="Times New Roman" w:hAnsi="Times New Roman" w:eastAsia="宋体"/>
                      <w:szCs w:val="21"/>
                    </w:rPr>
                  </w:pPr>
                  <w:r>
                    <w:rPr>
                      <w:rFonts w:ascii="Times New Roman" w:hAnsi="Times New Roman" w:eastAsia="宋体"/>
                      <w:szCs w:val="21"/>
                    </w:rPr>
                    <w:t>监测位置</w:t>
                  </w:r>
                </w:p>
              </w:tc>
              <w:tc>
                <w:tcPr>
                  <w:tcW w:w="2903" w:type="dxa"/>
                  <w:tcBorders>
                    <w:tl2br w:val="nil"/>
                    <w:tr2bl w:val="nil"/>
                  </w:tcBorders>
                  <w:noWrap w:val="0"/>
                  <w:vAlign w:val="center"/>
                </w:tcPr>
                <w:p w14:paraId="67CD745D">
                  <w:pPr>
                    <w:jc w:val="center"/>
                    <w:rPr>
                      <w:rFonts w:ascii="Times New Roman" w:hAnsi="Times New Roman" w:eastAsia="宋体"/>
                      <w:szCs w:val="21"/>
                    </w:rPr>
                  </w:pPr>
                  <w:r>
                    <w:rPr>
                      <w:rFonts w:ascii="Times New Roman" w:hAnsi="Times New Roman" w:eastAsia="宋体"/>
                      <w:szCs w:val="21"/>
                    </w:rPr>
                    <w:t>监测频次</w:t>
                  </w:r>
                </w:p>
              </w:tc>
            </w:tr>
            <w:tr w14:paraId="75D34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0" w:type="dxa"/>
                  <w:tcBorders>
                    <w:tl2br w:val="nil"/>
                    <w:tr2bl w:val="nil"/>
                  </w:tcBorders>
                  <w:noWrap w:val="0"/>
                  <w:vAlign w:val="center"/>
                </w:tcPr>
                <w:p w14:paraId="39E6C87A">
                  <w:pPr>
                    <w:jc w:val="center"/>
                    <w:rPr>
                      <w:rFonts w:ascii="Times New Roman" w:hAnsi="Times New Roman" w:eastAsia="宋体"/>
                      <w:szCs w:val="21"/>
                    </w:rPr>
                  </w:pPr>
                  <w:r>
                    <w:rPr>
                      <w:rFonts w:hint="eastAsia" w:ascii="Times New Roman" w:hAnsi="Times New Roman" w:eastAsia="宋体"/>
                      <w:bCs/>
                      <w:szCs w:val="21"/>
                      <w:lang w:val="en-US" w:eastAsia="zh-CN"/>
                    </w:rPr>
                    <w:t>#</w:t>
                  </w:r>
                  <w:r>
                    <w:rPr>
                      <w:rFonts w:ascii="Times New Roman" w:hAnsi="Times New Roman" w:eastAsia="宋体"/>
                      <w:bCs/>
                      <w:szCs w:val="21"/>
                    </w:rPr>
                    <w:t>1</w:t>
                  </w:r>
                </w:p>
              </w:tc>
              <w:tc>
                <w:tcPr>
                  <w:tcW w:w="4305" w:type="dxa"/>
                  <w:tcBorders>
                    <w:tl2br w:val="nil"/>
                    <w:tr2bl w:val="nil"/>
                  </w:tcBorders>
                  <w:noWrap w:val="0"/>
                  <w:vAlign w:val="center"/>
                </w:tcPr>
                <w:p w14:paraId="48CE4535">
                  <w:pPr>
                    <w:jc w:val="center"/>
                    <w:rPr>
                      <w:rFonts w:hint="eastAsia" w:ascii="Times New Roman" w:hAnsi="Times New Roman" w:eastAsia="宋体"/>
                      <w:szCs w:val="21"/>
                      <w:lang w:eastAsia="zh-CN"/>
                    </w:rPr>
                  </w:pPr>
                  <w:r>
                    <w:rPr>
                      <w:rFonts w:ascii="Times New Roman" w:hAnsi="Times New Roman" w:eastAsia="宋体"/>
                      <w:szCs w:val="21"/>
                    </w:rPr>
                    <w:t>厂界东侧1米处</w:t>
                  </w:r>
                  <w:r>
                    <w:rPr>
                      <w:rFonts w:hint="eastAsia" w:ascii="Times New Roman" w:hAnsi="Times New Roman" w:eastAsia="宋体"/>
                      <w:szCs w:val="21"/>
                      <w:lang w:eastAsia="zh-CN"/>
                    </w:rPr>
                    <w:t>（</w:t>
                  </w:r>
                  <w:r>
                    <w:rPr>
                      <w:rFonts w:hint="eastAsia" w:ascii="Times New Roman" w:hAnsi="Times New Roman" w:eastAsia="宋体"/>
                      <w:szCs w:val="21"/>
                    </w:rPr>
                    <w:t>130.53468223</w:t>
                  </w:r>
                  <w:r>
                    <w:rPr>
                      <w:rFonts w:hint="eastAsia" w:ascii="Times New Roman" w:hAnsi="Times New Roman" w:eastAsia="宋体"/>
                      <w:szCs w:val="21"/>
                      <w:lang w:eastAsia="zh-CN"/>
                    </w:rPr>
                    <w:t>，46.29544402）</w:t>
                  </w:r>
                </w:p>
              </w:tc>
              <w:tc>
                <w:tcPr>
                  <w:tcW w:w="2903" w:type="dxa"/>
                  <w:vMerge w:val="restart"/>
                  <w:tcBorders>
                    <w:tl2br w:val="nil"/>
                    <w:tr2bl w:val="nil"/>
                  </w:tcBorders>
                  <w:noWrap w:val="0"/>
                  <w:vAlign w:val="center"/>
                </w:tcPr>
                <w:p w14:paraId="619C9281">
                  <w:pPr>
                    <w:jc w:val="center"/>
                    <w:rPr>
                      <w:rFonts w:ascii="Times New Roman" w:hAnsi="Times New Roman" w:eastAsia="宋体"/>
                      <w:szCs w:val="21"/>
                    </w:rPr>
                  </w:pPr>
                  <w:r>
                    <w:rPr>
                      <w:rFonts w:ascii="Times New Roman" w:hAnsi="Times New Roman" w:eastAsia="宋体"/>
                      <w:szCs w:val="21"/>
                    </w:rPr>
                    <w:t>连续监测2天，每天昼间监测1次，夜间监测1次</w:t>
                  </w:r>
                </w:p>
              </w:tc>
            </w:tr>
            <w:tr w14:paraId="402D0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0" w:type="dxa"/>
                  <w:tcBorders>
                    <w:tl2br w:val="nil"/>
                    <w:tr2bl w:val="nil"/>
                  </w:tcBorders>
                  <w:noWrap w:val="0"/>
                  <w:vAlign w:val="center"/>
                </w:tcPr>
                <w:p w14:paraId="3B0385CC">
                  <w:pPr>
                    <w:jc w:val="center"/>
                    <w:rPr>
                      <w:rFonts w:ascii="Times New Roman" w:hAnsi="Times New Roman" w:eastAsia="宋体"/>
                      <w:szCs w:val="21"/>
                    </w:rPr>
                  </w:pPr>
                  <w:r>
                    <w:rPr>
                      <w:rFonts w:hint="eastAsia" w:ascii="Times New Roman" w:hAnsi="Times New Roman" w:eastAsia="宋体"/>
                      <w:bCs/>
                      <w:szCs w:val="21"/>
                      <w:lang w:val="en-US" w:eastAsia="zh-CN"/>
                    </w:rPr>
                    <w:t>#</w:t>
                  </w:r>
                  <w:r>
                    <w:rPr>
                      <w:rFonts w:ascii="Times New Roman" w:hAnsi="Times New Roman" w:eastAsia="宋体"/>
                      <w:bCs/>
                      <w:szCs w:val="21"/>
                    </w:rPr>
                    <w:t>2</w:t>
                  </w:r>
                </w:p>
              </w:tc>
              <w:tc>
                <w:tcPr>
                  <w:tcW w:w="4305" w:type="dxa"/>
                  <w:tcBorders>
                    <w:tl2br w:val="nil"/>
                    <w:tr2bl w:val="nil"/>
                  </w:tcBorders>
                  <w:noWrap w:val="0"/>
                  <w:vAlign w:val="center"/>
                </w:tcPr>
                <w:p w14:paraId="7631AFA1">
                  <w:pPr>
                    <w:jc w:val="center"/>
                    <w:rPr>
                      <w:rFonts w:hint="eastAsia" w:ascii="Times New Roman" w:hAnsi="Times New Roman" w:eastAsia="宋体"/>
                      <w:szCs w:val="21"/>
                      <w:lang w:eastAsia="zh-CN"/>
                    </w:rPr>
                  </w:pPr>
                  <w:r>
                    <w:rPr>
                      <w:rFonts w:ascii="Times New Roman" w:hAnsi="Times New Roman" w:eastAsia="宋体"/>
                      <w:szCs w:val="21"/>
                    </w:rPr>
                    <w:t>厂界南侧1米处</w:t>
                  </w:r>
                  <w:r>
                    <w:rPr>
                      <w:rFonts w:hint="eastAsia" w:ascii="Times New Roman" w:hAnsi="Times New Roman" w:eastAsia="宋体"/>
                      <w:szCs w:val="21"/>
                      <w:lang w:eastAsia="zh-CN"/>
                    </w:rPr>
                    <w:t>（</w:t>
                  </w:r>
                  <w:r>
                    <w:rPr>
                      <w:rFonts w:hint="eastAsia" w:ascii="Times New Roman" w:hAnsi="Times New Roman" w:eastAsia="宋体"/>
                      <w:szCs w:val="21"/>
                    </w:rPr>
                    <w:t>130.53385649</w:t>
                  </w:r>
                  <w:r>
                    <w:rPr>
                      <w:rFonts w:hint="eastAsia" w:ascii="Times New Roman" w:hAnsi="Times New Roman" w:eastAsia="宋体"/>
                      <w:szCs w:val="21"/>
                      <w:lang w:eastAsia="zh-CN"/>
                    </w:rPr>
                    <w:t>，46.29530727）</w:t>
                  </w:r>
                </w:p>
              </w:tc>
              <w:tc>
                <w:tcPr>
                  <w:tcW w:w="2903" w:type="dxa"/>
                  <w:vMerge w:val="continue"/>
                  <w:tcBorders>
                    <w:tl2br w:val="nil"/>
                    <w:tr2bl w:val="nil"/>
                  </w:tcBorders>
                  <w:noWrap w:val="0"/>
                  <w:vAlign w:val="top"/>
                </w:tcPr>
                <w:p w14:paraId="36221646">
                  <w:pPr>
                    <w:pStyle w:val="26"/>
                    <w:jc w:val="both"/>
                    <w:rPr>
                      <w:rFonts w:ascii="Times New Roman" w:hAnsi="Times New Roman" w:eastAsia="宋体"/>
                      <w:color w:val="auto"/>
                      <w:sz w:val="21"/>
                      <w:szCs w:val="21"/>
                    </w:rPr>
                  </w:pPr>
                </w:p>
              </w:tc>
            </w:tr>
            <w:tr w14:paraId="60CDE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0" w:type="dxa"/>
                  <w:tcBorders>
                    <w:tl2br w:val="nil"/>
                    <w:tr2bl w:val="nil"/>
                  </w:tcBorders>
                  <w:noWrap w:val="0"/>
                  <w:vAlign w:val="center"/>
                </w:tcPr>
                <w:p w14:paraId="7A93663C">
                  <w:pPr>
                    <w:jc w:val="center"/>
                    <w:rPr>
                      <w:rFonts w:ascii="Times New Roman" w:hAnsi="Times New Roman" w:eastAsia="宋体"/>
                      <w:szCs w:val="21"/>
                    </w:rPr>
                  </w:pPr>
                  <w:r>
                    <w:rPr>
                      <w:rFonts w:hint="eastAsia" w:ascii="Times New Roman" w:hAnsi="Times New Roman" w:eastAsia="宋体"/>
                      <w:bCs/>
                      <w:szCs w:val="21"/>
                      <w:lang w:val="en-US" w:eastAsia="zh-CN"/>
                    </w:rPr>
                    <w:t>#</w:t>
                  </w:r>
                  <w:r>
                    <w:rPr>
                      <w:rFonts w:ascii="Times New Roman" w:hAnsi="Times New Roman" w:eastAsia="宋体"/>
                      <w:bCs/>
                      <w:szCs w:val="21"/>
                    </w:rPr>
                    <w:t>3</w:t>
                  </w:r>
                </w:p>
              </w:tc>
              <w:tc>
                <w:tcPr>
                  <w:tcW w:w="4305" w:type="dxa"/>
                  <w:tcBorders>
                    <w:tl2br w:val="nil"/>
                    <w:tr2bl w:val="nil"/>
                  </w:tcBorders>
                  <w:noWrap w:val="0"/>
                  <w:vAlign w:val="center"/>
                </w:tcPr>
                <w:p w14:paraId="05578709">
                  <w:pPr>
                    <w:jc w:val="center"/>
                    <w:rPr>
                      <w:rFonts w:hint="eastAsia" w:ascii="Times New Roman" w:hAnsi="Times New Roman" w:eastAsia="宋体"/>
                      <w:szCs w:val="21"/>
                      <w:lang w:eastAsia="zh-CN"/>
                    </w:rPr>
                  </w:pPr>
                  <w:r>
                    <w:rPr>
                      <w:rFonts w:ascii="Times New Roman" w:hAnsi="Times New Roman" w:eastAsia="宋体"/>
                      <w:szCs w:val="21"/>
                    </w:rPr>
                    <w:t>厂界西侧1米处</w:t>
                  </w:r>
                  <w:r>
                    <w:rPr>
                      <w:rFonts w:hint="eastAsia" w:ascii="Times New Roman" w:hAnsi="Times New Roman" w:eastAsia="宋体"/>
                      <w:szCs w:val="21"/>
                      <w:lang w:eastAsia="zh-CN"/>
                    </w:rPr>
                    <w:t>（</w:t>
                  </w:r>
                  <w:r>
                    <w:rPr>
                      <w:rFonts w:hint="eastAsia" w:ascii="Times New Roman" w:hAnsi="Times New Roman" w:eastAsia="宋体"/>
                      <w:szCs w:val="21"/>
                    </w:rPr>
                    <w:t>130.53351722</w:t>
                  </w:r>
                  <w:r>
                    <w:rPr>
                      <w:rFonts w:hint="eastAsia" w:ascii="Times New Roman" w:hAnsi="Times New Roman" w:eastAsia="宋体"/>
                      <w:szCs w:val="21"/>
                      <w:lang w:eastAsia="zh-CN"/>
                    </w:rPr>
                    <w:t>，46.29582149）</w:t>
                  </w:r>
                </w:p>
              </w:tc>
              <w:tc>
                <w:tcPr>
                  <w:tcW w:w="2903" w:type="dxa"/>
                  <w:vMerge w:val="continue"/>
                  <w:tcBorders>
                    <w:tl2br w:val="nil"/>
                    <w:tr2bl w:val="nil"/>
                  </w:tcBorders>
                  <w:noWrap w:val="0"/>
                  <w:vAlign w:val="top"/>
                </w:tcPr>
                <w:p w14:paraId="0447A729">
                  <w:pPr>
                    <w:pStyle w:val="26"/>
                    <w:jc w:val="both"/>
                    <w:rPr>
                      <w:rFonts w:ascii="Times New Roman" w:hAnsi="Times New Roman" w:eastAsia="宋体"/>
                      <w:color w:val="auto"/>
                      <w:sz w:val="21"/>
                      <w:szCs w:val="21"/>
                    </w:rPr>
                  </w:pPr>
                </w:p>
              </w:tc>
            </w:tr>
            <w:tr w14:paraId="36116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0" w:type="dxa"/>
                  <w:tcBorders>
                    <w:tl2br w:val="nil"/>
                    <w:tr2bl w:val="nil"/>
                  </w:tcBorders>
                  <w:noWrap w:val="0"/>
                  <w:vAlign w:val="center"/>
                </w:tcPr>
                <w:p w14:paraId="18665163">
                  <w:pPr>
                    <w:jc w:val="center"/>
                    <w:rPr>
                      <w:rFonts w:ascii="Times New Roman" w:hAnsi="Times New Roman" w:eastAsia="宋体"/>
                      <w:szCs w:val="21"/>
                    </w:rPr>
                  </w:pPr>
                  <w:r>
                    <w:rPr>
                      <w:rFonts w:hint="eastAsia" w:ascii="Times New Roman" w:hAnsi="Times New Roman" w:eastAsia="宋体"/>
                      <w:bCs/>
                      <w:szCs w:val="21"/>
                      <w:lang w:val="en-US" w:eastAsia="zh-CN"/>
                    </w:rPr>
                    <w:t>#</w:t>
                  </w:r>
                  <w:r>
                    <w:rPr>
                      <w:rFonts w:ascii="Times New Roman" w:hAnsi="Times New Roman" w:eastAsia="宋体"/>
                      <w:bCs/>
                      <w:szCs w:val="21"/>
                    </w:rPr>
                    <w:t>4</w:t>
                  </w:r>
                </w:p>
              </w:tc>
              <w:tc>
                <w:tcPr>
                  <w:tcW w:w="4305" w:type="dxa"/>
                  <w:tcBorders>
                    <w:tl2br w:val="nil"/>
                    <w:tr2bl w:val="nil"/>
                  </w:tcBorders>
                  <w:noWrap w:val="0"/>
                  <w:vAlign w:val="center"/>
                </w:tcPr>
                <w:p w14:paraId="7DA6FFB1">
                  <w:pPr>
                    <w:jc w:val="center"/>
                    <w:rPr>
                      <w:rFonts w:hint="eastAsia" w:ascii="Times New Roman" w:hAnsi="Times New Roman" w:eastAsia="宋体"/>
                      <w:szCs w:val="21"/>
                      <w:lang w:eastAsia="zh-CN"/>
                    </w:rPr>
                  </w:pPr>
                  <w:r>
                    <w:rPr>
                      <w:rFonts w:ascii="Times New Roman" w:hAnsi="Times New Roman" w:eastAsia="宋体"/>
                      <w:szCs w:val="21"/>
                    </w:rPr>
                    <w:t>厂界北侧1米处</w:t>
                  </w:r>
                  <w:r>
                    <w:rPr>
                      <w:rFonts w:hint="eastAsia" w:ascii="Times New Roman" w:hAnsi="Times New Roman" w:eastAsia="宋体"/>
                      <w:szCs w:val="21"/>
                      <w:lang w:eastAsia="zh-CN"/>
                    </w:rPr>
                    <w:t>（</w:t>
                  </w:r>
                  <w:r>
                    <w:rPr>
                      <w:rFonts w:hint="eastAsia" w:ascii="Times New Roman" w:hAnsi="Times New Roman" w:eastAsia="宋体"/>
                      <w:szCs w:val="21"/>
                    </w:rPr>
                    <w:t>130.53414787</w:t>
                  </w:r>
                  <w:r>
                    <w:rPr>
                      <w:rFonts w:hint="eastAsia" w:ascii="Times New Roman" w:hAnsi="Times New Roman" w:eastAsia="宋体"/>
                      <w:szCs w:val="21"/>
                      <w:lang w:eastAsia="zh-CN"/>
                    </w:rPr>
                    <w:t>，46.29588649）</w:t>
                  </w:r>
                </w:p>
              </w:tc>
              <w:tc>
                <w:tcPr>
                  <w:tcW w:w="2903" w:type="dxa"/>
                  <w:vMerge w:val="continue"/>
                  <w:tcBorders>
                    <w:tl2br w:val="nil"/>
                    <w:tr2bl w:val="nil"/>
                  </w:tcBorders>
                  <w:noWrap w:val="0"/>
                  <w:vAlign w:val="top"/>
                </w:tcPr>
                <w:p w14:paraId="64D88747">
                  <w:pPr>
                    <w:pStyle w:val="26"/>
                    <w:jc w:val="both"/>
                    <w:rPr>
                      <w:rFonts w:ascii="Times New Roman" w:hAnsi="Times New Roman" w:eastAsia="宋体"/>
                      <w:color w:val="auto"/>
                      <w:sz w:val="21"/>
                      <w:szCs w:val="21"/>
                    </w:rPr>
                  </w:pPr>
                </w:p>
              </w:tc>
            </w:tr>
          </w:tbl>
          <w:p w14:paraId="42C76AAC">
            <w:pPr>
              <w:widowControl/>
              <w:spacing w:line="360" w:lineRule="auto"/>
              <w:ind w:left="239" w:leftChars="114" w:firstLine="210" w:firstLineChars="100"/>
              <w:rPr>
                <w:rFonts w:ascii="Times New Roman" w:hAnsi="Times New Roman" w:eastAsiaTheme="minorEastAsia"/>
                <w:color w:val="FF0000"/>
              </w:rPr>
            </w:pPr>
          </w:p>
          <w:p w14:paraId="0FCB6CE4">
            <w:pPr>
              <w:widowControl/>
              <w:spacing w:line="360" w:lineRule="auto"/>
              <w:ind w:left="239" w:leftChars="114" w:firstLine="210" w:firstLineChars="100"/>
              <w:rPr>
                <w:rFonts w:ascii="Times New Roman" w:hAnsi="Times New Roman" w:eastAsiaTheme="minorEastAsia"/>
                <w:color w:val="FF0000"/>
              </w:rPr>
            </w:pPr>
          </w:p>
          <w:p w14:paraId="1D7C9F47">
            <w:pPr>
              <w:widowControl/>
              <w:spacing w:line="360" w:lineRule="auto"/>
              <w:rPr>
                <w:rFonts w:ascii="Times New Roman" w:hAnsi="Times New Roman" w:eastAsiaTheme="minorEastAsia"/>
                <w:color w:val="FF0000"/>
              </w:rPr>
            </w:pPr>
          </w:p>
        </w:tc>
      </w:tr>
    </w:tbl>
    <w:p w14:paraId="0DBF3F13">
      <w:pPr>
        <w:spacing w:line="360" w:lineRule="auto"/>
        <w:outlineLvl w:val="0"/>
        <w:rPr>
          <w:rFonts w:ascii="Times New Roman" w:hAnsi="Times New Roman" w:eastAsiaTheme="minorEastAsia"/>
          <w:b/>
          <w:color w:val="FF0000"/>
          <w:sz w:val="28"/>
          <w:szCs w:val="28"/>
        </w:rPr>
        <w:sectPr>
          <w:pgSz w:w="11906" w:h="16838"/>
          <w:pgMar w:top="1440" w:right="1800" w:bottom="1440" w:left="1800" w:header="851" w:footer="992" w:gutter="0"/>
          <w:cols w:space="720" w:num="1"/>
          <w:docGrid w:type="lines" w:linePitch="312" w:charSpace="0"/>
        </w:sectPr>
      </w:pPr>
      <w:bookmarkStart w:id="57" w:name="_Toc28567"/>
      <w:bookmarkStart w:id="58" w:name="_Toc12457"/>
      <w:bookmarkStart w:id="59" w:name="_Toc10322"/>
      <w:bookmarkStart w:id="60" w:name="_Toc11532"/>
    </w:p>
    <w:p w14:paraId="584C95E1">
      <w:pPr>
        <w:spacing w:line="360" w:lineRule="auto"/>
        <w:outlineLvl w:val="0"/>
        <w:rPr>
          <w:rFonts w:ascii="Times New Roman" w:hAnsi="Times New Roman" w:eastAsiaTheme="minorEastAsia"/>
          <w:b/>
          <w:sz w:val="28"/>
          <w:szCs w:val="28"/>
          <w:highlight w:val="none"/>
        </w:rPr>
      </w:pPr>
      <w:r>
        <w:rPr>
          <w:rFonts w:ascii="Times New Roman" w:hAnsi="Times New Roman" w:eastAsiaTheme="minorEastAsia"/>
          <w:b/>
          <w:sz w:val="28"/>
          <w:szCs w:val="28"/>
          <w:highlight w:val="none"/>
        </w:rPr>
        <w:t>表七收监测结果与分析评价</w:t>
      </w:r>
    </w:p>
    <w:tbl>
      <w:tblPr>
        <w:tblStyle w:val="23"/>
        <w:tblW w:w="51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44"/>
      </w:tblGrid>
      <w:tr w14:paraId="7112A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56" w:hRule="atLeast"/>
        </w:trPr>
        <w:tc>
          <w:tcPr>
            <w:tcW w:w="5000" w:type="pct"/>
          </w:tcPr>
          <w:p w14:paraId="64E0E7D1">
            <w:pPr>
              <w:keepNext w:val="0"/>
              <w:keepLines w:val="0"/>
              <w:pageBreakBefore w:val="0"/>
              <w:widowControl w:val="0"/>
              <w:kinsoku/>
              <w:wordWrap/>
              <w:overflowPunct/>
              <w:topLinePunct w:val="0"/>
              <w:autoSpaceDE/>
              <w:autoSpaceDN/>
              <w:bidi w:val="0"/>
              <w:adjustRightInd/>
              <w:snapToGrid/>
              <w:spacing w:before="62" w:beforeLines="20" w:line="360" w:lineRule="auto"/>
              <w:ind w:firstLine="562" w:firstLineChars="200"/>
              <w:textAlignment w:val="auto"/>
              <w:rPr>
                <w:rFonts w:hint="default" w:ascii="Times New Roman" w:hAnsi="Times New Roman" w:cs="Times New Roman" w:eastAsiaTheme="minorEastAsia"/>
                <w:b/>
                <w:bCs/>
                <w:sz w:val="28"/>
                <w:szCs w:val="28"/>
              </w:rPr>
            </w:pPr>
            <w:r>
              <w:rPr>
                <w:rFonts w:hint="default" w:ascii="Times New Roman" w:hAnsi="Times New Roman" w:cs="Times New Roman" w:eastAsiaTheme="minorEastAsia"/>
                <w:b/>
                <w:bCs/>
                <w:sz w:val="28"/>
                <w:szCs w:val="28"/>
              </w:rPr>
              <w:t>验收监测结果：</w:t>
            </w:r>
          </w:p>
          <w:p w14:paraId="59BEA332">
            <w:pPr>
              <w:pStyle w:val="3"/>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sz w:val="24"/>
                <w:szCs w:val="24"/>
                <w:lang w:val="en-US" w:eastAsia="zh-CN"/>
              </w:rPr>
            </w:pPr>
            <w:r>
              <w:rPr>
                <w:rFonts w:hint="default" w:ascii="Times New Roman" w:hAnsi="Times New Roman" w:cs="Times New Roman" w:eastAsiaTheme="minorEastAsia"/>
                <w:b w:val="0"/>
                <w:bCs w:val="0"/>
                <w:sz w:val="24"/>
                <w:szCs w:val="24"/>
                <w:lang w:val="en-US" w:eastAsia="zh-CN"/>
              </w:rPr>
              <w:t>废气</w:t>
            </w:r>
          </w:p>
          <w:p w14:paraId="5D916D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05" w:lef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kern w:val="2"/>
                <w:sz w:val="24"/>
                <w:szCs w:val="24"/>
                <w:lang w:val="en-US" w:eastAsia="zh-CN" w:bidi="ar-SA"/>
              </w:rPr>
              <w:t>（1）</w:t>
            </w:r>
            <w:r>
              <w:rPr>
                <w:rFonts w:hint="default" w:ascii="Times New Roman" w:hAnsi="Times New Roman" w:cs="Times New Roman" w:eastAsiaTheme="minorEastAsia"/>
                <w:sz w:val="24"/>
                <w:szCs w:val="24"/>
                <w:lang w:val="en-US" w:eastAsia="zh-CN"/>
              </w:rPr>
              <w:t>有组织废气</w:t>
            </w:r>
          </w:p>
          <w:p w14:paraId="32CC795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05" w:leftChars="0" w:firstLine="480" w:firstLineChars="200"/>
              <w:textAlignment w:val="auto"/>
              <w:rPr>
                <w:rFonts w:hint="default" w:ascii="Times New Roman" w:hAnsi="Times New Roman" w:cs="Times New Roman" w:eastAsiaTheme="minorEastAsia"/>
                <w:color w:val="auto"/>
                <w:kern w:val="0"/>
                <w:sz w:val="24"/>
                <w:szCs w:val="24"/>
                <w:lang w:val="en-US" w:eastAsia="zh-CN" w:bidi="ar-SA"/>
              </w:rPr>
            </w:pPr>
            <w:r>
              <w:rPr>
                <w:rFonts w:hint="default" w:ascii="Times New Roman" w:hAnsi="Times New Roman" w:cs="Times New Roman" w:eastAsiaTheme="minorEastAsia"/>
                <w:color w:val="auto"/>
                <w:kern w:val="0"/>
                <w:sz w:val="24"/>
                <w:szCs w:val="24"/>
                <w:lang w:val="en-US" w:eastAsia="zh-CN" w:bidi="ar-SA"/>
              </w:rPr>
              <w:t>有组织废气监测结果见表7-1。</w:t>
            </w:r>
          </w:p>
          <w:p w14:paraId="178FAB65">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default" w:ascii="Times New Roman" w:hAnsi="Times New Roman" w:cs="Times New Roman" w:eastAsiaTheme="minorEastAsia"/>
                <w:color w:val="auto"/>
                <w:kern w:val="0"/>
                <w:sz w:val="24"/>
                <w:szCs w:val="24"/>
                <w:lang w:val="en-US" w:eastAsia="zh-CN" w:bidi="ar-SA"/>
              </w:rPr>
              <w:t xml:space="preserve"> 有组织检测表明</w:t>
            </w:r>
            <w:r>
              <w:rPr>
                <w:rFonts w:hint="default" w:ascii="Times New Roman" w:hAnsi="Times New Roman" w:cs="Times New Roman" w:eastAsiaTheme="minorEastAsia"/>
                <w:sz w:val="24"/>
                <w:szCs w:val="24"/>
              </w:rPr>
              <w:t>验收监测期间</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lang w:val="en-US" w:eastAsia="zh-CN"/>
              </w:rPr>
              <w:t>有组织废气</w:t>
            </w:r>
            <w:r>
              <w:rPr>
                <w:rFonts w:hint="default" w:ascii="Times New Roman" w:hAnsi="Times New Roman" w:cs="Times New Roman" w:eastAsiaTheme="minorEastAsia"/>
                <w:bCs/>
                <w:sz w:val="24"/>
                <w:szCs w:val="24"/>
              </w:rPr>
              <w:t>非甲烷总烃最大排放浓度为</w:t>
            </w:r>
            <w:r>
              <w:rPr>
                <w:rFonts w:hint="default" w:ascii="Times New Roman" w:hAnsi="Times New Roman" w:cs="Times New Roman" w:eastAsiaTheme="minorEastAsia"/>
                <w:bCs/>
                <w:sz w:val="24"/>
                <w:szCs w:val="24"/>
                <w:lang w:val="en-US" w:eastAsia="zh-CN"/>
              </w:rPr>
              <w:t>4.8</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，非甲烷总烃</w:t>
            </w:r>
            <w:r>
              <w:rPr>
                <w:rFonts w:hint="default" w:ascii="Times New Roman" w:hAnsi="Times New Roman" w:cs="Times New Roman" w:eastAsiaTheme="minorEastAsia"/>
                <w:sz w:val="24"/>
                <w:szCs w:val="24"/>
              </w:rPr>
              <w:t>最大排放</w:t>
            </w:r>
            <w:r>
              <w:rPr>
                <w:rFonts w:hint="default" w:ascii="Times New Roman" w:hAnsi="Times New Roman" w:cs="Times New Roman" w:eastAsiaTheme="minorEastAsia"/>
                <w:sz w:val="24"/>
                <w:szCs w:val="24"/>
                <w:lang w:val="en-US" w:eastAsia="zh-CN"/>
              </w:rPr>
              <w:t>速率</w:t>
            </w:r>
            <w:r>
              <w:rPr>
                <w:rFonts w:hint="default" w:ascii="Times New Roman" w:hAnsi="Times New Roman" w:cs="Times New Roman" w:eastAsiaTheme="minorEastAsia"/>
                <w:sz w:val="24"/>
                <w:szCs w:val="24"/>
              </w:rPr>
              <w:t>为</w:t>
            </w:r>
            <w:r>
              <w:rPr>
                <w:rFonts w:hint="default" w:ascii="Times New Roman" w:hAnsi="Times New Roman" w:cs="Times New Roman" w:eastAsiaTheme="minorEastAsia"/>
                <w:bCs/>
                <w:color w:val="auto"/>
                <w:sz w:val="24"/>
                <w:szCs w:val="24"/>
                <w:lang w:val="en-US" w:eastAsia="zh-CN"/>
              </w:rPr>
              <w:t>2.85×10</w:t>
            </w:r>
            <w:r>
              <w:rPr>
                <w:rFonts w:hint="default" w:ascii="Times New Roman" w:hAnsi="Times New Roman" w:cs="Times New Roman" w:eastAsiaTheme="minorEastAsia"/>
                <w:bCs/>
                <w:color w:val="auto"/>
                <w:sz w:val="24"/>
                <w:szCs w:val="24"/>
                <w:vertAlign w:val="superscript"/>
                <w:lang w:val="en-US" w:eastAsia="zh-CN"/>
              </w:rPr>
              <w:t>-2</w:t>
            </w:r>
            <w:r>
              <w:rPr>
                <w:rFonts w:hint="default" w:ascii="Times New Roman" w:hAnsi="Times New Roman" w:cs="Times New Roman" w:eastAsiaTheme="minorEastAsia"/>
                <w:sz w:val="24"/>
                <w:szCs w:val="24"/>
                <w:lang w:val="en-US" w:eastAsia="zh-CN"/>
              </w:rPr>
              <w:t>kg/h</w:t>
            </w:r>
            <w:r>
              <w:rPr>
                <w:rFonts w:hint="default" w:ascii="Times New Roman" w:hAnsi="Times New Roman" w:cs="Times New Roman" w:eastAsiaTheme="minorEastAsia"/>
                <w:sz w:val="24"/>
                <w:szCs w:val="24"/>
              </w:rPr>
              <w:t>，</w:t>
            </w:r>
            <w:r>
              <w:rPr>
                <w:rFonts w:hint="eastAsia" w:ascii="Times New Roman" w:hAnsi="Times New Roman" w:cs="Times New Roman" w:eastAsiaTheme="minorEastAsia"/>
                <w:bCs/>
                <w:sz w:val="24"/>
                <w:szCs w:val="24"/>
                <w:highlight w:val="none"/>
                <w:lang w:val="en-US" w:eastAsia="zh-CN"/>
              </w:rPr>
              <w:t>颗粒物</w:t>
            </w:r>
            <w:r>
              <w:rPr>
                <w:rFonts w:hint="default" w:ascii="Times New Roman" w:hAnsi="Times New Roman" w:cs="Times New Roman" w:eastAsiaTheme="minorEastAsia"/>
                <w:bCs/>
                <w:sz w:val="24"/>
                <w:szCs w:val="24"/>
                <w:highlight w:val="none"/>
              </w:rPr>
              <w:t>最大排放浓度为</w:t>
            </w:r>
            <w:r>
              <w:rPr>
                <w:rFonts w:hint="eastAsia" w:ascii="Times New Roman" w:hAnsi="Times New Roman" w:cs="Times New Roman" w:eastAsiaTheme="minorEastAsia"/>
                <w:bCs/>
                <w:sz w:val="24"/>
                <w:szCs w:val="24"/>
                <w:highlight w:val="none"/>
                <w:lang w:val="en-US" w:eastAsia="zh-CN"/>
              </w:rPr>
              <w:t>1.93</w:t>
            </w:r>
            <w:r>
              <w:rPr>
                <w:rFonts w:hint="default" w:ascii="Times New Roman" w:hAnsi="Times New Roman" w:cs="Times New Roman" w:eastAsiaTheme="minorEastAsia"/>
                <w:bCs/>
                <w:sz w:val="24"/>
                <w:szCs w:val="24"/>
                <w:highlight w:val="none"/>
              </w:rPr>
              <w:t>mg/m</w:t>
            </w:r>
            <w:r>
              <w:rPr>
                <w:rFonts w:hint="default" w:ascii="Times New Roman" w:hAnsi="Times New Roman" w:cs="Times New Roman" w:eastAsiaTheme="minorEastAsia"/>
                <w:bCs/>
                <w:sz w:val="24"/>
                <w:szCs w:val="24"/>
                <w:highlight w:val="none"/>
                <w:vertAlign w:val="superscript"/>
              </w:rPr>
              <w:t>3</w:t>
            </w:r>
            <w:r>
              <w:rPr>
                <w:rFonts w:hint="default" w:ascii="Times New Roman" w:hAnsi="Times New Roman" w:cs="Times New Roman" w:eastAsiaTheme="minorEastAsia"/>
                <w:bCs/>
                <w:sz w:val="24"/>
                <w:szCs w:val="24"/>
                <w:highlight w:val="none"/>
              </w:rPr>
              <w:t>，</w:t>
            </w:r>
            <w:r>
              <w:rPr>
                <w:rFonts w:hint="eastAsia" w:ascii="Times New Roman" w:hAnsi="Times New Roman" w:cs="Times New Roman" w:eastAsiaTheme="minorEastAsia"/>
                <w:bCs/>
                <w:sz w:val="24"/>
                <w:szCs w:val="24"/>
                <w:highlight w:val="none"/>
                <w:lang w:val="en-US" w:eastAsia="zh-CN"/>
              </w:rPr>
              <w:t>颗粒物</w:t>
            </w:r>
            <w:r>
              <w:rPr>
                <w:rFonts w:hint="default" w:ascii="Times New Roman" w:hAnsi="Times New Roman" w:cs="Times New Roman" w:eastAsiaTheme="minorEastAsia"/>
                <w:sz w:val="24"/>
                <w:szCs w:val="24"/>
                <w:highlight w:val="none"/>
              </w:rPr>
              <w:t>最大排放</w:t>
            </w:r>
            <w:r>
              <w:rPr>
                <w:rFonts w:hint="default" w:ascii="Times New Roman" w:hAnsi="Times New Roman" w:cs="Times New Roman" w:eastAsiaTheme="minorEastAsia"/>
                <w:sz w:val="24"/>
                <w:szCs w:val="24"/>
                <w:highlight w:val="none"/>
                <w:lang w:val="en-US" w:eastAsia="zh-CN"/>
              </w:rPr>
              <w:t>速率</w:t>
            </w:r>
            <w:r>
              <w:rPr>
                <w:rFonts w:hint="default" w:ascii="Times New Roman" w:hAnsi="Times New Roman" w:cs="Times New Roman" w:eastAsiaTheme="minorEastAsia"/>
                <w:sz w:val="24"/>
                <w:szCs w:val="24"/>
                <w:highlight w:val="none"/>
              </w:rPr>
              <w:t>为</w:t>
            </w:r>
            <w:r>
              <w:rPr>
                <w:rFonts w:hint="eastAsia" w:ascii="Times New Roman" w:hAnsi="Times New Roman" w:cs="Times New Roman" w:eastAsiaTheme="minorEastAsia"/>
                <w:bCs/>
                <w:color w:val="auto"/>
                <w:sz w:val="24"/>
                <w:szCs w:val="24"/>
                <w:highlight w:val="none"/>
                <w:lang w:val="en-US" w:eastAsia="zh-CN"/>
              </w:rPr>
              <w:t>1.15</w:t>
            </w:r>
            <w:r>
              <w:rPr>
                <w:rFonts w:hint="default" w:ascii="Times New Roman" w:hAnsi="Times New Roman" w:cs="Times New Roman" w:eastAsiaTheme="minorEastAsia"/>
                <w:bCs/>
                <w:color w:val="auto"/>
                <w:sz w:val="24"/>
                <w:szCs w:val="24"/>
                <w:highlight w:val="none"/>
                <w:lang w:val="en-US" w:eastAsia="zh-CN"/>
              </w:rPr>
              <w:t>×10</w:t>
            </w:r>
            <w:r>
              <w:rPr>
                <w:rFonts w:hint="default" w:ascii="Times New Roman" w:hAnsi="Times New Roman" w:cs="Times New Roman" w:eastAsiaTheme="minorEastAsia"/>
                <w:bCs/>
                <w:color w:val="auto"/>
                <w:sz w:val="24"/>
                <w:szCs w:val="24"/>
                <w:highlight w:val="none"/>
                <w:vertAlign w:val="superscript"/>
                <w:lang w:val="en-US" w:eastAsia="zh-CN"/>
              </w:rPr>
              <w:t>-2</w:t>
            </w:r>
            <w:r>
              <w:rPr>
                <w:rFonts w:hint="default" w:ascii="Times New Roman" w:hAnsi="Times New Roman" w:cs="Times New Roman" w:eastAsiaTheme="minorEastAsia"/>
                <w:sz w:val="24"/>
                <w:szCs w:val="24"/>
                <w:highlight w:val="none"/>
                <w:lang w:val="en-US" w:eastAsia="zh-CN"/>
              </w:rPr>
              <w:t>kg/h</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rPr>
              <w:t>满足《大气污染物综合排放标准》（GB16297-1996）的表2规定要求。</w:t>
            </w:r>
          </w:p>
          <w:p w14:paraId="511823DF">
            <w:pPr>
              <w:keepNext w:val="0"/>
              <w:keepLines w:val="0"/>
              <w:pageBreakBefore w:val="0"/>
              <w:widowControl w:val="0"/>
              <w:kinsoku/>
              <w:wordWrap/>
              <w:overflowPunct/>
              <w:topLinePunct w:val="0"/>
              <w:autoSpaceDE/>
              <w:autoSpaceDN/>
              <w:bidi w:val="0"/>
              <w:adjustRightInd w:val="0"/>
              <w:snapToGrid w:val="0"/>
              <w:spacing w:before="192" w:beforeLines="50" w:after="78" w:afterLines="20" w:line="240" w:lineRule="auto"/>
              <w:ind w:left="0" w:leftChars="0" w:right="0" w:rightChars="0" w:firstLine="0" w:firstLineChars="0"/>
              <w:jc w:val="center"/>
              <w:textAlignment w:val="auto"/>
              <w:outlineLvl w:val="9"/>
              <w:rPr>
                <w:rFonts w:hint="default" w:ascii="Times New Roman" w:hAnsi="Times New Roman" w:eastAsia="仿宋" w:cs="Times New Roman"/>
                <w:b/>
                <w:color w:val="auto"/>
                <w:sz w:val="24"/>
              </w:rPr>
            </w:pPr>
            <w:r>
              <w:rPr>
                <w:rFonts w:hint="eastAsia" w:ascii="Times New Roman" w:hAnsi="Times New Roman" w:eastAsia="仿宋" w:cs="Times New Roman"/>
                <w:b/>
                <w:color w:val="auto"/>
                <w:sz w:val="24"/>
                <w:lang w:val="en-US" w:eastAsia="zh-CN"/>
              </w:rPr>
              <w:t xml:space="preserve">表7-1 </w:t>
            </w:r>
            <w:r>
              <w:rPr>
                <w:rFonts w:hint="default" w:ascii="Times New Roman" w:hAnsi="Times New Roman" w:eastAsia="仿宋" w:cs="Times New Roman"/>
                <w:b/>
                <w:color w:val="auto"/>
                <w:sz w:val="24"/>
              </w:rPr>
              <w:t>废气有组织排放检测结果表</w:t>
            </w:r>
          </w:p>
          <w:tbl>
            <w:tblPr>
              <w:tblStyle w:val="22"/>
              <w:tblW w:w="8918" w:type="dxa"/>
              <w:jc w:val="center"/>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85"/>
              <w:gridCol w:w="960"/>
              <w:gridCol w:w="1037"/>
              <w:gridCol w:w="1014"/>
              <w:gridCol w:w="1474"/>
              <w:gridCol w:w="1474"/>
              <w:gridCol w:w="1474"/>
            </w:tblGrid>
            <w:tr w14:paraId="288A3C14">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restart"/>
                  <w:vAlign w:val="center"/>
                </w:tcPr>
                <w:p w14:paraId="42C1AAFA">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检测点位</w:t>
                  </w:r>
                </w:p>
              </w:tc>
              <w:tc>
                <w:tcPr>
                  <w:tcW w:w="1997" w:type="dxa"/>
                  <w:gridSpan w:val="2"/>
                  <w:vMerge w:val="restart"/>
                  <w:vAlign w:val="center"/>
                </w:tcPr>
                <w:p w14:paraId="13A669ED">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lang w:eastAsia="zh-CN"/>
                    </w:rPr>
                    <w:t>检测</w:t>
                  </w:r>
                  <w:r>
                    <w:rPr>
                      <w:rFonts w:hint="default" w:ascii="Times New Roman" w:hAnsi="Times New Roman" w:eastAsia="仿宋" w:cs="Times New Roman"/>
                      <w:bCs/>
                      <w:color w:val="auto"/>
                      <w:sz w:val="21"/>
                      <w:szCs w:val="21"/>
                    </w:rPr>
                    <w:t>项目</w:t>
                  </w:r>
                </w:p>
              </w:tc>
              <w:tc>
                <w:tcPr>
                  <w:tcW w:w="1014" w:type="dxa"/>
                  <w:vMerge w:val="restart"/>
                  <w:vAlign w:val="center"/>
                </w:tcPr>
                <w:p w14:paraId="26CA90B0">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单位</w:t>
                  </w:r>
                </w:p>
              </w:tc>
              <w:tc>
                <w:tcPr>
                  <w:tcW w:w="4422" w:type="dxa"/>
                  <w:gridSpan w:val="3"/>
                  <w:vAlign w:val="center"/>
                </w:tcPr>
                <w:p w14:paraId="7626ED9F">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检测结果（</w:t>
                  </w: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13</w:t>
                  </w:r>
                  <w:r>
                    <w:rPr>
                      <w:rFonts w:hint="default" w:ascii="Times New Roman" w:hAnsi="Times New Roman" w:eastAsia="仿宋" w:cs="Times New Roman"/>
                      <w:bCs/>
                      <w:color w:val="auto"/>
                      <w:sz w:val="21"/>
                      <w:szCs w:val="21"/>
                    </w:rPr>
                    <w:t>）</w:t>
                  </w:r>
                </w:p>
              </w:tc>
            </w:tr>
            <w:tr w14:paraId="7737E734">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5991A1C5">
                  <w:pPr>
                    <w:jc w:val="center"/>
                    <w:rPr>
                      <w:rFonts w:hint="default" w:ascii="Times New Roman" w:hAnsi="Times New Roman" w:eastAsia="仿宋" w:cs="Times New Roman"/>
                      <w:bCs/>
                      <w:color w:val="auto"/>
                      <w:sz w:val="21"/>
                      <w:szCs w:val="21"/>
                      <w:lang w:val="en-US" w:eastAsia="zh-CN"/>
                    </w:rPr>
                  </w:pPr>
                </w:p>
              </w:tc>
              <w:tc>
                <w:tcPr>
                  <w:tcW w:w="1997" w:type="dxa"/>
                  <w:gridSpan w:val="2"/>
                  <w:vMerge w:val="continue"/>
                  <w:vAlign w:val="center"/>
                </w:tcPr>
                <w:p w14:paraId="19B77AF5">
                  <w:pPr>
                    <w:jc w:val="center"/>
                    <w:rPr>
                      <w:rFonts w:hint="default" w:ascii="Times New Roman" w:hAnsi="Times New Roman" w:eastAsia="仿宋" w:cs="Times New Roman"/>
                      <w:bCs/>
                      <w:color w:val="auto"/>
                      <w:sz w:val="21"/>
                      <w:szCs w:val="21"/>
                      <w:lang w:val="en-US" w:eastAsia="zh-CN"/>
                    </w:rPr>
                  </w:pPr>
                </w:p>
              </w:tc>
              <w:tc>
                <w:tcPr>
                  <w:tcW w:w="1014" w:type="dxa"/>
                  <w:vMerge w:val="continue"/>
                  <w:vAlign w:val="center"/>
                </w:tcPr>
                <w:p w14:paraId="132A9E47">
                  <w:pPr>
                    <w:jc w:val="center"/>
                    <w:rPr>
                      <w:rFonts w:hint="default" w:ascii="Times New Roman" w:hAnsi="Times New Roman" w:eastAsia="仿宋" w:cs="Times New Roman"/>
                      <w:color w:val="auto"/>
                      <w:sz w:val="21"/>
                      <w:szCs w:val="21"/>
                      <w:lang w:val="en-US" w:eastAsia="zh-CN"/>
                    </w:rPr>
                  </w:pPr>
                </w:p>
              </w:tc>
              <w:tc>
                <w:tcPr>
                  <w:tcW w:w="1474" w:type="dxa"/>
                  <w:vAlign w:val="center"/>
                </w:tcPr>
                <w:p w14:paraId="393325CF">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1次</w:t>
                  </w:r>
                </w:p>
              </w:tc>
              <w:tc>
                <w:tcPr>
                  <w:tcW w:w="1474" w:type="dxa"/>
                  <w:vAlign w:val="center"/>
                </w:tcPr>
                <w:p w14:paraId="7FEB5D18">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2次</w:t>
                  </w:r>
                </w:p>
              </w:tc>
              <w:tc>
                <w:tcPr>
                  <w:tcW w:w="1474" w:type="dxa"/>
                  <w:vAlign w:val="center"/>
                </w:tcPr>
                <w:p w14:paraId="3F32ED80">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3次</w:t>
                  </w:r>
                </w:p>
              </w:tc>
            </w:tr>
            <w:tr w14:paraId="5764D7E2">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restart"/>
                  <w:vAlign w:val="center"/>
                </w:tcPr>
                <w:p w14:paraId="64A2C9A7">
                  <w:pPr>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bCs/>
                      <w:color w:val="auto"/>
                      <w:sz w:val="21"/>
                      <w:szCs w:val="21"/>
                      <w:lang w:val="en-US" w:eastAsia="zh-CN"/>
                    </w:rPr>
                    <w:t>排气筒(DA001)</w:t>
                  </w:r>
                </w:p>
              </w:tc>
              <w:tc>
                <w:tcPr>
                  <w:tcW w:w="1997" w:type="dxa"/>
                  <w:gridSpan w:val="2"/>
                  <w:vAlign w:val="center"/>
                </w:tcPr>
                <w:p w14:paraId="18D48929">
                  <w:pPr>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bCs/>
                      <w:color w:val="auto"/>
                      <w:sz w:val="21"/>
                      <w:szCs w:val="21"/>
                      <w:lang w:val="en-US" w:eastAsia="zh-CN"/>
                    </w:rPr>
                    <w:t>排气筒高度</w:t>
                  </w:r>
                </w:p>
              </w:tc>
              <w:tc>
                <w:tcPr>
                  <w:tcW w:w="1014" w:type="dxa"/>
                  <w:vAlign w:val="center"/>
                </w:tcPr>
                <w:p w14:paraId="0DF513A0">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m</w:t>
                  </w:r>
                </w:p>
              </w:tc>
              <w:tc>
                <w:tcPr>
                  <w:tcW w:w="4422" w:type="dxa"/>
                  <w:gridSpan w:val="3"/>
                  <w:vAlign w:val="center"/>
                </w:tcPr>
                <w:p w14:paraId="480B546C">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15</w:t>
                  </w:r>
                </w:p>
              </w:tc>
            </w:tr>
            <w:tr w14:paraId="5555CE8C">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35612A79">
                  <w:pPr>
                    <w:jc w:val="center"/>
                    <w:rPr>
                      <w:rFonts w:hint="default" w:ascii="Times New Roman" w:hAnsi="Times New Roman" w:eastAsia="仿宋" w:cs="Times New Roman"/>
                      <w:bCs/>
                      <w:color w:val="auto"/>
                      <w:sz w:val="21"/>
                      <w:szCs w:val="21"/>
                    </w:rPr>
                  </w:pPr>
                </w:p>
              </w:tc>
              <w:tc>
                <w:tcPr>
                  <w:tcW w:w="1997" w:type="dxa"/>
                  <w:gridSpan w:val="2"/>
                  <w:vAlign w:val="center"/>
                </w:tcPr>
                <w:p w14:paraId="36867A61">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 w:val="21"/>
                      <w:szCs w:val="21"/>
                      <w:lang w:eastAsia="zh-CN"/>
                    </w:rPr>
                    <w:t>标干流量</w:t>
                  </w:r>
                </w:p>
              </w:tc>
              <w:tc>
                <w:tcPr>
                  <w:tcW w:w="1014" w:type="dxa"/>
                  <w:vAlign w:val="center"/>
                </w:tcPr>
                <w:p w14:paraId="6FEBFC3A">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color w:val="auto"/>
                      <w:sz w:val="21"/>
                      <w:szCs w:val="21"/>
                    </w:rPr>
                    <w:t>Nm</w:t>
                  </w:r>
                  <w:r>
                    <w:rPr>
                      <w:rFonts w:hint="default" w:ascii="Times New Roman" w:hAnsi="Times New Roman" w:eastAsia="仿宋" w:cs="Times New Roman"/>
                      <w:color w:val="auto"/>
                      <w:sz w:val="21"/>
                      <w:szCs w:val="21"/>
                      <w:vertAlign w:val="superscript"/>
                    </w:rPr>
                    <w:t>3</w:t>
                  </w:r>
                  <w:r>
                    <w:rPr>
                      <w:rFonts w:hint="default" w:ascii="Times New Roman" w:hAnsi="Times New Roman" w:eastAsia="仿宋" w:cs="Times New Roman"/>
                      <w:color w:val="auto"/>
                      <w:sz w:val="21"/>
                      <w:szCs w:val="21"/>
                    </w:rPr>
                    <w:t>/h</w:t>
                  </w:r>
                </w:p>
              </w:tc>
              <w:tc>
                <w:tcPr>
                  <w:tcW w:w="1474" w:type="dxa"/>
                  <w:vAlign w:val="center"/>
                </w:tcPr>
                <w:p w14:paraId="03E18B1F">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5982</w:t>
                  </w:r>
                </w:p>
              </w:tc>
              <w:tc>
                <w:tcPr>
                  <w:tcW w:w="1474" w:type="dxa"/>
                  <w:vAlign w:val="center"/>
                </w:tcPr>
                <w:p w14:paraId="24C7316D">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5944</w:t>
                  </w:r>
                </w:p>
              </w:tc>
              <w:tc>
                <w:tcPr>
                  <w:tcW w:w="1474" w:type="dxa"/>
                  <w:vAlign w:val="center"/>
                </w:tcPr>
                <w:p w14:paraId="2BDEBDFB">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5959</w:t>
                  </w:r>
                </w:p>
              </w:tc>
            </w:tr>
            <w:tr w14:paraId="2D582522">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03EF25F8">
                  <w:pPr>
                    <w:jc w:val="center"/>
                    <w:rPr>
                      <w:rFonts w:hint="default" w:ascii="Times New Roman" w:hAnsi="Times New Roman" w:eastAsia="仿宋" w:cs="Times New Roman"/>
                      <w:bCs/>
                      <w:color w:val="auto"/>
                      <w:sz w:val="21"/>
                      <w:szCs w:val="21"/>
                    </w:rPr>
                  </w:pPr>
                </w:p>
              </w:tc>
              <w:tc>
                <w:tcPr>
                  <w:tcW w:w="960" w:type="dxa"/>
                  <w:vMerge w:val="restart"/>
                  <w:vAlign w:val="center"/>
                </w:tcPr>
                <w:p w14:paraId="7C109C88">
                  <w:pPr>
                    <w:jc w:val="center"/>
                    <w:rPr>
                      <w:rFonts w:hint="eastAsia"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非甲烷</w:t>
                  </w:r>
                </w:p>
                <w:p w14:paraId="2EF7DBAB">
                  <w:pPr>
                    <w:jc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总烃</w:t>
                  </w:r>
                </w:p>
              </w:tc>
              <w:tc>
                <w:tcPr>
                  <w:tcW w:w="1037" w:type="dxa"/>
                  <w:vAlign w:val="center"/>
                </w:tcPr>
                <w:p w14:paraId="16FC2D0F">
                  <w:pPr>
                    <w:jc w:val="center"/>
                    <w:rPr>
                      <w:rFonts w:hint="default" w:ascii="Times New Roman" w:hAnsi="Times New Roman" w:eastAsia="仿宋" w:cs="Times New Roman"/>
                      <w:bCs/>
                      <w:color w:val="auto"/>
                      <w:sz w:val="21"/>
                      <w:szCs w:val="21"/>
                      <w:lang w:eastAsia="zh-CN"/>
                    </w:rPr>
                  </w:pPr>
                  <w:r>
                    <w:rPr>
                      <w:rFonts w:hint="eastAsia" w:ascii="Times New Roman" w:hAnsi="Times New Roman" w:eastAsia="仿宋" w:cs="Times New Roman"/>
                      <w:bCs/>
                      <w:color w:val="auto"/>
                      <w:sz w:val="21"/>
                      <w:szCs w:val="21"/>
                      <w:lang w:val="en-US" w:eastAsia="zh-CN"/>
                    </w:rPr>
                    <w:t>排放</w:t>
                  </w:r>
                  <w:r>
                    <w:rPr>
                      <w:rFonts w:hint="default" w:ascii="Times New Roman" w:hAnsi="Times New Roman" w:eastAsia="仿宋" w:cs="Times New Roman"/>
                      <w:bCs/>
                      <w:color w:val="auto"/>
                      <w:sz w:val="21"/>
                      <w:szCs w:val="21"/>
                    </w:rPr>
                    <w:t>浓度</w:t>
                  </w:r>
                </w:p>
              </w:tc>
              <w:tc>
                <w:tcPr>
                  <w:tcW w:w="1014" w:type="dxa"/>
                  <w:vAlign w:val="center"/>
                </w:tcPr>
                <w:p w14:paraId="573CBD6E">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mg/m</w:t>
                  </w:r>
                  <w:r>
                    <w:rPr>
                      <w:rFonts w:hint="default" w:ascii="Times New Roman" w:hAnsi="Times New Roman" w:eastAsia="仿宋" w:cs="Times New Roman"/>
                      <w:bCs/>
                      <w:color w:val="auto"/>
                      <w:sz w:val="21"/>
                      <w:szCs w:val="21"/>
                      <w:vertAlign w:val="superscript"/>
                    </w:rPr>
                    <w:t>3</w:t>
                  </w:r>
                </w:p>
              </w:tc>
              <w:tc>
                <w:tcPr>
                  <w:tcW w:w="1474" w:type="dxa"/>
                  <w:vAlign w:val="center"/>
                </w:tcPr>
                <w:p w14:paraId="7DC07D2D">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4.4</w:t>
                  </w:r>
                </w:p>
              </w:tc>
              <w:tc>
                <w:tcPr>
                  <w:tcW w:w="1474" w:type="dxa"/>
                  <w:vAlign w:val="center"/>
                </w:tcPr>
                <w:p w14:paraId="1ADE9045">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4.1</w:t>
                  </w:r>
                </w:p>
              </w:tc>
              <w:tc>
                <w:tcPr>
                  <w:tcW w:w="1474" w:type="dxa"/>
                  <w:vAlign w:val="center"/>
                </w:tcPr>
                <w:p w14:paraId="078C05EE">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4.6</w:t>
                  </w:r>
                </w:p>
              </w:tc>
            </w:tr>
            <w:tr w14:paraId="12EBB0D8">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4E4C5DC3">
                  <w:pPr>
                    <w:jc w:val="center"/>
                    <w:rPr>
                      <w:rFonts w:hint="default" w:ascii="Times New Roman" w:hAnsi="Times New Roman" w:eastAsia="仿宋" w:cs="Times New Roman"/>
                      <w:bCs/>
                      <w:color w:val="auto"/>
                      <w:sz w:val="21"/>
                      <w:szCs w:val="21"/>
                    </w:rPr>
                  </w:pPr>
                </w:p>
              </w:tc>
              <w:tc>
                <w:tcPr>
                  <w:tcW w:w="960" w:type="dxa"/>
                  <w:vMerge w:val="continue"/>
                  <w:vAlign w:val="center"/>
                </w:tcPr>
                <w:p w14:paraId="3DC553B3">
                  <w:pPr>
                    <w:jc w:val="center"/>
                    <w:rPr>
                      <w:rFonts w:hint="default" w:ascii="Times New Roman" w:hAnsi="Times New Roman" w:eastAsia="仿宋" w:cs="Times New Roman"/>
                      <w:bCs/>
                      <w:color w:val="auto"/>
                      <w:sz w:val="21"/>
                      <w:szCs w:val="21"/>
                      <w:lang w:eastAsia="zh-CN"/>
                    </w:rPr>
                  </w:pPr>
                </w:p>
              </w:tc>
              <w:tc>
                <w:tcPr>
                  <w:tcW w:w="1037" w:type="dxa"/>
                  <w:vAlign w:val="center"/>
                </w:tcPr>
                <w:p w14:paraId="1E5165A0">
                  <w:pPr>
                    <w:jc w:val="center"/>
                    <w:rPr>
                      <w:rFonts w:hint="default" w:ascii="Times New Roman" w:hAnsi="Times New Roman" w:eastAsia="仿宋" w:cs="Times New Roman"/>
                      <w:bCs/>
                      <w:color w:val="auto"/>
                      <w:sz w:val="21"/>
                      <w:szCs w:val="21"/>
                      <w:lang w:eastAsia="zh-CN"/>
                    </w:rPr>
                  </w:pPr>
                  <w:r>
                    <w:rPr>
                      <w:rFonts w:hint="default" w:ascii="Times New Roman" w:hAnsi="Times New Roman" w:eastAsia="仿宋" w:cs="Times New Roman"/>
                      <w:bCs/>
                      <w:color w:val="auto"/>
                      <w:sz w:val="21"/>
                      <w:szCs w:val="21"/>
                    </w:rPr>
                    <w:t>排放速率</w:t>
                  </w:r>
                </w:p>
              </w:tc>
              <w:tc>
                <w:tcPr>
                  <w:tcW w:w="1014" w:type="dxa"/>
                  <w:vAlign w:val="center"/>
                </w:tcPr>
                <w:p w14:paraId="37DEC6D3">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color w:val="auto"/>
                      <w:sz w:val="21"/>
                      <w:szCs w:val="21"/>
                    </w:rPr>
                    <w:t>kg/h</w:t>
                  </w:r>
                </w:p>
              </w:tc>
              <w:tc>
                <w:tcPr>
                  <w:tcW w:w="1474" w:type="dxa"/>
                  <w:vAlign w:val="center"/>
                </w:tcPr>
                <w:p w14:paraId="6A094D87">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2.63</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1894DB08">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bCs/>
                      <w:color w:val="auto"/>
                      <w:sz w:val="21"/>
                      <w:szCs w:val="21"/>
                      <w:lang w:val="en-US" w:eastAsia="zh-CN"/>
                    </w:rPr>
                    <w:t>2.44</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4114E9AF">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bCs/>
                      <w:color w:val="auto"/>
                      <w:sz w:val="21"/>
                      <w:szCs w:val="21"/>
                      <w:lang w:val="en-US" w:eastAsia="zh-CN"/>
                    </w:rPr>
                    <w:t>2.74</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r>
            <w:tr w14:paraId="1EA31BE1">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34EDA5B6">
                  <w:pPr>
                    <w:jc w:val="center"/>
                    <w:rPr>
                      <w:rFonts w:hint="default" w:ascii="Times New Roman" w:hAnsi="Times New Roman" w:eastAsia="仿宋" w:cs="Times New Roman"/>
                      <w:bCs/>
                      <w:color w:val="auto"/>
                      <w:sz w:val="21"/>
                      <w:szCs w:val="21"/>
                    </w:rPr>
                  </w:pPr>
                </w:p>
              </w:tc>
              <w:tc>
                <w:tcPr>
                  <w:tcW w:w="960" w:type="dxa"/>
                  <w:vMerge w:val="restart"/>
                  <w:vAlign w:val="center"/>
                </w:tcPr>
                <w:p w14:paraId="55E67763">
                  <w:pPr>
                    <w:jc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颗粒物</w:t>
                  </w:r>
                </w:p>
              </w:tc>
              <w:tc>
                <w:tcPr>
                  <w:tcW w:w="1037" w:type="dxa"/>
                  <w:vAlign w:val="center"/>
                </w:tcPr>
                <w:p w14:paraId="672072CD">
                  <w:pPr>
                    <w:jc w:val="center"/>
                    <w:rPr>
                      <w:rFonts w:hint="default" w:ascii="Times New Roman" w:hAnsi="Times New Roman" w:eastAsia="仿宋" w:cs="Times New Roman"/>
                      <w:bCs/>
                      <w:color w:val="auto"/>
                      <w:sz w:val="21"/>
                      <w:szCs w:val="21"/>
                    </w:rPr>
                  </w:pPr>
                  <w:r>
                    <w:rPr>
                      <w:rFonts w:hint="eastAsia" w:ascii="Times New Roman" w:hAnsi="Times New Roman" w:eastAsia="仿宋" w:cs="Times New Roman"/>
                      <w:bCs/>
                      <w:color w:val="auto"/>
                      <w:sz w:val="21"/>
                      <w:szCs w:val="21"/>
                      <w:lang w:val="en-US" w:eastAsia="zh-CN"/>
                    </w:rPr>
                    <w:t>排放</w:t>
                  </w:r>
                  <w:r>
                    <w:rPr>
                      <w:rFonts w:hint="default" w:ascii="Times New Roman" w:hAnsi="Times New Roman" w:eastAsia="仿宋" w:cs="Times New Roman"/>
                      <w:bCs/>
                      <w:color w:val="auto"/>
                      <w:sz w:val="21"/>
                      <w:szCs w:val="21"/>
                    </w:rPr>
                    <w:t>浓度</w:t>
                  </w:r>
                </w:p>
              </w:tc>
              <w:tc>
                <w:tcPr>
                  <w:tcW w:w="1014" w:type="dxa"/>
                  <w:vAlign w:val="center"/>
                </w:tcPr>
                <w:p w14:paraId="7DB2A1E6">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bCs/>
                      <w:color w:val="auto"/>
                      <w:sz w:val="21"/>
                      <w:szCs w:val="21"/>
                    </w:rPr>
                    <w:t>mg/m</w:t>
                  </w:r>
                  <w:r>
                    <w:rPr>
                      <w:rFonts w:hint="default" w:ascii="Times New Roman" w:hAnsi="Times New Roman" w:eastAsia="仿宋" w:cs="Times New Roman"/>
                      <w:bCs/>
                      <w:color w:val="auto"/>
                      <w:sz w:val="21"/>
                      <w:szCs w:val="21"/>
                      <w:vertAlign w:val="superscript"/>
                    </w:rPr>
                    <w:t>3</w:t>
                  </w:r>
                </w:p>
              </w:tc>
              <w:tc>
                <w:tcPr>
                  <w:tcW w:w="1474" w:type="dxa"/>
                  <w:vAlign w:val="center"/>
                </w:tcPr>
                <w:p w14:paraId="1B032574">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1.86</w:t>
                  </w:r>
                </w:p>
              </w:tc>
              <w:tc>
                <w:tcPr>
                  <w:tcW w:w="1474" w:type="dxa"/>
                  <w:vAlign w:val="center"/>
                </w:tcPr>
                <w:p w14:paraId="3277BAAE">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1.93</w:t>
                  </w:r>
                </w:p>
              </w:tc>
              <w:tc>
                <w:tcPr>
                  <w:tcW w:w="1474" w:type="dxa"/>
                  <w:vAlign w:val="center"/>
                </w:tcPr>
                <w:p w14:paraId="132643CC">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1.90</w:t>
                  </w:r>
                </w:p>
              </w:tc>
            </w:tr>
            <w:tr w14:paraId="0C0944E0">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1E6394D0">
                  <w:pPr>
                    <w:jc w:val="center"/>
                    <w:rPr>
                      <w:rFonts w:hint="default" w:ascii="Times New Roman" w:hAnsi="Times New Roman" w:eastAsia="仿宋" w:cs="Times New Roman"/>
                      <w:bCs/>
                      <w:color w:val="auto"/>
                      <w:sz w:val="21"/>
                      <w:szCs w:val="21"/>
                    </w:rPr>
                  </w:pPr>
                </w:p>
              </w:tc>
              <w:tc>
                <w:tcPr>
                  <w:tcW w:w="960" w:type="dxa"/>
                  <w:vMerge w:val="continue"/>
                  <w:vAlign w:val="center"/>
                </w:tcPr>
                <w:p w14:paraId="22CF3C0E">
                  <w:pPr>
                    <w:jc w:val="center"/>
                    <w:rPr>
                      <w:rFonts w:hint="default" w:ascii="Times New Roman" w:hAnsi="Times New Roman" w:eastAsia="仿宋" w:cs="Times New Roman"/>
                      <w:bCs/>
                      <w:color w:val="auto"/>
                      <w:sz w:val="21"/>
                      <w:szCs w:val="21"/>
                      <w:lang w:eastAsia="zh-CN"/>
                    </w:rPr>
                  </w:pPr>
                </w:p>
              </w:tc>
              <w:tc>
                <w:tcPr>
                  <w:tcW w:w="1037" w:type="dxa"/>
                  <w:vAlign w:val="center"/>
                </w:tcPr>
                <w:p w14:paraId="3BAD84D9">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排放速率</w:t>
                  </w:r>
                </w:p>
              </w:tc>
              <w:tc>
                <w:tcPr>
                  <w:tcW w:w="1014" w:type="dxa"/>
                  <w:vAlign w:val="center"/>
                </w:tcPr>
                <w:p w14:paraId="59ED3E73">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kg/h</w:t>
                  </w:r>
                </w:p>
              </w:tc>
              <w:tc>
                <w:tcPr>
                  <w:tcW w:w="1474" w:type="dxa"/>
                  <w:vAlign w:val="center"/>
                </w:tcPr>
                <w:p w14:paraId="1A824035">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1.11</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05A94366">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1.15</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3DA50B42">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1.13</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r>
            <w:tr w14:paraId="2F5827FE">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restart"/>
                  <w:vAlign w:val="center"/>
                </w:tcPr>
                <w:p w14:paraId="560AD1F9">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检测点位</w:t>
                  </w:r>
                </w:p>
              </w:tc>
              <w:tc>
                <w:tcPr>
                  <w:tcW w:w="1997" w:type="dxa"/>
                  <w:gridSpan w:val="2"/>
                  <w:vMerge w:val="restart"/>
                  <w:vAlign w:val="center"/>
                </w:tcPr>
                <w:p w14:paraId="24CB535A">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lang w:eastAsia="zh-CN"/>
                    </w:rPr>
                    <w:t>检测</w:t>
                  </w:r>
                  <w:r>
                    <w:rPr>
                      <w:rFonts w:hint="default" w:ascii="Times New Roman" w:hAnsi="Times New Roman" w:eastAsia="仿宋" w:cs="Times New Roman"/>
                      <w:bCs/>
                      <w:color w:val="auto"/>
                      <w:sz w:val="21"/>
                      <w:szCs w:val="21"/>
                    </w:rPr>
                    <w:t>项目</w:t>
                  </w:r>
                </w:p>
              </w:tc>
              <w:tc>
                <w:tcPr>
                  <w:tcW w:w="1014" w:type="dxa"/>
                  <w:vMerge w:val="restart"/>
                  <w:vAlign w:val="center"/>
                </w:tcPr>
                <w:p w14:paraId="13AF95EF">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单位</w:t>
                  </w:r>
                </w:p>
              </w:tc>
              <w:tc>
                <w:tcPr>
                  <w:tcW w:w="4422" w:type="dxa"/>
                  <w:gridSpan w:val="3"/>
                  <w:vAlign w:val="center"/>
                </w:tcPr>
                <w:p w14:paraId="5D7E0BDF">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检测结果（</w:t>
                  </w: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14</w:t>
                  </w:r>
                  <w:r>
                    <w:rPr>
                      <w:rFonts w:hint="default" w:ascii="Times New Roman" w:hAnsi="Times New Roman" w:eastAsia="仿宋" w:cs="Times New Roman"/>
                      <w:bCs/>
                      <w:color w:val="auto"/>
                      <w:sz w:val="21"/>
                      <w:szCs w:val="21"/>
                    </w:rPr>
                    <w:t>）</w:t>
                  </w:r>
                </w:p>
              </w:tc>
            </w:tr>
            <w:tr w14:paraId="43EBC6A6">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6D8B1D36">
                  <w:pPr>
                    <w:jc w:val="center"/>
                    <w:rPr>
                      <w:rFonts w:hint="default" w:ascii="Times New Roman" w:hAnsi="Times New Roman" w:eastAsia="仿宋" w:cs="Times New Roman"/>
                      <w:bCs/>
                      <w:color w:val="auto"/>
                      <w:sz w:val="21"/>
                      <w:szCs w:val="21"/>
                      <w:lang w:val="en-US" w:eastAsia="zh-CN"/>
                    </w:rPr>
                  </w:pPr>
                </w:p>
              </w:tc>
              <w:tc>
                <w:tcPr>
                  <w:tcW w:w="1997" w:type="dxa"/>
                  <w:gridSpan w:val="2"/>
                  <w:vMerge w:val="continue"/>
                  <w:vAlign w:val="center"/>
                </w:tcPr>
                <w:p w14:paraId="7560909B">
                  <w:pPr>
                    <w:jc w:val="center"/>
                    <w:rPr>
                      <w:rFonts w:hint="default" w:ascii="Times New Roman" w:hAnsi="Times New Roman" w:eastAsia="仿宋" w:cs="Times New Roman"/>
                      <w:bCs/>
                      <w:color w:val="auto"/>
                      <w:sz w:val="21"/>
                      <w:szCs w:val="21"/>
                      <w:lang w:val="en-US" w:eastAsia="zh-CN"/>
                    </w:rPr>
                  </w:pPr>
                </w:p>
              </w:tc>
              <w:tc>
                <w:tcPr>
                  <w:tcW w:w="1014" w:type="dxa"/>
                  <w:vMerge w:val="continue"/>
                  <w:vAlign w:val="center"/>
                </w:tcPr>
                <w:p w14:paraId="70C94AB4">
                  <w:pPr>
                    <w:jc w:val="center"/>
                    <w:rPr>
                      <w:rFonts w:hint="default" w:ascii="Times New Roman" w:hAnsi="Times New Roman" w:eastAsia="仿宋" w:cs="Times New Roman"/>
                      <w:color w:val="auto"/>
                      <w:sz w:val="21"/>
                      <w:szCs w:val="21"/>
                      <w:lang w:val="en-US" w:eastAsia="zh-CN"/>
                    </w:rPr>
                  </w:pPr>
                </w:p>
              </w:tc>
              <w:tc>
                <w:tcPr>
                  <w:tcW w:w="1474" w:type="dxa"/>
                  <w:vAlign w:val="center"/>
                </w:tcPr>
                <w:p w14:paraId="7AE2905C">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1次</w:t>
                  </w:r>
                </w:p>
              </w:tc>
              <w:tc>
                <w:tcPr>
                  <w:tcW w:w="1474" w:type="dxa"/>
                  <w:vAlign w:val="center"/>
                </w:tcPr>
                <w:p w14:paraId="2CFD8E52">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2次</w:t>
                  </w:r>
                </w:p>
              </w:tc>
              <w:tc>
                <w:tcPr>
                  <w:tcW w:w="1474" w:type="dxa"/>
                  <w:vAlign w:val="center"/>
                </w:tcPr>
                <w:p w14:paraId="33D624EB">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kern w:val="2"/>
                      <w:sz w:val="21"/>
                      <w:szCs w:val="21"/>
                      <w:lang w:val="en-US" w:eastAsia="zh-CN" w:bidi="ar-SA"/>
                    </w:rPr>
                    <w:t>3次</w:t>
                  </w:r>
                </w:p>
              </w:tc>
            </w:tr>
            <w:tr w14:paraId="721B3EA2">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restart"/>
                  <w:vAlign w:val="center"/>
                </w:tcPr>
                <w:p w14:paraId="26D9F97C">
                  <w:pPr>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bCs/>
                      <w:color w:val="auto"/>
                      <w:sz w:val="21"/>
                      <w:szCs w:val="21"/>
                      <w:lang w:val="en-US" w:eastAsia="zh-CN"/>
                    </w:rPr>
                    <w:t>排气筒(DA001)</w:t>
                  </w:r>
                </w:p>
              </w:tc>
              <w:tc>
                <w:tcPr>
                  <w:tcW w:w="1997" w:type="dxa"/>
                  <w:gridSpan w:val="2"/>
                  <w:vAlign w:val="center"/>
                </w:tcPr>
                <w:p w14:paraId="5027113C">
                  <w:pPr>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bCs/>
                      <w:color w:val="auto"/>
                      <w:sz w:val="21"/>
                      <w:szCs w:val="21"/>
                      <w:lang w:val="en-US" w:eastAsia="zh-CN"/>
                    </w:rPr>
                    <w:t>排气筒高度</w:t>
                  </w:r>
                </w:p>
              </w:tc>
              <w:tc>
                <w:tcPr>
                  <w:tcW w:w="1014" w:type="dxa"/>
                  <w:vAlign w:val="center"/>
                </w:tcPr>
                <w:p w14:paraId="42B51822">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m</w:t>
                  </w:r>
                </w:p>
              </w:tc>
              <w:tc>
                <w:tcPr>
                  <w:tcW w:w="4422" w:type="dxa"/>
                  <w:gridSpan w:val="3"/>
                  <w:vAlign w:val="center"/>
                </w:tcPr>
                <w:p w14:paraId="54EB8123">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15</w:t>
                  </w:r>
                </w:p>
              </w:tc>
            </w:tr>
            <w:tr w14:paraId="0472B80B">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5DBD1AE4">
                  <w:pPr>
                    <w:jc w:val="center"/>
                    <w:rPr>
                      <w:rFonts w:hint="default" w:ascii="Times New Roman" w:hAnsi="Times New Roman" w:eastAsia="仿宋" w:cs="Times New Roman"/>
                      <w:bCs/>
                      <w:color w:val="auto"/>
                      <w:sz w:val="21"/>
                      <w:szCs w:val="21"/>
                    </w:rPr>
                  </w:pPr>
                </w:p>
              </w:tc>
              <w:tc>
                <w:tcPr>
                  <w:tcW w:w="1997" w:type="dxa"/>
                  <w:gridSpan w:val="2"/>
                  <w:vAlign w:val="center"/>
                </w:tcPr>
                <w:p w14:paraId="1A3CB099">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 w:val="21"/>
                      <w:szCs w:val="21"/>
                      <w:lang w:eastAsia="zh-CN"/>
                    </w:rPr>
                    <w:t>标干流量</w:t>
                  </w:r>
                </w:p>
              </w:tc>
              <w:tc>
                <w:tcPr>
                  <w:tcW w:w="1014" w:type="dxa"/>
                  <w:vAlign w:val="center"/>
                </w:tcPr>
                <w:p w14:paraId="2ED89449">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color w:val="auto"/>
                      <w:sz w:val="21"/>
                      <w:szCs w:val="21"/>
                    </w:rPr>
                    <w:t>Nm</w:t>
                  </w:r>
                  <w:r>
                    <w:rPr>
                      <w:rFonts w:hint="default" w:ascii="Times New Roman" w:hAnsi="Times New Roman" w:eastAsia="仿宋" w:cs="Times New Roman"/>
                      <w:color w:val="auto"/>
                      <w:sz w:val="21"/>
                      <w:szCs w:val="21"/>
                      <w:vertAlign w:val="superscript"/>
                    </w:rPr>
                    <w:t>3</w:t>
                  </w:r>
                  <w:r>
                    <w:rPr>
                      <w:rFonts w:hint="default" w:ascii="Times New Roman" w:hAnsi="Times New Roman" w:eastAsia="仿宋" w:cs="Times New Roman"/>
                      <w:color w:val="auto"/>
                      <w:sz w:val="21"/>
                      <w:szCs w:val="21"/>
                    </w:rPr>
                    <w:t>/h</w:t>
                  </w:r>
                </w:p>
              </w:tc>
              <w:tc>
                <w:tcPr>
                  <w:tcW w:w="1474" w:type="dxa"/>
                  <w:vAlign w:val="center"/>
                </w:tcPr>
                <w:p w14:paraId="296FE730">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5936</w:t>
                  </w:r>
                </w:p>
              </w:tc>
              <w:tc>
                <w:tcPr>
                  <w:tcW w:w="1474" w:type="dxa"/>
                  <w:vAlign w:val="center"/>
                </w:tcPr>
                <w:p w14:paraId="6DC40181">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5902</w:t>
                  </w:r>
                </w:p>
              </w:tc>
              <w:tc>
                <w:tcPr>
                  <w:tcW w:w="1474" w:type="dxa"/>
                  <w:vAlign w:val="center"/>
                </w:tcPr>
                <w:p w14:paraId="1263DDB3">
                  <w:pPr>
                    <w:widowControl/>
                    <w:jc w:val="center"/>
                    <w:textAlignment w:val="center"/>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eastAsia="仿宋" w:cs="Times New Roman"/>
                      <w:bCs/>
                      <w:color w:val="auto"/>
                      <w:kern w:val="2"/>
                      <w:sz w:val="21"/>
                      <w:szCs w:val="21"/>
                      <w:lang w:val="en-US" w:eastAsia="zh-CN" w:bidi="ar-SA"/>
                    </w:rPr>
                    <w:t>5910</w:t>
                  </w:r>
                </w:p>
              </w:tc>
            </w:tr>
            <w:tr w14:paraId="5A48C9E6">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5D7988B2">
                  <w:pPr>
                    <w:jc w:val="center"/>
                    <w:rPr>
                      <w:rFonts w:hint="default" w:ascii="Times New Roman" w:hAnsi="Times New Roman" w:eastAsia="仿宋" w:cs="Times New Roman"/>
                      <w:bCs/>
                      <w:color w:val="auto"/>
                      <w:sz w:val="21"/>
                      <w:szCs w:val="21"/>
                    </w:rPr>
                  </w:pPr>
                </w:p>
              </w:tc>
              <w:tc>
                <w:tcPr>
                  <w:tcW w:w="960" w:type="dxa"/>
                  <w:vMerge w:val="restart"/>
                  <w:vAlign w:val="center"/>
                </w:tcPr>
                <w:p w14:paraId="5C8EAB34">
                  <w:pPr>
                    <w:jc w:val="center"/>
                    <w:rPr>
                      <w:rFonts w:hint="eastAsia"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非甲烷</w:t>
                  </w:r>
                </w:p>
                <w:p w14:paraId="73E6091F">
                  <w:pPr>
                    <w:jc w:val="center"/>
                    <w:rPr>
                      <w:rFonts w:hint="default" w:ascii="Times New Roman" w:hAnsi="Times New Roman" w:eastAsia="仿宋" w:cs="Times New Roman"/>
                      <w:bCs/>
                      <w:color w:val="auto"/>
                      <w:sz w:val="21"/>
                      <w:szCs w:val="21"/>
                      <w:lang w:eastAsia="zh-CN"/>
                    </w:rPr>
                  </w:pPr>
                  <w:r>
                    <w:rPr>
                      <w:rFonts w:hint="eastAsia" w:ascii="Times New Roman" w:hAnsi="Times New Roman" w:eastAsia="仿宋" w:cs="Times New Roman"/>
                      <w:bCs/>
                      <w:color w:val="auto"/>
                      <w:sz w:val="21"/>
                      <w:szCs w:val="21"/>
                      <w:lang w:val="en-US" w:eastAsia="zh-CN"/>
                    </w:rPr>
                    <w:t>总烃</w:t>
                  </w:r>
                </w:p>
              </w:tc>
              <w:tc>
                <w:tcPr>
                  <w:tcW w:w="1037" w:type="dxa"/>
                  <w:vAlign w:val="center"/>
                </w:tcPr>
                <w:p w14:paraId="3C560A1E">
                  <w:pPr>
                    <w:jc w:val="center"/>
                    <w:rPr>
                      <w:rFonts w:hint="default" w:ascii="Times New Roman" w:hAnsi="Times New Roman" w:eastAsia="仿宋" w:cs="Times New Roman"/>
                      <w:bCs/>
                      <w:color w:val="auto"/>
                      <w:sz w:val="21"/>
                      <w:szCs w:val="21"/>
                      <w:lang w:eastAsia="zh-CN"/>
                    </w:rPr>
                  </w:pPr>
                  <w:r>
                    <w:rPr>
                      <w:rFonts w:hint="eastAsia" w:ascii="Times New Roman" w:hAnsi="Times New Roman" w:eastAsia="仿宋" w:cs="Times New Roman"/>
                      <w:bCs/>
                      <w:color w:val="auto"/>
                      <w:sz w:val="21"/>
                      <w:szCs w:val="21"/>
                      <w:lang w:val="en-US" w:eastAsia="zh-CN"/>
                    </w:rPr>
                    <w:t>排放</w:t>
                  </w:r>
                  <w:r>
                    <w:rPr>
                      <w:rFonts w:hint="default" w:ascii="Times New Roman" w:hAnsi="Times New Roman" w:eastAsia="仿宋" w:cs="Times New Roman"/>
                      <w:bCs/>
                      <w:color w:val="auto"/>
                      <w:sz w:val="21"/>
                      <w:szCs w:val="21"/>
                    </w:rPr>
                    <w:t>浓度</w:t>
                  </w:r>
                </w:p>
              </w:tc>
              <w:tc>
                <w:tcPr>
                  <w:tcW w:w="1014" w:type="dxa"/>
                  <w:vAlign w:val="center"/>
                </w:tcPr>
                <w:p w14:paraId="2EE033A1">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mg/m</w:t>
                  </w:r>
                  <w:r>
                    <w:rPr>
                      <w:rFonts w:hint="default" w:ascii="Times New Roman" w:hAnsi="Times New Roman" w:eastAsia="仿宋" w:cs="Times New Roman"/>
                      <w:bCs/>
                      <w:color w:val="auto"/>
                      <w:sz w:val="21"/>
                      <w:szCs w:val="21"/>
                      <w:vertAlign w:val="superscript"/>
                    </w:rPr>
                    <w:t>3</w:t>
                  </w:r>
                </w:p>
              </w:tc>
              <w:tc>
                <w:tcPr>
                  <w:tcW w:w="1474" w:type="dxa"/>
                  <w:vAlign w:val="center"/>
                </w:tcPr>
                <w:p w14:paraId="09A34030">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4.8</w:t>
                  </w:r>
                </w:p>
              </w:tc>
              <w:tc>
                <w:tcPr>
                  <w:tcW w:w="1474" w:type="dxa"/>
                  <w:vAlign w:val="center"/>
                </w:tcPr>
                <w:p w14:paraId="33D9F9B1">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4.5</w:t>
                  </w:r>
                </w:p>
              </w:tc>
              <w:tc>
                <w:tcPr>
                  <w:tcW w:w="1474" w:type="dxa"/>
                  <w:vAlign w:val="center"/>
                </w:tcPr>
                <w:p w14:paraId="529D2662">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4.5</w:t>
                  </w:r>
                </w:p>
              </w:tc>
            </w:tr>
            <w:tr w14:paraId="6CD21D7E">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1D9BD20D">
                  <w:pPr>
                    <w:jc w:val="center"/>
                    <w:rPr>
                      <w:rFonts w:hint="default" w:ascii="Times New Roman" w:hAnsi="Times New Roman" w:eastAsia="仿宋" w:cs="Times New Roman"/>
                      <w:bCs/>
                      <w:color w:val="auto"/>
                      <w:sz w:val="21"/>
                      <w:szCs w:val="21"/>
                    </w:rPr>
                  </w:pPr>
                </w:p>
              </w:tc>
              <w:tc>
                <w:tcPr>
                  <w:tcW w:w="960" w:type="dxa"/>
                  <w:vMerge w:val="continue"/>
                  <w:vAlign w:val="center"/>
                </w:tcPr>
                <w:p w14:paraId="04E25545">
                  <w:pPr>
                    <w:jc w:val="center"/>
                    <w:rPr>
                      <w:rFonts w:hint="default" w:ascii="Times New Roman" w:hAnsi="Times New Roman" w:eastAsia="仿宋" w:cs="Times New Roman"/>
                      <w:bCs/>
                      <w:color w:val="auto"/>
                      <w:sz w:val="21"/>
                      <w:szCs w:val="21"/>
                      <w:lang w:eastAsia="zh-CN"/>
                    </w:rPr>
                  </w:pPr>
                </w:p>
              </w:tc>
              <w:tc>
                <w:tcPr>
                  <w:tcW w:w="1037" w:type="dxa"/>
                  <w:vAlign w:val="center"/>
                </w:tcPr>
                <w:p w14:paraId="46B433F4">
                  <w:pPr>
                    <w:jc w:val="center"/>
                    <w:rPr>
                      <w:rFonts w:hint="default" w:ascii="Times New Roman" w:hAnsi="Times New Roman" w:eastAsia="仿宋" w:cs="Times New Roman"/>
                      <w:bCs/>
                      <w:color w:val="auto"/>
                      <w:sz w:val="21"/>
                      <w:szCs w:val="21"/>
                      <w:lang w:eastAsia="zh-CN"/>
                    </w:rPr>
                  </w:pPr>
                  <w:r>
                    <w:rPr>
                      <w:rFonts w:hint="default" w:ascii="Times New Roman" w:hAnsi="Times New Roman" w:eastAsia="仿宋" w:cs="Times New Roman"/>
                      <w:bCs/>
                      <w:color w:val="auto"/>
                      <w:sz w:val="21"/>
                      <w:szCs w:val="21"/>
                    </w:rPr>
                    <w:t>排放速率</w:t>
                  </w:r>
                </w:p>
              </w:tc>
              <w:tc>
                <w:tcPr>
                  <w:tcW w:w="1014" w:type="dxa"/>
                  <w:vAlign w:val="center"/>
                </w:tcPr>
                <w:p w14:paraId="21D4851D">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color w:val="auto"/>
                      <w:sz w:val="21"/>
                      <w:szCs w:val="21"/>
                    </w:rPr>
                    <w:t>kg/h</w:t>
                  </w:r>
                </w:p>
              </w:tc>
              <w:tc>
                <w:tcPr>
                  <w:tcW w:w="1474" w:type="dxa"/>
                  <w:vAlign w:val="center"/>
                </w:tcPr>
                <w:p w14:paraId="77E32587">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2.85</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37435DB7">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2.66</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6B232A17">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2.66</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r>
            <w:tr w14:paraId="27FB211D">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360CCCB3">
                  <w:pPr>
                    <w:jc w:val="center"/>
                    <w:rPr>
                      <w:rFonts w:hint="default" w:ascii="Times New Roman" w:hAnsi="Times New Roman" w:eastAsia="仿宋" w:cs="Times New Roman"/>
                      <w:bCs/>
                      <w:color w:val="auto"/>
                      <w:sz w:val="21"/>
                      <w:szCs w:val="21"/>
                    </w:rPr>
                  </w:pPr>
                </w:p>
              </w:tc>
              <w:tc>
                <w:tcPr>
                  <w:tcW w:w="960" w:type="dxa"/>
                  <w:vMerge w:val="restart"/>
                  <w:vAlign w:val="center"/>
                </w:tcPr>
                <w:p w14:paraId="3E99C6D7">
                  <w:pPr>
                    <w:jc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颗粒物</w:t>
                  </w:r>
                </w:p>
              </w:tc>
              <w:tc>
                <w:tcPr>
                  <w:tcW w:w="1037" w:type="dxa"/>
                  <w:vAlign w:val="center"/>
                </w:tcPr>
                <w:p w14:paraId="49B0E15F">
                  <w:pPr>
                    <w:jc w:val="center"/>
                    <w:rPr>
                      <w:rFonts w:hint="default" w:ascii="Times New Roman" w:hAnsi="Times New Roman" w:eastAsia="仿宋" w:cs="Times New Roman"/>
                      <w:bCs/>
                      <w:color w:val="auto"/>
                      <w:sz w:val="21"/>
                      <w:szCs w:val="21"/>
                    </w:rPr>
                  </w:pPr>
                  <w:r>
                    <w:rPr>
                      <w:rFonts w:hint="eastAsia" w:ascii="Times New Roman" w:hAnsi="Times New Roman" w:eastAsia="仿宋" w:cs="Times New Roman"/>
                      <w:bCs/>
                      <w:color w:val="auto"/>
                      <w:sz w:val="21"/>
                      <w:szCs w:val="21"/>
                      <w:lang w:val="en-US" w:eastAsia="zh-CN"/>
                    </w:rPr>
                    <w:t>排放</w:t>
                  </w:r>
                  <w:r>
                    <w:rPr>
                      <w:rFonts w:hint="default" w:ascii="Times New Roman" w:hAnsi="Times New Roman" w:eastAsia="仿宋" w:cs="Times New Roman"/>
                      <w:bCs/>
                      <w:color w:val="auto"/>
                      <w:sz w:val="21"/>
                      <w:szCs w:val="21"/>
                    </w:rPr>
                    <w:t>浓度</w:t>
                  </w:r>
                </w:p>
              </w:tc>
              <w:tc>
                <w:tcPr>
                  <w:tcW w:w="1014" w:type="dxa"/>
                  <w:vAlign w:val="center"/>
                </w:tcPr>
                <w:p w14:paraId="35311580">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bCs/>
                      <w:color w:val="auto"/>
                      <w:sz w:val="21"/>
                      <w:szCs w:val="21"/>
                    </w:rPr>
                    <w:t>mg/m</w:t>
                  </w:r>
                  <w:r>
                    <w:rPr>
                      <w:rFonts w:hint="default" w:ascii="Times New Roman" w:hAnsi="Times New Roman" w:eastAsia="仿宋" w:cs="Times New Roman"/>
                      <w:bCs/>
                      <w:color w:val="auto"/>
                      <w:sz w:val="21"/>
                      <w:szCs w:val="21"/>
                      <w:vertAlign w:val="superscript"/>
                    </w:rPr>
                    <w:t>3</w:t>
                  </w:r>
                </w:p>
              </w:tc>
              <w:tc>
                <w:tcPr>
                  <w:tcW w:w="1474" w:type="dxa"/>
                  <w:vAlign w:val="center"/>
                </w:tcPr>
                <w:p w14:paraId="3989ECF9">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1.87</w:t>
                  </w:r>
                </w:p>
              </w:tc>
              <w:tc>
                <w:tcPr>
                  <w:tcW w:w="1474" w:type="dxa"/>
                  <w:vAlign w:val="center"/>
                </w:tcPr>
                <w:p w14:paraId="2F3AB4E2">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1.91</w:t>
                  </w:r>
                </w:p>
              </w:tc>
              <w:tc>
                <w:tcPr>
                  <w:tcW w:w="1474" w:type="dxa"/>
                  <w:vAlign w:val="center"/>
                </w:tcPr>
                <w:p w14:paraId="5B21B8B5">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1.93</w:t>
                  </w:r>
                </w:p>
              </w:tc>
            </w:tr>
            <w:tr w14:paraId="1C21DEC4">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1" w:hRule="atLeast"/>
                <w:jc w:val="center"/>
              </w:trPr>
              <w:tc>
                <w:tcPr>
                  <w:tcW w:w="1485" w:type="dxa"/>
                  <w:vMerge w:val="continue"/>
                  <w:vAlign w:val="center"/>
                </w:tcPr>
                <w:p w14:paraId="6C5F19E3">
                  <w:pPr>
                    <w:jc w:val="center"/>
                    <w:rPr>
                      <w:rFonts w:hint="default" w:ascii="Times New Roman" w:hAnsi="Times New Roman" w:eastAsia="仿宋" w:cs="Times New Roman"/>
                      <w:bCs/>
                      <w:color w:val="auto"/>
                      <w:sz w:val="21"/>
                      <w:szCs w:val="21"/>
                    </w:rPr>
                  </w:pPr>
                </w:p>
              </w:tc>
              <w:tc>
                <w:tcPr>
                  <w:tcW w:w="960" w:type="dxa"/>
                  <w:vMerge w:val="continue"/>
                  <w:vAlign w:val="center"/>
                </w:tcPr>
                <w:p w14:paraId="79ECE3CC">
                  <w:pPr>
                    <w:jc w:val="center"/>
                    <w:rPr>
                      <w:rFonts w:hint="default" w:ascii="Times New Roman" w:hAnsi="Times New Roman" w:eastAsia="仿宋" w:cs="Times New Roman"/>
                      <w:bCs/>
                      <w:color w:val="auto"/>
                      <w:sz w:val="21"/>
                      <w:szCs w:val="21"/>
                      <w:lang w:eastAsia="zh-CN"/>
                    </w:rPr>
                  </w:pPr>
                </w:p>
              </w:tc>
              <w:tc>
                <w:tcPr>
                  <w:tcW w:w="1037" w:type="dxa"/>
                  <w:vAlign w:val="center"/>
                </w:tcPr>
                <w:p w14:paraId="063DC86B">
                  <w:pPr>
                    <w:jc w:val="center"/>
                    <w:rPr>
                      <w:rFonts w:hint="default" w:ascii="Times New Roman" w:hAnsi="Times New Roman" w:eastAsia="仿宋" w:cs="Times New Roman"/>
                      <w:bCs/>
                      <w:color w:val="auto"/>
                      <w:sz w:val="21"/>
                      <w:szCs w:val="21"/>
                    </w:rPr>
                  </w:pPr>
                  <w:r>
                    <w:rPr>
                      <w:rFonts w:hint="default" w:ascii="Times New Roman" w:hAnsi="Times New Roman" w:eastAsia="仿宋" w:cs="Times New Roman"/>
                      <w:bCs/>
                      <w:color w:val="auto"/>
                      <w:sz w:val="21"/>
                      <w:szCs w:val="21"/>
                    </w:rPr>
                    <w:t>排放速率</w:t>
                  </w:r>
                </w:p>
              </w:tc>
              <w:tc>
                <w:tcPr>
                  <w:tcW w:w="1014" w:type="dxa"/>
                  <w:vAlign w:val="center"/>
                </w:tcPr>
                <w:p w14:paraId="1B0477B2">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kg/h</w:t>
                  </w:r>
                </w:p>
              </w:tc>
              <w:tc>
                <w:tcPr>
                  <w:tcW w:w="1474" w:type="dxa"/>
                  <w:vAlign w:val="center"/>
                </w:tcPr>
                <w:p w14:paraId="15BFF59C">
                  <w:pPr>
                    <w:widowControl/>
                    <w:jc w:val="center"/>
                    <w:textAlignment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1.11</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26123BF3">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1.13</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c>
                <w:tcPr>
                  <w:tcW w:w="1474" w:type="dxa"/>
                  <w:vAlign w:val="center"/>
                </w:tcPr>
                <w:p w14:paraId="3158E8A9">
                  <w:pPr>
                    <w:widowControl/>
                    <w:jc w:val="center"/>
                    <w:textAlignment w:val="center"/>
                    <w:rPr>
                      <w:rFonts w:hint="default" w:ascii="Times New Roman" w:hAnsi="Times New Roman" w:eastAsia="仿宋" w:cs="Times New Roman"/>
                      <w:color w:val="auto"/>
                      <w:sz w:val="21"/>
                      <w:szCs w:val="21"/>
                      <w:shd w:val="clear" w:color="auto" w:fill="auto"/>
                      <w:lang w:val="en-US" w:eastAsia="zh-CN"/>
                    </w:rPr>
                  </w:pPr>
                  <w:r>
                    <w:rPr>
                      <w:rFonts w:hint="eastAsia" w:ascii="Times New Roman" w:hAnsi="Times New Roman" w:eastAsia="仿宋" w:cs="Times New Roman"/>
                      <w:color w:val="auto"/>
                      <w:sz w:val="21"/>
                      <w:szCs w:val="21"/>
                      <w:shd w:val="clear" w:color="auto" w:fill="auto"/>
                      <w:lang w:val="en-US" w:eastAsia="zh-CN"/>
                    </w:rPr>
                    <w:t>1.14</w:t>
                  </w:r>
                  <w:r>
                    <w:rPr>
                      <w:rFonts w:hint="default" w:ascii="Times New Roman" w:hAnsi="Times New Roman" w:eastAsia="仿宋" w:cs="Times New Roman"/>
                      <w:bCs/>
                      <w:color w:val="auto"/>
                      <w:sz w:val="21"/>
                      <w:szCs w:val="21"/>
                      <w:lang w:val="en-US" w:eastAsia="zh-CN"/>
                    </w:rPr>
                    <w:t>×10</w:t>
                  </w:r>
                  <w:r>
                    <w:rPr>
                      <w:rFonts w:hint="default" w:ascii="Times New Roman" w:hAnsi="Times New Roman" w:eastAsia="仿宋" w:cs="Times New Roman"/>
                      <w:bCs/>
                      <w:color w:val="auto"/>
                      <w:sz w:val="21"/>
                      <w:szCs w:val="21"/>
                      <w:vertAlign w:val="superscript"/>
                      <w:lang w:val="en-US" w:eastAsia="zh-CN"/>
                    </w:rPr>
                    <w:t>-</w:t>
                  </w:r>
                  <w:r>
                    <w:rPr>
                      <w:rFonts w:hint="eastAsia" w:ascii="Times New Roman" w:hAnsi="Times New Roman" w:eastAsia="仿宋" w:cs="Times New Roman"/>
                      <w:bCs/>
                      <w:color w:val="auto"/>
                      <w:sz w:val="21"/>
                      <w:szCs w:val="21"/>
                      <w:vertAlign w:val="superscript"/>
                      <w:lang w:val="en-US" w:eastAsia="zh-CN"/>
                    </w:rPr>
                    <w:t>2</w:t>
                  </w:r>
                </w:p>
              </w:tc>
            </w:tr>
          </w:tbl>
          <w:p w14:paraId="01EC5AC0">
            <w:pPr>
              <w:pStyle w:val="3"/>
              <w:keepNext w:val="0"/>
              <w:keepLines w:val="0"/>
              <w:pageBreakBefore w:val="0"/>
              <w:widowControl w:val="0"/>
              <w:numPr>
                <w:ilvl w:val="0"/>
                <w:numId w:val="3"/>
              </w:numPr>
              <w:kinsoku/>
              <w:wordWrap/>
              <w:overflowPunct/>
              <w:topLinePunct w:val="0"/>
              <w:autoSpaceDE/>
              <w:autoSpaceDN/>
              <w:bidi w:val="0"/>
              <w:adjustRightInd/>
              <w:snapToGrid/>
              <w:spacing w:line="360" w:lineRule="auto"/>
              <w:ind w:left="105"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无组织废气</w:t>
            </w:r>
          </w:p>
          <w:p w14:paraId="2AC278A1">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auto"/>
                <w:kern w:val="0"/>
                <w:sz w:val="24"/>
                <w:szCs w:val="24"/>
                <w:lang w:val="en-US" w:eastAsia="zh-CN" w:bidi="ar-SA"/>
              </w:rPr>
            </w:pPr>
            <w:r>
              <w:rPr>
                <w:rFonts w:hint="default" w:ascii="Times New Roman" w:hAnsi="Times New Roman" w:cs="Times New Roman" w:eastAsiaTheme="minorEastAsia"/>
                <w:color w:val="auto"/>
                <w:kern w:val="0"/>
                <w:sz w:val="24"/>
                <w:szCs w:val="24"/>
                <w:lang w:val="en-US" w:eastAsia="zh-CN" w:bidi="ar-SA"/>
              </w:rPr>
              <w:t>无组织废气监测结果见表7-2。</w:t>
            </w:r>
          </w:p>
          <w:p w14:paraId="4AFE48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无组织废气监测结果表明：验收监测期间，</w:t>
            </w:r>
            <w:r>
              <w:rPr>
                <w:rFonts w:hint="default" w:ascii="Times New Roman" w:hAnsi="Times New Roman" w:cs="Times New Roman" w:eastAsiaTheme="minorEastAsia"/>
                <w:bCs/>
                <w:sz w:val="24"/>
                <w:szCs w:val="24"/>
              </w:rPr>
              <w:t>厂界外上风向非甲烷总烃最大排放浓度为</w:t>
            </w:r>
            <w:r>
              <w:rPr>
                <w:rFonts w:hint="default" w:ascii="Times New Roman" w:hAnsi="Times New Roman" w:cs="Times New Roman" w:eastAsiaTheme="minorEastAsia"/>
                <w:bCs/>
                <w:sz w:val="24"/>
                <w:szCs w:val="24"/>
                <w:lang w:val="en-US" w:eastAsia="zh-CN"/>
              </w:rPr>
              <w:t>0.20</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厂界外下风向</w:t>
            </w:r>
            <w:r>
              <w:rPr>
                <w:rFonts w:hint="default" w:ascii="Times New Roman" w:hAnsi="Times New Roman" w:cs="Times New Roman" w:eastAsiaTheme="minorEastAsia"/>
                <w:bCs/>
                <w:sz w:val="24"/>
                <w:szCs w:val="24"/>
              </w:rPr>
              <w:t>非甲烷总烃</w:t>
            </w:r>
            <w:r>
              <w:rPr>
                <w:rFonts w:hint="default" w:ascii="Times New Roman" w:hAnsi="Times New Roman" w:cs="Times New Roman" w:eastAsiaTheme="minorEastAsia"/>
                <w:sz w:val="24"/>
                <w:szCs w:val="24"/>
              </w:rPr>
              <w:t>最大排放浓度为</w:t>
            </w:r>
            <w:r>
              <w:rPr>
                <w:rFonts w:hint="default" w:ascii="Times New Roman" w:hAnsi="Times New Roman" w:cs="Times New Roman" w:eastAsiaTheme="minorEastAsia"/>
                <w:sz w:val="24"/>
                <w:szCs w:val="24"/>
                <w:lang w:val="en-US" w:eastAsia="zh-CN"/>
              </w:rPr>
              <w:t>0.32</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，满足《大气污染物综合排放标准》（GB16297-1996）的表2规定要求。</w:t>
            </w:r>
          </w:p>
          <w:p w14:paraId="7270C6F0">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Cs/>
                <w:sz w:val="24"/>
                <w:szCs w:val="24"/>
              </w:rPr>
            </w:pPr>
            <w:r>
              <w:rPr>
                <w:rFonts w:hint="default" w:ascii="Times New Roman" w:hAnsi="Times New Roman" w:cs="Times New Roman" w:eastAsiaTheme="minorEastAsia"/>
                <w:sz w:val="24"/>
                <w:szCs w:val="24"/>
              </w:rPr>
              <w:t>验收监测期间，</w:t>
            </w:r>
            <w:r>
              <w:rPr>
                <w:rFonts w:hint="default" w:ascii="Times New Roman" w:hAnsi="Times New Roman" w:cs="Times New Roman" w:eastAsiaTheme="minorEastAsia"/>
                <w:bCs/>
                <w:sz w:val="24"/>
                <w:szCs w:val="24"/>
              </w:rPr>
              <w:t>厂界外上风向颗粒物最大排放浓度为</w:t>
            </w:r>
            <w:r>
              <w:rPr>
                <w:rFonts w:hint="default" w:ascii="Times New Roman" w:hAnsi="Times New Roman" w:cs="Times New Roman" w:eastAsiaTheme="minorEastAsia"/>
                <w:bCs/>
                <w:sz w:val="24"/>
                <w:szCs w:val="24"/>
                <w:lang w:val="en-US" w:eastAsia="zh-CN"/>
              </w:rPr>
              <w:t>0.244</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厂界外下风向</w:t>
            </w:r>
            <w:r>
              <w:rPr>
                <w:rFonts w:hint="default" w:ascii="Times New Roman" w:hAnsi="Times New Roman" w:cs="Times New Roman" w:eastAsiaTheme="minorEastAsia"/>
                <w:bCs/>
                <w:sz w:val="24"/>
                <w:szCs w:val="24"/>
              </w:rPr>
              <w:t>颗粒物最大排放浓度为0.</w:t>
            </w:r>
            <w:r>
              <w:rPr>
                <w:rFonts w:hint="default" w:ascii="Times New Roman" w:hAnsi="Times New Roman" w:cs="Times New Roman" w:eastAsiaTheme="minorEastAsia"/>
                <w:bCs/>
                <w:sz w:val="24"/>
                <w:szCs w:val="24"/>
                <w:lang w:val="en-US" w:eastAsia="zh-CN"/>
              </w:rPr>
              <w:t>390</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满足《大气污染物综合排放标准》（GB16297-1996）的表2规定要求</w:t>
            </w:r>
            <w:r>
              <w:rPr>
                <w:rFonts w:hint="default" w:ascii="Times New Roman" w:hAnsi="Times New Roman" w:cs="Times New Roman" w:eastAsiaTheme="minorEastAsia"/>
                <w:bCs/>
                <w:sz w:val="24"/>
                <w:szCs w:val="24"/>
              </w:rPr>
              <w:t>。</w:t>
            </w:r>
          </w:p>
          <w:p w14:paraId="45A85C3D">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eastAsiaTheme="minorEastAsia"/>
                <w:lang w:val="en-US" w:eastAsia="zh-CN"/>
              </w:rPr>
            </w:pPr>
            <w:r>
              <w:rPr>
                <w:rFonts w:hint="default" w:ascii="Times New Roman" w:hAnsi="Times New Roman" w:cs="Times New Roman" w:eastAsiaTheme="minorEastAsia"/>
                <w:color w:val="auto"/>
                <w:kern w:val="0"/>
                <w:sz w:val="24"/>
                <w:szCs w:val="24"/>
                <w:lang w:val="en-US" w:eastAsia="zh-CN" w:bidi="ar-SA"/>
              </w:rPr>
              <w:t>非甲烷总烃厂房外监控点处1h平均浓度值最大为0.3</w:t>
            </w:r>
            <w:r>
              <w:rPr>
                <w:rFonts w:hint="eastAsia" w:ascii="Times New Roman" w:hAnsi="Times New Roman" w:cs="Times New Roman" w:eastAsiaTheme="minorEastAsia"/>
                <w:color w:val="auto"/>
                <w:kern w:val="0"/>
                <w:sz w:val="24"/>
                <w:szCs w:val="24"/>
                <w:lang w:val="en-US" w:eastAsia="zh-CN" w:bidi="ar-SA"/>
              </w:rPr>
              <w:t>8</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color w:val="auto"/>
                <w:kern w:val="0"/>
                <w:sz w:val="24"/>
                <w:szCs w:val="24"/>
                <w:lang w:val="en-US" w:eastAsia="zh-CN" w:bidi="ar-SA"/>
              </w:rPr>
              <w:t>，厂房外监控点处任意一次浓度最大值为0.3</w:t>
            </w:r>
            <w:r>
              <w:rPr>
                <w:rFonts w:hint="eastAsia" w:ascii="Times New Roman" w:hAnsi="Times New Roman" w:cs="Times New Roman" w:eastAsiaTheme="minorEastAsia"/>
                <w:color w:val="auto"/>
                <w:kern w:val="0"/>
                <w:sz w:val="24"/>
                <w:szCs w:val="24"/>
                <w:lang w:val="en-US" w:eastAsia="zh-CN" w:bidi="ar-SA"/>
              </w:rPr>
              <w:t>4</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color w:val="auto"/>
                <w:kern w:val="0"/>
                <w:sz w:val="24"/>
                <w:szCs w:val="24"/>
                <w:lang w:val="en-US" w:eastAsia="zh-CN" w:bidi="ar-SA"/>
              </w:rPr>
              <w:t>，满足《挥发性有机物无组织排放控制标准》（GB37822-2019）表A.1厂区内VOCs无组织排放限值要求。</w:t>
            </w:r>
          </w:p>
          <w:p w14:paraId="58E62CF9">
            <w:pPr>
              <w:jc w:val="center"/>
              <w:rPr>
                <w:rFonts w:hint="default" w:ascii="Times New Roman" w:hAnsi="Times New Roman" w:eastAsia="仿宋" w:cs="Times New Roman"/>
                <w:color w:val="auto"/>
                <w:lang w:eastAsia="zh-CN"/>
              </w:rPr>
            </w:pPr>
            <w:r>
              <w:rPr>
                <w:rFonts w:hint="default" w:ascii="Times New Roman" w:hAnsi="Times New Roman" w:eastAsia="仿宋" w:cs="Times New Roman"/>
                <w:b/>
                <w:color w:val="auto"/>
                <w:sz w:val="24"/>
              </w:rPr>
              <w:t>表</w:t>
            </w:r>
            <w:r>
              <w:rPr>
                <w:rFonts w:hint="eastAsia" w:ascii="Times New Roman" w:hAnsi="Times New Roman" w:eastAsia="仿宋" w:cs="Times New Roman"/>
                <w:b/>
                <w:color w:val="auto"/>
                <w:sz w:val="24"/>
                <w:lang w:val="en-US" w:eastAsia="zh-CN"/>
              </w:rPr>
              <w:t>7-2</w:t>
            </w:r>
            <w:r>
              <w:rPr>
                <w:rFonts w:hint="default" w:ascii="Times New Roman" w:hAnsi="Times New Roman" w:eastAsia="仿宋" w:cs="Times New Roman"/>
                <w:b/>
                <w:color w:val="auto"/>
                <w:sz w:val="24"/>
                <w:lang w:val="en-US" w:eastAsia="zh-CN"/>
              </w:rPr>
              <w:t xml:space="preserve"> </w:t>
            </w:r>
            <w:r>
              <w:rPr>
                <w:rFonts w:hint="default" w:ascii="Times New Roman" w:hAnsi="Times New Roman" w:eastAsia="仿宋" w:cs="Times New Roman"/>
                <w:b/>
                <w:color w:val="auto"/>
                <w:sz w:val="24"/>
              </w:rPr>
              <w:t>废气无组织排放检测结果表</w:t>
            </w:r>
            <w:r>
              <w:rPr>
                <w:rFonts w:hint="eastAsia" w:ascii="Times New Roman" w:hAnsi="Times New Roman" w:eastAsia="仿宋" w:cs="Times New Roman"/>
                <w:b/>
                <w:color w:val="auto"/>
                <w:sz w:val="24"/>
                <w:lang w:val="en-US" w:eastAsia="zh-CN"/>
              </w:rPr>
              <w:t xml:space="preserve">  </w:t>
            </w:r>
            <w:r>
              <w:rPr>
                <w:rFonts w:hint="default" w:ascii="Times New Roman" w:hAnsi="Times New Roman" w:eastAsia="仿宋" w:cs="Times New Roman"/>
                <w:b/>
                <w:color w:val="auto"/>
                <w:spacing w:val="-20"/>
                <w:sz w:val="24"/>
              </w:rPr>
              <w:t>单位</w:t>
            </w:r>
            <w:r>
              <w:rPr>
                <w:rFonts w:hint="default" w:ascii="Times New Roman" w:hAnsi="Times New Roman" w:eastAsia="仿宋" w:cs="Times New Roman"/>
                <w:b/>
                <w:color w:val="auto"/>
                <w:spacing w:val="-40"/>
                <w:sz w:val="24"/>
              </w:rPr>
              <w:t>：</w:t>
            </w:r>
            <w:r>
              <w:rPr>
                <w:rFonts w:hint="default" w:ascii="Times New Roman" w:hAnsi="Times New Roman" w:eastAsia="仿宋" w:cs="Times New Roman"/>
                <w:b/>
                <w:color w:val="auto"/>
                <w:spacing w:val="0"/>
                <w:sz w:val="24"/>
              </w:rPr>
              <w:t>mg/m</w:t>
            </w:r>
            <w:r>
              <w:rPr>
                <w:rFonts w:hint="default" w:ascii="Times New Roman" w:hAnsi="Times New Roman" w:eastAsia="仿宋" w:cs="Times New Roman"/>
                <w:b/>
                <w:color w:val="auto"/>
                <w:spacing w:val="0"/>
                <w:sz w:val="24"/>
                <w:vertAlign w:val="superscript"/>
              </w:rPr>
              <w:t>3</w:t>
            </w:r>
          </w:p>
          <w:tbl>
            <w:tblPr>
              <w:tblStyle w:val="22"/>
              <w:tblW w:w="4997" w:type="pct"/>
              <w:jc w:val="center"/>
              <w:tblBorders>
                <w:top w:val="sing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504"/>
              <w:gridCol w:w="994"/>
              <w:gridCol w:w="929"/>
              <w:gridCol w:w="913"/>
              <w:gridCol w:w="913"/>
              <w:gridCol w:w="913"/>
              <w:gridCol w:w="913"/>
              <w:gridCol w:w="917"/>
              <w:gridCol w:w="917"/>
            </w:tblGrid>
            <w:tr w14:paraId="03632FD7">
              <w:tblPrEx>
                <w:tblBorders>
                  <w:top w:val="sing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78" w:hRule="atLeast"/>
                <w:jc w:val="center"/>
              </w:trPr>
              <w:tc>
                <w:tcPr>
                  <w:tcW w:w="843" w:type="pct"/>
                  <w:vMerge w:val="restart"/>
                  <w:tcBorders>
                    <w:left w:val="single" w:color="auto" w:sz="4" w:space="0"/>
                  </w:tcBorders>
                  <w:noWrap w:val="0"/>
                  <w:vAlign w:val="center"/>
                </w:tcPr>
                <w:p w14:paraId="6CE03B95">
                  <w:pPr>
                    <w:adjustRightInd w:val="0"/>
                    <w:snapToGrid w:val="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检测项目</w:t>
                  </w:r>
                </w:p>
              </w:tc>
              <w:tc>
                <w:tcPr>
                  <w:tcW w:w="1078" w:type="pct"/>
                  <w:gridSpan w:val="2"/>
                  <w:vMerge w:val="restart"/>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669ADA3">
                  <w:pPr>
                    <w:adjustRightInd w:val="0"/>
                    <w:snapToGrid w:val="0"/>
                    <w:spacing w:line="240" w:lineRule="exact"/>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rPr>
                    <w:t xml:space="preserve">          </w:t>
                  </w:r>
                </w:p>
                <w:p w14:paraId="6CAF5E4A">
                  <w:pPr>
                    <w:adjustRightInd w:val="0"/>
                    <w:snapToGrid w:val="0"/>
                    <w:spacing w:line="240" w:lineRule="exact"/>
                    <w:ind w:right="119"/>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采样日期</w:t>
                  </w:r>
                </w:p>
                <w:p w14:paraId="738DEC67">
                  <w:pPr>
                    <w:pStyle w:val="21"/>
                    <w:rPr>
                      <w:rFonts w:hint="default" w:ascii="Times New Roman" w:hAnsi="Times New Roman" w:eastAsia="仿宋" w:cs="Times New Roman"/>
                      <w:sz w:val="21"/>
                      <w:szCs w:val="21"/>
                      <w:lang w:eastAsia="zh-CN"/>
                    </w:rPr>
                  </w:pPr>
                </w:p>
                <w:p w14:paraId="70C35D5D">
                  <w:pPr>
                    <w:adjustRightInd w:val="0"/>
                    <w:snapToGrid w:val="0"/>
                    <w:spacing w:line="240" w:lineRule="exact"/>
                    <w:ind w:right="119"/>
                    <mc:AlternateContent>
                      <mc:Choice Requires="wpsCustomData">
                        <wpsCustomData:diagonalParaType/>
                      </mc:Choice>
                    </mc:AlternateContent>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采样日期</w:t>
                  </w:r>
                </w:p>
                <w:p w14:paraId="0CC154A1">
                  <w:pPr>
                    <w:adjustRightInd w:val="0"/>
                    <w:snapToGrid w:val="0"/>
                    <w:spacing w:line="240" w:lineRule="exact"/>
                    <w:ind w:firstLine="210" w:firstLineChars="100"/>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采样</w:t>
                  </w:r>
                  <w:r>
                    <w:rPr>
                      <w:rFonts w:hint="default" w:ascii="Times New Roman" w:hAnsi="Times New Roman" w:eastAsia="仿宋" w:cs="Times New Roman"/>
                      <w:color w:val="auto"/>
                      <w:sz w:val="21"/>
                      <w:szCs w:val="21"/>
                    </w:rPr>
                    <w:t>点位</w:t>
                  </w:r>
                </w:p>
                <w:p w14:paraId="1E400CA3">
                  <w:pPr>
                    <w:adjustRightInd w:val="0"/>
                    <w:snapToGrid w:val="0"/>
                    <w:spacing w:line="240" w:lineRule="exact"/>
                    <w:ind w:right="119"/>
                    <w:rPr>
                      <w:rFonts w:hint="default" w:ascii="Times New Roman" w:hAnsi="Times New Roman" w:eastAsia="仿宋" w:cs="Times New Roman"/>
                      <w:color w:val="auto"/>
                      <w:sz w:val="21"/>
                      <w:szCs w:val="21"/>
                    </w:rPr>
                  </w:pPr>
                </w:p>
              </w:tc>
              <w:tc>
                <w:tcPr>
                  <w:tcW w:w="512" w:type="pct"/>
                  <w:vMerge w:val="restart"/>
                  <w:noWrap w:val="0"/>
                  <w:vAlign w:val="center"/>
                </w:tcPr>
                <w:p w14:paraId="39E08EED">
                  <w:pPr>
                    <w:adjustRightInd w:val="0"/>
                    <w:snapToGrid w:val="0"/>
                    <w:spacing w:line="240" w:lineRule="exact"/>
                    <w:ind w:left="19" w:leftChars="-53" w:right="-113" w:rightChars="-54" w:hanging="130" w:hangingChars="62"/>
                    <w:jc w:val="center"/>
                    <w:rPr>
                      <w:rFonts w:hint="default"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lang w:val="en-US" w:eastAsia="zh-CN"/>
                    </w:rPr>
                    <w:t>P1</w:t>
                  </w:r>
                  <w:r>
                    <w:rPr>
                      <w:rFonts w:hint="default" w:ascii="Times New Roman" w:hAnsi="Times New Roman" w:eastAsia="仿宋" w:cs="Times New Roman"/>
                      <w:color w:val="auto"/>
                      <w:sz w:val="21"/>
                      <w:szCs w:val="21"/>
                    </w:rPr>
                    <w:t>上风向</w:t>
                  </w:r>
                </w:p>
              </w:tc>
              <w:tc>
                <w:tcPr>
                  <w:tcW w:w="512" w:type="pct"/>
                  <w:vMerge w:val="restart"/>
                  <w:noWrap w:val="0"/>
                  <w:vAlign w:val="center"/>
                </w:tcPr>
                <w:p w14:paraId="1335FDB5">
                  <w:pPr>
                    <w:adjustRightInd w:val="0"/>
                    <w:snapToGrid w:val="0"/>
                    <w:spacing w:line="240" w:lineRule="exact"/>
                    <w:ind w:left="-6" w:leftChars="-54" w:right="-113" w:rightChars="-54" w:hanging="107" w:hangingChars="51"/>
                    <w:jc w:val="center"/>
                    <w:rPr>
                      <w:rFonts w:hint="default"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lang w:val="en-US" w:eastAsia="zh-CN"/>
                    </w:rPr>
                    <w:t>P2</w:t>
                  </w:r>
                  <w:r>
                    <w:rPr>
                      <w:rFonts w:hint="default" w:ascii="Times New Roman" w:hAnsi="Times New Roman" w:eastAsia="仿宋" w:cs="Times New Roman"/>
                      <w:color w:val="auto"/>
                      <w:sz w:val="21"/>
                      <w:szCs w:val="21"/>
                    </w:rPr>
                    <w:t>下风向</w:t>
                  </w:r>
                </w:p>
              </w:tc>
              <w:tc>
                <w:tcPr>
                  <w:tcW w:w="512" w:type="pct"/>
                  <w:vMerge w:val="restart"/>
                  <w:tcBorders>
                    <w:right w:val="single" w:color="auto" w:sz="4" w:space="0"/>
                  </w:tcBorders>
                  <w:noWrap w:val="0"/>
                  <w:vAlign w:val="center"/>
                </w:tcPr>
                <w:p w14:paraId="3351DDBE">
                  <w:pPr>
                    <w:adjustRightInd w:val="0"/>
                    <w:snapToGrid w:val="0"/>
                    <w:spacing w:line="240" w:lineRule="exact"/>
                    <w:ind w:left="-6" w:leftChars="-54" w:right="-113" w:rightChars="-54" w:hanging="107" w:hangingChars="51"/>
                    <w:jc w:val="center"/>
                    <w:rPr>
                      <w:rFonts w:hint="default" w:ascii="Times New Roman" w:hAnsi="Times New Roman" w:eastAsia="仿宋" w:cs="Times New Roman"/>
                      <w:color w:val="auto"/>
                      <w:sz w:val="21"/>
                      <w:szCs w:val="21"/>
                      <w:vertAlign w:val="superscript"/>
                    </w:rPr>
                  </w:pPr>
                  <w:r>
                    <w:rPr>
                      <w:rFonts w:hint="eastAsia" w:ascii="Times New Roman" w:hAnsi="Times New Roman" w:eastAsia="仿宋" w:cs="Times New Roman"/>
                      <w:color w:val="auto"/>
                      <w:sz w:val="21"/>
                      <w:szCs w:val="21"/>
                      <w:lang w:val="en-US" w:eastAsia="zh-CN"/>
                    </w:rPr>
                    <w:t>P3</w:t>
                  </w:r>
                  <w:r>
                    <w:rPr>
                      <w:rFonts w:hint="default" w:ascii="Times New Roman" w:hAnsi="Times New Roman" w:eastAsia="仿宋" w:cs="Times New Roman"/>
                      <w:color w:val="auto"/>
                      <w:sz w:val="21"/>
                      <w:szCs w:val="21"/>
                    </w:rPr>
                    <w:t>下风向</w:t>
                  </w:r>
                </w:p>
              </w:tc>
              <w:tc>
                <w:tcPr>
                  <w:tcW w:w="512" w:type="pct"/>
                  <w:vMerge w:val="restart"/>
                  <w:tcBorders>
                    <w:right w:val="single" w:color="auto" w:sz="4" w:space="0"/>
                  </w:tcBorders>
                  <w:noWrap w:val="0"/>
                  <w:vAlign w:val="center"/>
                </w:tcPr>
                <w:p w14:paraId="039A4E8B">
                  <w:pPr>
                    <w:adjustRightInd w:val="0"/>
                    <w:snapToGrid w:val="0"/>
                    <w:spacing w:line="240" w:lineRule="exact"/>
                    <w:ind w:left="19" w:leftChars="-54" w:right="-113" w:rightChars="-54" w:hanging="132" w:hangingChars="63"/>
                    <w:jc w:val="center"/>
                    <w:rPr>
                      <w:rFonts w:hint="default"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lang w:val="en-US" w:eastAsia="zh-CN"/>
                    </w:rPr>
                    <w:t>P4</w:t>
                  </w:r>
                  <w:r>
                    <w:rPr>
                      <w:rFonts w:hint="default" w:ascii="Times New Roman" w:hAnsi="Times New Roman" w:eastAsia="仿宋" w:cs="Times New Roman"/>
                      <w:color w:val="auto"/>
                      <w:sz w:val="21"/>
                      <w:szCs w:val="21"/>
                    </w:rPr>
                    <w:t>下风向</w:t>
                  </w:r>
                </w:p>
              </w:tc>
              <w:tc>
                <w:tcPr>
                  <w:tcW w:w="1028" w:type="pct"/>
                  <w:gridSpan w:val="2"/>
                  <w:tcBorders>
                    <w:right w:val="single" w:color="auto" w:sz="4" w:space="0"/>
                  </w:tcBorders>
                  <w:noWrap w:val="0"/>
                  <w:vAlign w:val="center"/>
                </w:tcPr>
                <w:p w14:paraId="6AE6207E">
                  <w:pPr>
                    <w:adjustRightInd w:val="0"/>
                    <w:snapToGrid w:val="0"/>
                    <w:spacing w:line="240" w:lineRule="exact"/>
                    <w:ind w:left="19" w:leftChars="-54" w:right="-113" w:rightChars="-54" w:hanging="132" w:hangingChars="63"/>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P5厂房外</w:t>
                  </w:r>
                </w:p>
              </w:tc>
            </w:tr>
            <w:tr w14:paraId="421F41AB">
              <w:tblPrEx>
                <w:tblBorders>
                  <w:top w:val="sing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78" w:hRule="atLeast"/>
                <w:jc w:val="center"/>
              </w:trPr>
              <w:tc>
                <w:tcPr>
                  <w:tcW w:w="843" w:type="pct"/>
                  <w:vMerge w:val="continue"/>
                  <w:tcBorders>
                    <w:left w:val="single" w:color="auto" w:sz="4" w:space="0"/>
                  </w:tcBorders>
                  <w:noWrap w:val="0"/>
                  <w:vAlign w:val="center"/>
                </w:tcPr>
                <w:p w14:paraId="082B2511">
                  <w:pPr>
                    <w:adjustRightInd w:val="0"/>
                    <w:snapToGrid w:val="0"/>
                    <w:spacing w:line="240" w:lineRule="exact"/>
                    <w:ind w:left="19" w:leftChars="-54" w:right="-113" w:rightChars="-54" w:hanging="132" w:hangingChars="63"/>
                    <w:jc w:val="center"/>
                  </w:pPr>
                </w:p>
              </w:tc>
              <w:tc>
                <w:tcPr>
                  <w:tcW w:w="1078" w:type="pct"/>
                  <w:gridSpan w:val="2"/>
                  <w:vMerge w:val="continue"/>
                  <w:noWrap w:val="0"/>
                  <w:vAlign w:val="center"/>
                </w:tcPr>
                <w:p w14:paraId="527B487F">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7414E71B">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1D1C229B">
                  <w:pPr>
                    <w:adjustRightInd w:val="0"/>
                    <w:snapToGrid w:val="0"/>
                    <w:spacing w:line="240" w:lineRule="exact"/>
                    <w:ind w:left="19" w:leftChars="-54" w:right="-113" w:rightChars="-54" w:hanging="132" w:hangingChars="63"/>
                    <w:jc w:val="center"/>
                  </w:pPr>
                </w:p>
              </w:tc>
              <w:tc>
                <w:tcPr>
                  <w:tcW w:w="512" w:type="pct"/>
                  <w:vMerge w:val="continue"/>
                  <w:tcBorders>
                    <w:right w:val="single" w:color="auto" w:sz="4" w:space="0"/>
                  </w:tcBorders>
                  <w:noWrap w:val="0"/>
                  <w:vAlign w:val="center"/>
                </w:tcPr>
                <w:p w14:paraId="32B73C6D">
                  <w:pPr>
                    <w:adjustRightInd w:val="0"/>
                    <w:snapToGrid w:val="0"/>
                    <w:spacing w:line="240" w:lineRule="exact"/>
                    <w:ind w:left="19" w:leftChars="-54" w:right="-113" w:rightChars="-54" w:hanging="132" w:hangingChars="63"/>
                    <w:jc w:val="center"/>
                  </w:pPr>
                </w:p>
              </w:tc>
              <w:tc>
                <w:tcPr>
                  <w:tcW w:w="512" w:type="pct"/>
                  <w:vMerge w:val="continue"/>
                  <w:tcBorders>
                    <w:right w:val="single" w:color="auto" w:sz="4" w:space="0"/>
                  </w:tcBorders>
                  <w:noWrap w:val="0"/>
                  <w:vAlign w:val="center"/>
                </w:tcPr>
                <w:p w14:paraId="0E8C5D71">
                  <w:pPr>
                    <w:adjustRightInd w:val="0"/>
                    <w:snapToGrid w:val="0"/>
                    <w:spacing w:line="240" w:lineRule="exact"/>
                    <w:ind w:left="19" w:leftChars="-54" w:right="-113" w:rightChars="-54" w:hanging="132" w:hangingChars="63"/>
                    <w:jc w:val="center"/>
                  </w:pPr>
                </w:p>
              </w:tc>
              <w:tc>
                <w:tcPr>
                  <w:tcW w:w="514" w:type="pct"/>
                  <w:tcBorders>
                    <w:right w:val="single" w:color="auto" w:sz="4" w:space="0"/>
                  </w:tcBorders>
                  <w:noWrap w:val="0"/>
                  <w:vAlign w:val="center"/>
                </w:tcPr>
                <w:p w14:paraId="78159FFC">
                  <w:pPr>
                    <w:adjustRightInd w:val="0"/>
                    <w:snapToGrid w:val="0"/>
                    <w:spacing w:line="240" w:lineRule="exact"/>
                    <w:ind w:left="19" w:leftChars="-54" w:right="-113" w:rightChars="-54" w:hanging="132" w:hangingChars="63"/>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1h平均值</w:t>
                  </w:r>
                </w:p>
              </w:tc>
              <w:tc>
                <w:tcPr>
                  <w:tcW w:w="514" w:type="pct"/>
                  <w:tcBorders>
                    <w:right w:val="single" w:color="auto" w:sz="4" w:space="0"/>
                  </w:tcBorders>
                  <w:noWrap w:val="0"/>
                  <w:vAlign w:val="center"/>
                </w:tcPr>
                <w:p w14:paraId="260D47BC">
                  <w:pPr>
                    <w:adjustRightInd w:val="0"/>
                    <w:snapToGrid w:val="0"/>
                    <w:spacing w:line="240" w:lineRule="exact"/>
                    <w:ind w:left="19" w:leftChars="-54" w:right="-113" w:rightChars="-54" w:hanging="132" w:hangingChars="63"/>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一次值</w:t>
                  </w:r>
                </w:p>
              </w:tc>
            </w:tr>
            <w:tr w14:paraId="35364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restart"/>
                  <w:tcBorders>
                    <w:left w:val="single" w:color="auto" w:sz="4" w:space="0"/>
                  </w:tcBorders>
                  <w:noWrap w:val="0"/>
                  <w:vAlign w:val="center"/>
                </w:tcPr>
                <w:p w14:paraId="3546DECA">
                  <w:pPr>
                    <w:jc w:val="center"/>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eastAsia="仿宋" w:cs="Times New Roman"/>
                      <w:bCs/>
                      <w:color w:val="auto"/>
                      <w:sz w:val="21"/>
                      <w:szCs w:val="21"/>
                      <w:lang w:val="en-US" w:eastAsia="zh-CN"/>
                    </w:rPr>
                    <w:t>颗粒物</w:t>
                  </w:r>
                </w:p>
              </w:tc>
              <w:tc>
                <w:tcPr>
                  <w:tcW w:w="557" w:type="pct"/>
                  <w:vMerge w:val="restart"/>
                  <w:noWrap w:val="0"/>
                  <w:vAlign w:val="center"/>
                </w:tcPr>
                <w:p w14:paraId="08ED4662">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13</w:t>
                  </w:r>
                </w:p>
              </w:tc>
              <w:tc>
                <w:tcPr>
                  <w:tcW w:w="521" w:type="pct"/>
                  <w:noWrap w:val="0"/>
                  <w:vAlign w:val="center"/>
                </w:tcPr>
                <w:p w14:paraId="04C8357E">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第一次</w:t>
                  </w:r>
                </w:p>
              </w:tc>
              <w:tc>
                <w:tcPr>
                  <w:tcW w:w="512" w:type="pct"/>
                  <w:noWrap w:val="0"/>
                  <w:vAlign w:val="center"/>
                </w:tcPr>
                <w:p w14:paraId="4730EC73">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0.24</w:t>
                  </w:r>
                  <w:r>
                    <w:rPr>
                      <w:rFonts w:hint="eastAsia" w:ascii="Times New Roman" w:hAnsi="Times New Roman" w:eastAsia="仿宋" w:cs="Times New Roman"/>
                      <w:color w:val="auto"/>
                      <w:spacing w:val="0"/>
                      <w:kern w:val="2"/>
                      <w:sz w:val="21"/>
                      <w:szCs w:val="21"/>
                      <w:lang w:val="en-US" w:eastAsia="zh-CN" w:bidi="ar-SA"/>
                    </w:rPr>
                    <w:t>2</w:t>
                  </w:r>
                </w:p>
              </w:tc>
              <w:tc>
                <w:tcPr>
                  <w:tcW w:w="512" w:type="pct"/>
                  <w:noWrap w:val="0"/>
                  <w:vAlign w:val="center"/>
                </w:tcPr>
                <w:p w14:paraId="7BDBC79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0.363</w:t>
                  </w:r>
                </w:p>
              </w:tc>
              <w:tc>
                <w:tcPr>
                  <w:tcW w:w="512" w:type="pct"/>
                  <w:noWrap w:val="0"/>
                  <w:vAlign w:val="center"/>
                </w:tcPr>
                <w:p w14:paraId="19E4C4E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62</w:t>
                  </w:r>
                </w:p>
              </w:tc>
              <w:tc>
                <w:tcPr>
                  <w:tcW w:w="512" w:type="pct"/>
                  <w:noWrap w:val="0"/>
                  <w:vAlign w:val="center"/>
                </w:tcPr>
                <w:p w14:paraId="17BC239F">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71</w:t>
                  </w:r>
                </w:p>
              </w:tc>
              <w:tc>
                <w:tcPr>
                  <w:tcW w:w="514" w:type="pct"/>
                  <w:noWrap w:val="0"/>
                  <w:vAlign w:val="center"/>
                </w:tcPr>
                <w:p w14:paraId="5FE2A466">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565ADCFC">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4DAF5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6ADD7FF8">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38D39516">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21661B15">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第二次</w:t>
                  </w:r>
                </w:p>
              </w:tc>
              <w:tc>
                <w:tcPr>
                  <w:tcW w:w="512" w:type="pct"/>
                  <w:noWrap w:val="0"/>
                  <w:vAlign w:val="center"/>
                </w:tcPr>
                <w:p w14:paraId="2CC6A975">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w:t>
                  </w:r>
                  <w:r>
                    <w:rPr>
                      <w:rFonts w:hint="eastAsia" w:ascii="Times New Roman" w:hAnsi="Times New Roman" w:eastAsia="仿宋" w:cs="Times New Roman"/>
                      <w:color w:val="auto"/>
                      <w:spacing w:val="0"/>
                      <w:kern w:val="2"/>
                      <w:sz w:val="21"/>
                      <w:szCs w:val="21"/>
                      <w:lang w:val="en-US" w:eastAsia="zh-CN" w:bidi="ar-SA"/>
                    </w:rPr>
                    <w:t>38</w:t>
                  </w:r>
                </w:p>
              </w:tc>
              <w:tc>
                <w:tcPr>
                  <w:tcW w:w="512" w:type="pct"/>
                  <w:noWrap w:val="0"/>
                  <w:vAlign w:val="center"/>
                </w:tcPr>
                <w:p w14:paraId="17493F8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0.369</w:t>
                  </w:r>
                </w:p>
              </w:tc>
              <w:tc>
                <w:tcPr>
                  <w:tcW w:w="512" w:type="pct"/>
                  <w:noWrap w:val="0"/>
                  <w:vAlign w:val="center"/>
                </w:tcPr>
                <w:p w14:paraId="5237176F">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66</w:t>
                  </w:r>
                </w:p>
              </w:tc>
              <w:tc>
                <w:tcPr>
                  <w:tcW w:w="512" w:type="pct"/>
                  <w:noWrap w:val="0"/>
                  <w:vAlign w:val="center"/>
                </w:tcPr>
                <w:p w14:paraId="4738A72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68</w:t>
                  </w:r>
                </w:p>
              </w:tc>
              <w:tc>
                <w:tcPr>
                  <w:tcW w:w="514" w:type="pct"/>
                  <w:noWrap w:val="0"/>
                  <w:vAlign w:val="center"/>
                </w:tcPr>
                <w:p w14:paraId="3A8B587F">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1D2A269B">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6CC34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22E13D74">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07A67CBE">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18CB0C44">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第三次</w:t>
                  </w:r>
                </w:p>
              </w:tc>
              <w:tc>
                <w:tcPr>
                  <w:tcW w:w="512" w:type="pct"/>
                  <w:noWrap w:val="0"/>
                  <w:vAlign w:val="center"/>
                </w:tcPr>
                <w:p w14:paraId="650740F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0.24</w:t>
                  </w:r>
                  <w:r>
                    <w:rPr>
                      <w:rFonts w:hint="eastAsia" w:ascii="Times New Roman" w:hAnsi="Times New Roman" w:eastAsia="仿宋" w:cs="Times New Roman"/>
                      <w:color w:val="auto"/>
                      <w:spacing w:val="0"/>
                      <w:kern w:val="2"/>
                      <w:sz w:val="21"/>
                      <w:szCs w:val="21"/>
                      <w:lang w:val="en-US" w:eastAsia="zh-CN" w:bidi="ar-SA"/>
                    </w:rPr>
                    <w:t>3</w:t>
                  </w:r>
                </w:p>
              </w:tc>
              <w:tc>
                <w:tcPr>
                  <w:tcW w:w="512" w:type="pct"/>
                  <w:noWrap w:val="0"/>
                  <w:vAlign w:val="center"/>
                </w:tcPr>
                <w:p w14:paraId="7D1365F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0.390</w:t>
                  </w:r>
                </w:p>
              </w:tc>
              <w:tc>
                <w:tcPr>
                  <w:tcW w:w="512" w:type="pct"/>
                  <w:noWrap w:val="0"/>
                  <w:vAlign w:val="center"/>
                </w:tcPr>
                <w:p w14:paraId="00F2F135">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90</w:t>
                  </w:r>
                </w:p>
              </w:tc>
              <w:tc>
                <w:tcPr>
                  <w:tcW w:w="512" w:type="pct"/>
                  <w:noWrap w:val="0"/>
                  <w:vAlign w:val="center"/>
                </w:tcPr>
                <w:p w14:paraId="03DD3CD8">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85</w:t>
                  </w:r>
                </w:p>
              </w:tc>
              <w:tc>
                <w:tcPr>
                  <w:tcW w:w="514" w:type="pct"/>
                  <w:noWrap w:val="0"/>
                  <w:vAlign w:val="center"/>
                </w:tcPr>
                <w:p w14:paraId="464974D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5E6D62BE">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15F82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723D06FA">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397E39A3">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023FD3CC">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第四次</w:t>
                  </w:r>
                </w:p>
              </w:tc>
              <w:tc>
                <w:tcPr>
                  <w:tcW w:w="512" w:type="pct"/>
                  <w:noWrap w:val="0"/>
                  <w:vAlign w:val="center"/>
                </w:tcPr>
                <w:p w14:paraId="316E97DC">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0.244</w:t>
                  </w:r>
                </w:p>
              </w:tc>
              <w:tc>
                <w:tcPr>
                  <w:tcW w:w="512" w:type="pct"/>
                  <w:noWrap w:val="0"/>
                  <w:vAlign w:val="center"/>
                </w:tcPr>
                <w:p w14:paraId="02BD5138">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0.382</w:t>
                  </w:r>
                </w:p>
              </w:tc>
              <w:tc>
                <w:tcPr>
                  <w:tcW w:w="512" w:type="pct"/>
                  <w:noWrap w:val="0"/>
                  <w:vAlign w:val="center"/>
                </w:tcPr>
                <w:p w14:paraId="50C094D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0.362</w:t>
                  </w:r>
                </w:p>
              </w:tc>
              <w:tc>
                <w:tcPr>
                  <w:tcW w:w="512" w:type="pct"/>
                  <w:noWrap w:val="0"/>
                  <w:vAlign w:val="center"/>
                </w:tcPr>
                <w:p w14:paraId="21134EC2">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0.387</w:t>
                  </w:r>
                </w:p>
              </w:tc>
              <w:tc>
                <w:tcPr>
                  <w:tcW w:w="514" w:type="pct"/>
                  <w:noWrap w:val="0"/>
                  <w:vAlign w:val="center"/>
                </w:tcPr>
                <w:p w14:paraId="675D300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29B1A286">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51B02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restart"/>
                  <w:tcBorders>
                    <w:left w:val="single" w:color="auto" w:sz="4" w:space="0"/>
                  </w:tcBorders>
                  <w:noWrap w:val="0"/>
                  <w:vAlign w:val="center"/>
                </w:tcPr>
                <w:p w14:paraId="114DA6D3">
                  <w:pPr>
                    <w:jc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非甲烷总烃</w:t>
                  </w:r>
                </w:p>
              </w:tc>
              <w:tc>
                <w:tcPr>
                  <w:tcW w:w="557" w:type="pct"/>
                  <w:vMerge w:val="continue"/>
                  <w:noWrap w:val="0"/>
                  <w:vAlign w:val="center"/>
                </w:tcPr>
                <w:p w14:paraId="251B4D69">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3BA3864E">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第一次</w:t>
                  </w:r>
                </w:p>
              </w:tc>
              <w:tc>
                <w:tcPr>
                  <w:tcW w:w="512" w:type="pct"/>
                  <w:noWrap w:val="0"/>
                  <w:vAlign w:val="center"/>
                </w:tcPr>
                <w:p w14:paraId="2523A30F">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19</w:t>
                  </w:r>
                </w:p>
              </w:tc>
              <w:tc>
                <w:tcPr>
                  <w:tcW w:w="512" w:type="pct"/>
                  <w:noWrap w:val="0"/>
                  <w:vAlign w:val="center"/>
                </w:tcPr>
                <w:p w14:paraId="19FB7B1A">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27</w:t>
                  </w:r>
                </w:p>
              </w:tc>
              <w:tc>
                <w:tcPr>
                  <w:tcW w:w="512" w:type="pct"/>
                  <w:noWrap w:val="0"/>
                  <w:vAlign w:val="center"/>
                </w:tcPr>
                <w:p w14:paraId="5A021A6F">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25</w:t>
                  </w:r>
                </w:p>
              </w:tc>
              <w:tc>
                <w:tcPr>
                  <w:tcW w:w="512" w:type="pct"/>
                  <w:noWrap w:val="0"/>
                  <w:vAlign w:val="center"/>
                </w:tcPr>
                <w:p w14:paraId="7E542655">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24</w:t>
                  </w:r>
                </w:p>
              </w:tc>
              <w:tc>
                <w:tcPr>
                  <w:tcW w:w="514" w:type="pct"/>
                  <w:noWrap w:val="0"/>
                  <w:vAlign w:val="center"/>
                </w:tcPr>
                <w:p w14:paraId="4FB846A1">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36</w:t>
                  </w:r>
                </w:p>
              </w:tc>
              <w:tc>
                <w:tcPr>
                  <w:tcW w:w="514" w:type="pct"/>
                  <w:vMerge w:val="restart"/>
                  <w:noWrap w:val="0"/>
                  <w:vAlign w:val="center"/>
                </w:tcPr>
                <w:p w14:paraId="319B2B1A">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highlight w:val="none"/>
                      <w:lang w:val="en-US" w:eastAsia="zh-CN" w:bidi="ar-SA"/>
                    </w:rPr>
                    <w:t>0.34</w:t>
                  </w:r>
                </w:p>
              </w:tc>
            </w:tr>
            <w:tr w14:paraId="50EB6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6CCBA50D">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4298254D">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78DB99A1">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第二次</w:t>
                  </w:r>
                </w:p>
              </w:tc>
              <w:tc>
                <w:tcPr>
                  <w:tcW w:w="512" w:type="pct"/>
                  <w:noWrap w:val="0"/>
                  <w:vAlign w:val="center"/>
                </w:tcPr>
                <w:p w14:paraId="13486E6B">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16</w:t>
                  </w:r>
                </w:p>
              </w:tc>
              <w:tc>
                <w:tcPr>
                  <w:tcW w:w="512" w:type="pct"/>
                  <w:noWrap w:val="0"/>
                  <w:vAlign w:val="center"/>
                </w:tcPr>
                <w:p w14:paraId="7DB0E4F9">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30</w:t>
                  </w:r>
                </w:p>
              </w:tc>
              <w:tc>
                <w:tcPr>
                  <w:tcW w:w="512" w:type="pct"/>
                  <w:noWrap w:val="0"/>
                  <w:vAlign w:val="center"/>
                </w:tcPr>
                <w:p w14:paraId="184A060C">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25</w:t>
                  </w:r>
                </w:p>
              </w:tc>
              <w:tc>
                <w:tcPr>
                  <w:tcW w:w="512" w:type="pct"/>
                  <w:noWrap w:val="0"/>
                  <w:vAlign w:val="center"/>
                </w:tcPr>
                <w:p w14:paraId="376C3D2A">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26</w:t>
                  </w:r>
                </w:p>
              </w:tc>
              <w:tc>
                <w:tcPr>
                  <w:tcW w:w="514" w:type="pct"/>
                  <w:noWrap w:val="0"/>
                  <w:vAlign w:val="center"/>
                </w:tcPr>
                <w:p w14:paraId="5F1263E1">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35</w:t>
                  </w:r>
                </w:p>
              </w:tc>
              <w:tc>
                <w:tcPr>
                  <w:tcW w:w="514" w:type="pct"/>
                  <w:vMerge w:val="continue"/>
                  <w:noWrap w:val="0"/>
                  <w:vAlign w:val="center"/>
                </w:tcPr>
                <w:p w14:paraId="190CA46C">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r w14:paraId="20812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45347C48">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4840893B">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2C65D56B">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第三次</w:t>
                  </w:r>
                </w:p>
              </w:tc>
              <w:tc>
                <w:tcPr>
                  <w:tcW w:w="512" w:type="pct"/>
                  <w:noWrap w:val="0"/>
                  <w:vAlign w:val="center"/>
                </w:tcPr>
                <w:p w14:paraId="58EAD420">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16</w:t>
                  </w:r>
                </w:p>
              </w:tc>
              <w:tc>
                <w:tcPr>
                  <w:tcW w:w="512" w:type="pct"/>
                  <w:noWrap w:val="0"/>
                  <w:vAlign w:val="center"/>
                </w:tcPr>
                <w:p w14:paraId="73595EDD">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26</w:t>
                  </w:r>
                </w:p>
              </w:tc>
              <w:tc>
                <w:tcPr>
                  <w:tcW w:w="512" w:type="pct"/>
                  <w:noWrap w:val="0"/>
                  <w:vAlign w:val="center"/>
                </w:tcPr>
                <w:p w14:paraId="676D88F8">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26</w:t>
                  </w:r>
                </w:p>
              </w:tc>
              <w:tc>
                <w:tcPr>
                  <w:tcW w:w="512" w:type="pct"/>
                  <w:noWrap w:val="0"/>
                  <w:vAlign w:val="center"/>
                </w:tcPr>
                <w:p w14:paraId="2F7E2293">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25</w:t>
                  </w:r>
                  <w:r>
                    <w:rPr>
                      <w:rFonts w:hint="default" w:ascii="Times New Roman" w:hAnsi="Times New Roman" w:eastAsia="仿宋" w:cs="Times New Roman"/>
                      <w:color w:val="auto"/>
                      <w:sz w:val="21"/>
                      <w:szCs w:val="21"/>
                      <w:lang w:val="en-US" w:eastAsia="zh-CN"/>
                    </w:rPr>
                    <w:t xml:space="preserve"> </w:t>
                  </w:r>
                </w:p>
              </w:tc>
              <w:tc>
                <w:tcPr>
                  <w:tcW w:w="514" w:type="pct"/>
                  <w:noWrap w:val="0"/>
                  <w:vAlign w:val="center"/>
                </w:tcPr>
                <w:p w14:paraId="12EA50CB">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z w:val="21"/>
                      <w:szCs w:val="21"/>
                      <w:lang w:val="en-US" w:eastAsia="zh-CN"/>
                    </w:rPr>
                    <w:t>0.</w:t>
                  </w:r>
                  <w:r>
                    <w:rPr>
                      <w:rFonts w:hint="eastAsia" w:ascii="Times New Roman" w:hAnsi="Times New Roman" w:eastAsia="仿宋" w:cs="Times New Roman"/>
                      <w:color w:val="auto"/>
                      <w:sz w:val="21"/>
                      <w:szCs w:val="21"/>
                      <w:lang w:val="en-US" w:eastAsia="zh-CN"/>
                    </w:rPr>
                    <w:t>36</w:t>
                  </w:r>
                  <w:r>
                    <w:rPr>
                      <w:rFonts w:hint="default" w:ascii="Times New Roman" w:hAnsi="Times New Roman" w:eastAsia="仿宋" w:cs="Times New Roman"/>
                      <w:color w:val="auto"/>
                      <w:sz w:val="21"/>
                      <w:szCs w:val="21"/>
                      <w:lang w:val="en-US" w:eastAsia="zh-CN"/>
                    </w:rPr>
                    <w:t xml:space="preserve"> </w:t>
                  </w:r>
                </w:p>
              </w:tc>
              <w:tc>
                <w:tcPr>
                  <w:tcW w:w="514" w:type="pct"/>
                  <w:vMerge w:val="continue"/>
                  <w:noWrap w:val="0"/>
                  <w:vAlign w:val="center"/>
                </w:tcPr>
                <w:p w14:paraId="5B1C8F44">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r w14:paraId="4EF2C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71DAE3CB">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33A7ACF9">
                  <w:pPr>
                    <w:adjustRightInd w:val="0"/>
                    <w:snapToGrid w:val="0"/>
                    <w:jc w:val="center"/>
                    <w:rPr>
                      <w:rFonts w:hint="default" w:ascii="Times New Roman" w:hAnsi="Times New Roman" w:eastAsia="仿宋" w:cs="Times New Roman"/>
                      <w:sz w:val="21"/>
                      <w:szCs w:val="21"/>
                      <w:lang w:val="en-US" w:eastAsia="zh-CN"/>
                    </w:rPr>
                  </w:pPr>
                </w:p>
              </w:tc>
              <w:tc>
                <w:tcPr>
                  <w:tcW w:w="521" w:type="pct"/>
                  <w:noWrap w:val="0"/>
                  <w:vAlign w:val="center"/>
                </w:tcPr>
                <w:p w14:paraId="24420421">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第四次</w:t>
                  </w:r>
                </w:p>
              </w:tc>
              <w:tc>
                <w:tcPr>
                  <w:tcW w:w="512" w:type="pct"/>
                  <w:noWrap w:val="0"/>
                  <w:vAlign w:val="center"/>
                </w:tcPr>
                <w:p w14:paraId="017AC47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0.17</w:t>
                  </w:r>
                </w:p>
              </w:tc>
              <w:tc>
                <w:tcPr>
                  <w:tcW w:w="512" w:type="pct"/>
                  <w:noWrap w:val="0"/>
                  <w:vAlign w:val="center"/>
                </w:tcPr>
                <w:p w14:paraId="1A435F7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0.24</w:t>
                  </w:r>
                </w:p>
              </w:tc>
              <w:tc>
                <w:tcPr>
                  <w:tcW w:w="512" w:type="pct"/>
                  <w:noWrap w:val="0"/>
                  <w:vAlign w:val="center"/>
                </w:tcPr>
                <w:p w14:paraId="78050552">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0.29</w:t>
                  </w:r>
                </w:p>
              </w:tc>
              <w:tc>
                <w:tcPr>
                  <w:tcW w:w="512" w:type="pct"/>
                  <w:noWrap w:val="0"/>
                  <w:vAlign w:val="center"/>
                </w:tcPr>
                <w:p w14:paraId="4DC92363">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0.28</w:t>
                  </w:r>
                </w:p>
              </w:tc>
              <w:tc>
                <w:tcPr>
                  <w:tcW w:w="514" w:type="pct"/>
                  <w:noWrap w:val="0"/>
                  <w:vAlign w:val="center"/>
                </w:tcPr>
                <w:p w14:paraId="2AE4CC73">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0.38</w:t>
                  </w:r>
                </w:p>
              </w:tc>
              <w:tc>
                <w:tcPr>
                  <w:tcW w:w="514" w:type="pct"/>
                  <w:vMerge w:val="continue"/>
                  <w:noWrap w:val="0"/>
                  <w:vAlign w:val="center"/>
                </w:tcPr>
                <w:p w14:paraId="5A3EF4F1">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r w14:paraId="6711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82" w:hRule="atLeast"/>
                <w:jc w:val="center"/>
              </w:trPr>
              <w:tc>
                <w:tcPr>
                  <w:tcW w:w="843" w:type="pct"/>
                  <w:vMerge w:val="restart"/>
                  <w:tcBorders>
                    <w:left w:val="single" w:color="auto" w:sz="4" w:space="0"/>
                  </w:tcBorders>
                  <w:noWrap w:val="0"/>
                  <w:vAlign w:val="center"/>
                </w:tcPr>
                <w:p w14:paraId="20148695">
                  <w:pPr>
                    <w:adjustRightInd w:val="0"/>
                    <w:snapToGrid w:val="0"/>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color w:val="auto"/>
                      <w:sz w:val="21"/>
                      <w:szCs w:val="21"/>
                    </w:rPr>
                    <w:t>检测项目</w:t>
                  </w:r>
                </w:p>
              </w:tc>
              <w:tc>
                <w:tcPr>
                  <w:tcW w:w="1078" w:type="pct"/>
                  <w:gridSpan w:val="2"/>
                  <w:vMerge w:val="restart"/>
                  <w:tcBorders>
                    <w:tl2br w:val="single" w:color="auto" w:sz="4" w:space="0"/>
                  </w:tcBorders>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8135D63">
                  <w:pPr>
                    <w:adjustRightInd w:val="0"/>
                    <w:snapToGrid w:val="0"/>
                    <w:spacing w:line="240" w:lineRule="exact"/>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rPr>
                    <w:t xml:space="preserve">          </w:t>
                  </w:r>
                </w:p>
                <w:p w14:paraId="400B1624">
                  <w:pPr>
                    <w:keepNext w:val="0"/>
                    <w:keepLines w:val="0"/>
                    <w:pageBreakBefore w:val="0"/>
                    <w:widowControl/>
                    <w:kinsoku w:val="0"/>
                    <w:wordWrap/>
                    <w:overflowPunct/>
                    <w:topLinePunct w:val="0"/>
                    <w:autoSpaceDE w:val="0"/>
                    <w:autoSpaceDN w:val="0"/>
                    <w:bidi w:val="0"/>
                    <w:adjustRightInd w:val="0"/>
                    <w:snapToGrid w:val="0"/>
                    <w:spacing w:line="240" w:lineRule="exact"/>
                    <w:ind w:right="0"/>
                    <w:textAlignment w:val="baseline"/>
                    <w:rPr>
                      <w:rFonts w:hint="default" w:ascii="Times New Roman" w:hAnsi="Times New Roman" w:eastAsia="仿宋" w:cs="Times New Roman"/>
                      <w:color w:val="auto"/>
                      <w:sz w:val="21"/>
                      <w:szCs w:val="21"/>
                      <w:lang w:eastAsia="zh-CN"/>
                    </w:rPr>
                  </w:pPr>
                </w:p>
                <w:p w14:paraId="70BF220D">
                  <w:pPr>
                    <w:keepNext w:val="0"/>
                    <w:keepLines w:val="0"/>
                    <w:pageBreakBefore w:val="0"/>
                    <w:widowControl/>
                    <w:kinsoku w:val="0"/>
                    <w:wordWrap/>
                    <w:overflowPunct/>
                    <w:topLinePunct w:val="0"/>
                    <w:autoSpaceDE w:val="0"/>
                    <w:autoSpaceDN w:val="0"/>
                    <w:bidi w:val="0"/>
                    <w:adjustRightInd w:val="0"/>
                    <w:snapToGrid w:val="0"/>
                    <w:spacing w:line="240" w:lineRule="exact"/>
                    <w:ind w:right="0"/>
                    <w:textAlignment w:val="baseline"/>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采样日期</w:t>
                  </w:r>
                </w:p>
                <w:p w14:paraId="26B18F34">
                  <w:pPr>
                    <w:pStyle w:val="21"/>
                    <w:ind w:left="0" w:leftChars="0" w:firstLine="0" w:firstLineChars="0"/>
                    <w:rPr>
                      <w:rFonts w:hint="default" w:ascii="Times New Roman" w:hAnsi="Times New Roman" w:eastAsia="仿宋" w:cs="Times New Roman"/>
                      <w:sz w:val="21"/>
                      <w:szCs w:val="21"/>
                      <w:lang w:eastAsia="zh-CN"/>
                    </w:rPr>
                  </w:pPr>
                </w:p>
                <w:p w14:paraId="2DB802B2">
                  <w:pPr>
                    <w:adjustRightInd w:val="0"/>
                    <w:snapToGrid w:val="0"/>
                    <w:spacing w:line="240" w:lineRule="exact"/>
                    <w:ind w:right="119"/>
                    <mc:AlternateContent>
                      <mc:Choice Requires="wpsCustomData">
                        <wpsCustomData:diagonalParaType/>
                      </mc:Choice>
                    </mc:AlternateContent>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采样日期</w:t>
                  </w:r>
                </w:p>
                <w:p w14:paraId="011BF9C1">
                  <w:pPr>
                    <w:adjustRightInd w:val="0"/>
                    <w:snapToGrid w:val="0"/>
                    <w:spacing w:line="240" w:lineRule="exact"/>
                    <w:ind w:firstLine="420" w:firstLineChars="200"/>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采样</w:t>
                  </w:r>
                  <w:r>
                    <w:rPr>
                      <w:rFonts w:hint="default" w:ascii="Times New Roman" w:hAnsi="Times New Roman" w:eastAsia="仿宋" w:cs="Times New Roman"/>
                      <w:color w:val="auto"/>
                      <w:sz w:val="21"/>
                      <w:szCs w:val="21"/>
                    </w:rPr>
                    <w:t>点位</w:t>
                  </w:r>
                </w:p>
                <w:p w14:paraId="5ADA8469">
                  <w:pPr>
                    <w:adjustRightInd w:val="0"/>
                    <w:snapToGrid w:val="0"/>
                    <w:spacing w:line="240" w:lineRule="exact"/>
                    <w:ind w:right="119" w:rightChars="0"/>
                    <w:rPr>
                      <w:rFonts w:hint="default" w:ascii="Times New Roman" w:hAnsi="Times New Roman" w:eastAsia="仿宋" w:cs="Times New Roman"/>
                      <w:snapToGrid w:val="0"/>
                      <w:color w:val="auto"/>
                      <w:kern w:val="0"/>
                      <w:sz w:val="21"/>
                      <w:szCs w:val="21"/>
                      <w:lang w:val="en-US" w:eastAsia="zh-CN"/>
                    </w:rPr>
                  </w:pPr>
                </w:p>
              </w:tc>
              <w:tc>
                <w:tcPr>
                  <w:tcW w:w="512" w:type="pct"/>
                  <w:vMerge w:val="restart"/>
                  <w:noWrap w:val="0"/>
                  <w:vAlign w:val="center"/>
                </w:tcPr>
                <w:p w14:paraId="76AA099D">
                  <w:pPr>
                    <w:adjustRightInd w:val="0"/>
                    <w:snapToGrid w:val="0"/>
                    <w:spacing w:line="240" w:lineRule="exact"/>
                    <w:ind w:left="19" w:leftChars="-53" w:right="-113" w:rightChars="-54" w:hanging="130" w:hangingChars="62"/>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z w:val="21"/>
                      <w:szCs w:val="21"/>
                      <w:lang w:val="en-US" w:eastAsia="zh-CN"/>
                    </w:rPr>
                    <w:t>P1</w:t>
                  </w:r>
                  <w:r>
                    <w:rPr>
                      <w:rFonts w:hint="default" w:ascii="Times New Roman" w:hAnsi="Times New Roman" w:eastAsia="仿宋" w:cs="Times New Roman"/>
                      <w:color w:val="auto"/>
                      <w:sz w:val="21"/>
                      <w:szCs w:val="21"/>
                    </w:rPr>
                    <w:t>上风向</w:t>
                  </w:r>
                </w:p>
              </w:tc>
              <w:tc>
                <w:tcPr>
                  <w:tcW w:w="512" w:type="pct"/>
                  <w:vMerge w:val="restart"/>
                  <w:noWrap w:val="0"/>
                  <w:vAlign w:val="center"/>
                </w:tcPr>
                <w:p w14:paraId="1971B3FA">
                  <w:pPr>
                    <w:adjustRightInd w:val="0"/>
                    <w:snapToGrid w:val="0"/>
                    <w:spacing w:line="240" w:lineRule="exact"/>
                    <w:ind w:left="-6" w:leftChars="-54" w:right="-113" w:rightChars="-54" w:hanging="107" w:hangingChars="51"/>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z w:val="21"/>
                      <w:szCs w:val="21"/>
                      <w:lang w:val="en-US" w:eastAsia="zh-CN"/>
                    </w:rPr>
                    <w:t>P2</w:t>
                  </w:r>
                  <w:r>
                    <w:rPr>
                      <w:rFonts w:hint="default" w:ascii="Times New Roman" w:hAnsi="Times New Roman" w:eastAsia="仿宋" w:cs="Times New Roman"/>
                      <w:color w:val="auto"/>
                      <w:sz w:val="21"/>
                      <w:szCs w:val="21"/>
                    </w:rPr>
                    <w:t>下风向</w:t>
                  </w:r>
                </w:p>
              </w:tc>
              <w:tc>
                <w:tcPr>
                  <w:tcW w:w="512" w:type="pct"/>
                  <w:vMerge w:val="restart"/>
                  <w:noWrap w:val="0"/>
                  <w:vAlign w:val="center"/>
                </w:tcPr>
                <w:p w14:paraId="335BFC66">
                  <w:pPr>
                    <w:adjustRightInd w:val="0"/>
                    <w:snapToGrid w:val="0"/>
                    <w:spacing w:line="240" w:lineRule="exact"/>
                    <w:ind w:left="-6" w:leftChars="-54" w:right="-113" w:rightChars="-54" w:hanging="107" w:hangingChars="51"/>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z w:val="21"/>
                      <w:szCs w:val="21"/>
                      <w:lang w:val="en-US" w:eastAsia="zh-CN"/>
                    </w:rPr>
                    <w:t>P3</w:t>
                  </w:r>
                  <w:r>
                    <w:rPr>
                      <w:rFonts w:hint="default" w:ascii="Times New Roman" w:hAnsi="Times New Roman" w:eastAsia="仿宋" w:cs="Times New Roman"/>
                      <w:color w:val="auto"/>
                      <w:sz w:val="21"/>
                      <w:szCs w:val="21"/>
                    </w:rPr>
                    <w:t>下风向</w:t>
                  </w:r>
                </w:p>
              </w:tc>
              <w:tc>
                <w:tcPr>
                  <w:tcW w:w="512" w:type="pct"/>
                  <w:vMerge w:val="restart"/>
                  <w:noWrap w:val="0"/>
                  <w:vAlign w:val="center"/>
                </w:tcPr>
                <w:p w14:paraId="77CB78B1">
                  <w:pPr>
                    <w:adjustRightInd w:val="0"/>
                    <w:snapToGrid w:val="0"/>
                    <w:spacing w:line="240" w:lineRule="exact"/>
                    <w:ind w:left="19" w:leftChars="-54" w:right="-113" w:rightChars="-54" w:hanging="132" w:hangingChars="63"/>
                    <w:jc w:val="center"/>
                    <w:rPr>
                      <w:rFonts w:hint="default" w:ascii="Times New Roman" w:hAnsi="Times New Roman" w:eastAsia="仿宋" w:cs="Times New Roman"/>
                      <w:color w:val="auto"/>
                      <w:sz w:val="21"/>
                      <w:szCs w:val="21"/>
                    </w:rPr>
                  </w:pPr>
                  <w:r>
                    <w:rPr>
                      <w:rFonts w:hint="eastAsia" w:ascii="Times New Roman" w:hAnsi="Times New Roman" w:eastAsia="仿宋" w:cs="Times New Roman"/>
                      <w:color w:val="auto"/>
                      <w:sz w:val="21"/>
                      <w:szCs w:val="21"/>
                      <w:lang w:val="en-US" w:eastAsia="zh-CN"/>
                    </w:rPr>
                    <w:t>P4</w:t>
                  </w:r>
                  <w:r>
                    <w:rPr>
                      <w:rFonts w:hint="default" w:ascii="Times New Roman" w:hAnsi="Times New Roman" w:eastAsia="仿宋" w:cs="Times New Roman"/>
                      <w:color w:val="auto"/>
                      <w:sz w:val="21"/>
                      <w:szCs w:val="21"/>
                    </w:rPr>
                    <w:t>下风向</w:t>
                  </w:r>
                </w:p>
              </w:tc>
              <w:tc>
                <w:tcPr>
                  <w:tcW w:w="1028" w:type="pct"/>
                  <w:gridSpan w:val="2"/>
                  <w:noWrap w:val="0"/>
                  <w:vAlign w:val="center"/>
                </w:tcPr>
                <w:p w14:paraId="5916B266">
                  <w:pPr>
                    <w:adjustRightInd w:val="0"/>
                    <w:snapToGrid w:val="0"/>
                    <w:spacing w:line="240" w:lineRule="exact"/>
                    <w:ind w:left="19" w:leftChars="-54" w:right="-113" w:rightChars="-54" w:hanging="132" w:hangingChars="63"/>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P5厂房外</w:t>
                  </w:r>
                </w:p>
              </w:tc>
            </w:tr>
            <w:tr w14:paraId="5584D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82" w:hRule="atLeast"/>
                <w:jc w:val="center"/>
              </w:trPr>
              <w:tc>
                <w:tcPr>
                  <w:tcW w:w="843" w:type="pct"/>
                  <w:vMerge w:val="continue"/>
                  <w:tcBorders>
                    <w:left w:val="single" w:color="auto" w:sz="4" w:space="0"/>
                  </w:tcBorders>
                  <w:noWrap w:val="0"/>
                  <w:vAlign w:val="center"/>
                </w:tcPr>
                <w:p w14:paraId="48758BC0">
                  <w:pPr>
                    <w:adjustRightInd w:val="0"/>
                    <w:snapToGrid w:val="0"/>
                    <w:spacing w:line="240" w:lineRule="exact"/>
                    <w:ind w:left="19" w:leftChars="-54" w:right="-113" w:rightChars="-54" w:hanging="132" w:hangingChars="63"/>
                    <w:jc w:val="center"/>
                  </w:pPr>
                </w:p>
              </w:tc>
              <w:tc>
                <w:tcPr>
                  <w:tcW w:w="1078" w:type="pct"/>
                  <w:gridSpan w:val="2"/>
                  <w:vMerge w:val="continue"/>
                  <w:tcBorders>
                    <w:tl2br w:val="single" w:color="auto" w:sz="4" w:space="0"/>
                  </w:tcBorders>
                  <w:noWrap w:val="0"/>
                  <w:vAlign w:val="center"/>
                </w:tcPr>
                <w:p w14:paraId="1695EBEC">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47C26515">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2E397554">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16600E1A">
                  <w:pPr>
                    <w:adjustRightInd w:val="0"/>
                    <w:snapToGrid w:val="0"/>
                    <w:spacing w:line="240" w:lineRule="exact"/>
                    <w:ind w:left="19" w:leftChars="-54" w:right="-113" w:rightChars="-54" w:hanging="132" w:hangingChars="63"/>
                    <w:jc w:val="center"/>
                  </w:pPr>
                </w:p>
              </w:tc>
              <w:tc>
                <w:tcPr>
                  <w:tcW w:w="512" w:type="pct"/>
                  <w:vMerge w:val="continue"/>
                  <w:noWrap w:val="0"/>
                  <w:vAlign w:val="center"/>
                </w:tcPr>
                <w:p w14:paraId="37FF176B">
                  <w:pPr>
                    <w:adjustRightInd w:val="0"/>
                    <w:snapToGrid w:val="0"/>
                    <w:spacing w:line="240" w:lineRule="exact"/>
                    <w:ind w:left="19" w:leftChars="-54" w:right="-113" w:rightChars="-54" w:hanging="132" w:hangingChars="63"/>
                    <w:jc w:val="center"/>
                  </w:pPr>
                </w:p>
              </w:tc>
              <w:tc>
                <w:tcPr>
                  <w:tcW w:w="514" w:type="pct"/>
                  <w:noWrap w:val="0"/>
                  <w:vAlign w:val="center"/>
                </w:tcPr>
                <w:p w14:paraId="3FCAC269">
                  <w:pPr>
                    <w:adjustRightInd w:val="0"/>
                    <w:snapToGrid w:val="0"/>
                    <w:spacing w:line="240" w:lineRule="exact"/>
                    <w:ind w:left="19" w:leftChars="-54" w:right="-113" w:rightChars="-54" w:hanging="132" w:hangingChars="63"/>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1h平均值</w:t>
                  </w:r>
                </w:p>
              </w:tc>
              <w:tc>
                <w:tcPr>
                  <w:tcW w:w="514" w:type="pct"/>
                  <w:noWrap w:val="0"/>
                  <w:vAlign w:val="center"/>
                </w:tcPr>
                <w:p w14:paraId="017CB310">
                  <w:pPr>
                    <w:adjustRightInd w:val="0"/>
                    <w:snapToGrid w:val="0"/>
                    <w:spacing w:line="240" w:lineRule="exact"/>
                    <w:ind w:left="19" w:leftChars="-54" w:right="-113" w:rightChars="-54" w:hanging="132" w:hangingChars="63"/>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一次值</w:t>
                  </w:r>
                </w:p>
              </w:tc>
            </w:tr>
            <w:tr w14:paraId="3DA5E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restart"/>
                  <w:tcBorders>
                    <w:left w:val="single" w:color="auto" w:sz="4" w:space="0"/>
                  </w:tcBorders>
                  <w:noWrap w:val="0"/>
                  <w:vAlign w:val="center"/>
                </w:tcPr>
                <w:p w14:paraId="21EBF28D">
                  <w:pPr>
                    <w:jc w:val="center"/>
                    <w:rPr>
                      <w:rFonts w:hint="default" w:ascii="Times New Roman" w:hAnsi="Times New Roman" w:eastAsia="仿宋" w:cs="Times New Roman"/>
                      <w:bCs/>
                      <w:color w:val="auto"/>
                      <w:sz w:val="21"/>
                      <w:szCs w:val="21"/>
                      <w:lang w:val="en-US" w:eastAsia="zh-CN"/>
                    </w:rPr>
                  </w:pPr>
                  <w:r>
                    <w:rPr>
                      <w:rFonts w:hint="default" w:ascii="Times New Roman" w:hAnsi="Times New Roman" w:eastAsia="仿宋" w:cs="Times New Roman"/>
                      <w:bCs/>
                      <w:color w:val="auto"/>
                      <w:sz w:val="21"/>
                      <w:szCs w:val="21"/>
                      <w:lang w:val="en-US" w:eastAsia="zh-CN"/>
                    </w:rPr>
                    <w:t>颗粒物</w:t>
                  </w:r>
                </w:p>
              </w:tc>
              <w:tc>
                <w:tcPr>
                  <w:tcW w:w="557" w:type="pct"/>
                  <w:vMerge w:val="restart"/>
                  <w:noWrap w:val="0"/>
                  <w:vAlign w:val="center"/>
                </w:tcPr>
                <w:p w14:paraId="063BB0D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14</w:t>
                  </w:r>
                </w:p>
              </w:tc>
              <w:tc>
                <w:tcPr>
                  <w:tcW w:w="521" w:type="pct"/>
                  <w:noWrap w:val="0"/>
                  <w:vAlign w:val="center"/>
                </w:tcPr>
                <w:p w14:paraId="3441F4F6">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sz w:val="21"/>
                      <w:szCs w:val="21"/>
                      <w:lang w:val="en-US" w:eastAsia="zh-CN"/>
                    </w:rPr>
                    <w:t>第一次</w:t>
                  </w:r>
                </w:p>
              </w:tc>
              <w:tc>
                <w:tcPr>
                  <w:tcW w:w="512" w:type="pct"/>
                  <w:noWrap w:val="0"/>
                  <w:vAlign w:val="center"/>
                </w:tcPr>
                <w:p w14:paraId="1C09309E">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w:t>
                  </w:r>
                  <w:r>
                    <w:rPr>
                      <w:rFonts w:hint="eastAsia" w:ascii="Times New Roman" w:hAnsi="Times New Roman" w:eastAsia="仿宋" w:cs="Times New Roman"/>
                      <w:color w:val="auto"/>
                      <w:spacing w:val="0"/>
                      <w:kern w:val="2"/>
                      <w:sz w:val="21"/>
                      <w:szCs w:val="21"/>
                      <w:lang w:val="en-US" w:eastAsia="zh-CN" w:bidi="ar-SA"/>
                    </w:rPr>
                    <w:t>36</w:t>
                  </w:r>
                </w:p>
              </w:tc>
              <w:tc>
                <w:tcPr>
                  <w:tcW w:w="512" w:type="pct"/>
                  <w:noWrap w:val="0"/>
                  <w:vAlign w:val="center"/>
                </w:tcPr>
                <w:p w14:paraId="36F2BEC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0.374</w:t>
                  </w:r>
                </w:p>
              </w:tc>
              <w:tc>
                <w:tcPr>
                  <w:tcW w:w="512" w:type="pct"/>
                  <w:noWrap w:val="0"/>
                  <w:vAlign w:val="center"/>
                </w:tcPr>
                <w:p w14:paraId="3A7491E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70</w:t>
                  </w:r>
                </w:p>
              </w:tc>
              <w:tc>
                <w:tcPr>
                  <w:tcW w:w="512" w:type="pct"/>
                  <w:noWrap w:val="0"/>
                  <w:vAlign w:val="center"/>
                </w:tcPr>
                <w:p w14:paraId="454E47A3">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63</w:t>
                  </w:r>
                </w:p>
              </w:tc>
              <w:tc>
                <w:tcPr>
                  <w:tcW w:w="514" w:type="pct"/>
                  <w:noWrap w:val="0"/>
                  <w:vAlign w:val="center"/>
                </w:tcPr>
                <w:p w14:paraId="073E904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08B2E4C0">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075BA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40A63413">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513E9B8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74AC59D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sz w:val="21"/>
                      <w:szCs w:val="21"/>
                      <w:lang w:val="en-US" w:eastAsia="zh-CN"/>
                    </w:rPr>
                    <w:t>第二次</w:t>
                  </w:r>
                </w:p>
              </w:tc>
              <w:tc>
                <w:tcPr>
                  <w:tcW w:w="512" w:type="pct"/>
                  <w:noWrap w:val="0"/>
                  <w:vAlign w:val="center"/>
                </w:tcPr>
                <w:p w14:paraId="4A82AE4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0.23</w:t>
                  </w:r>
                  <w:r>
                    <w:rPr>
                      <w:rFonts w:hint="eastAsia" w:ascii="Times New Roman" w:hAnsi="Times New Roman" w:eastAsia="仿宋" w:cs="Times New Roman"/>
                      <w:color w:val="auto"/>
                      <w:spacing w:val="0"/>
                      <w:kern w:val="2"/>
                      <w:sz w:val="21"/>
                      <w:szCs w:val="21"/>
                      <w:lang w:val="en-US" w:eastAsia="zh-CN" w:bidi="ar-SA"/>
                    </w:rPr>
                    <w:t>9</w:t>
                  </w:r>
                </w:p>
              </w:tc>
              <w:tc>
                <w:tcPr>
                  <w:tcW w:w="512" w:type="pct"/>
                  <w:noWrap w:val="0"/>
                  <w:vAlign w:val="center"/>
                </w:tcPr>
                <w:p w14:paraId="79397E1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0.379</w:t>
                  </w:r>
                </w:p>
              </w:tc>
              <w:tc>
                <w:tcPr>
                  <w:tcW w:w="512" w:type="pct"/>
                  <w:noWrap w:val="0"/>
                  <w:vAlign w:val="center"/>
                </w:tcPr>
                <w:p w14:paraId="46B6F24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63</w:t>
                  </w:r>
                </w:p>
              </w:tc>
              <w:tc>
                <w:tcPr>
                  <w:tcW w:w="512" w:type="pct"/>
                  <w:noWrap w:val="0"/>
                  <w:vAlign w:val="center"/>
                </w:tcPr>
                <w:p w14:paraId="40D7BA94">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68</w:t>
                  </w:r>
                </w:p>
              </w:tc>
              <w:tc>
                <w:tcPr>
                  <w:tcW w:w="514" w:type="pct"/>
                  <w:noWrap w:val="0"/>
                  <w:vAlign w:val="center"/>
                </w:tcPr>
                <w:p w14:paraId="6D1166A2">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770349DD">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78E8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4F0F83DE">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26F6BF6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4C44E0E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sz w:val="21"/>
                      <w:szCs w:val="21"/>
                      <w:lang w:val="en-US" w:eastAsia="zh-CN"/>
                    </w:rPr>
                    <w:t>第三次</w:t>
                  </w:r>
                </w:p>
              </w:tc>
              <w:tc>
                <w:tcPr>
                  <w:tcW w:w="512" w:type="pct"/>
                  <w:noWrap w:val="0"/>
                  <w:vAlign w:val="center"/>
                </w:tcPr>
                <w:p w14:paraId="0919C9F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0.2</w:t>
                  </w:r>
                  <w:r>
                    <w:rPr>
                      <w:rFonts w:hint="eastAsia" w:ascii="Times New Roman" w:hAnsi="Times New Roman" w:eastAsia="仿宋" w:cs="Times New Roman"/>
                      <w:color w:val="auto"/>
                      <w:spacing w:val="0"/>
                      <w:kern w:val="2"/>
                      <w:sz w:val="21"/>
                      <w:szCs w:val="21"/>
                      <w:lang w:val="en-US" w:eastAsia="zh-CN" w:bidi="ar-SA"/>
                    </w:rPr>
                    <w:t>44</w:t>
                  </w:r>
                </w:p>
              </w:tc>
              <w:tc>
                <w:tcPr>
                  <w:tcW w:w="512" w:type="pct"/>
                  <w:noWrap w:val="0"/>
                  <w:vAlign w:val="center"/>
                </w:tcPr>
                <w:p w14:paraId="67F10DE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0.359</w:t>
                  </w:r>
                </w:p>
              </w:tc>
              <w:tc>
                <w:tcPr>
                  <w:tcW w:w="512" w:type="pct"/>
                  <w:noWrap w:val="0"/>
                  <w:vAlign w:val="center"/>
                </w:tcPr>
                <w:p w14:paraId="7F957B28">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73</w:t>
                  </w:r>
                </w:p>
              </w:tc>
              <w:tc>
                <w:tcPr>
                  <w:tcW w:w="512" w:type="pct"/>
                  <w:noWrap w:val="0"/>
                  <w:vAlign w:val="center"/>
                </w:tcPr>
                <w:p w14:paraId="17DBFEA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default" w:ascii="Times New Roman" w:hAnsi="Times New Roman" w:eastAsia="仿宋" w:cs="Times New Roman"/>
                      <w:color w:val="auto"/>
                      <w:spacing w:val="0"/>
                      <w:kern w:val="2"/>
                      <w:sz w:val="21"/>
                      <w:szCs w:val="21"/>
                      <w:lang w:val="en-US" w:eastAsia="zh-CN" w:bidi="ar-SA"/>
                    </w:rPr>
                    <w:t>0.3</w:t>
                  </w:r>
                  <w:r>
                    <w:rPr>
                      <w:rFonts w:hint="eastAsia" w:ascii="Times New Roman" w:hAnsi="Times New Roman" w:eastAsia="仿宋" w:cs="Times New Roman"/>
                      <w:color w:val="auto"/>
                      <w:spacing w:val="0"/>
                      <w:kern w:val="2"/>
                      <w:sz w:val="21"/>
                      <w:szCs w:val="21"/>
                      <w:lang w:val="en-US" w:eastAsia="zh-CN" w:bidi="ar-SA"/>
                    </w:rPr>
                    <w:t>55</w:t>
                  </w:r>
                </w:p>
              </w:tc>
              <w:tc>
                <w:tcPr>
                  <w:tcW w:w="514" w:type="pct"/>
                  <w:noWrap w:val="0"/>
                  <w:vAlign w:val="center"/>
                </w:tcPr>
                <w:p w14:paraId="54293E61">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718F37EC">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4014E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61C6F73E">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0EB5775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2761B3F3">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第四次</w:t>
                  </w:r>
                </w:p>
              </w:tc>
              <w:tc>
                <w:tcPr>
                  <w:tcW w:w="512" w:type="pct"/>
                  <w:noWrap w:val="0"/>
                  <w:vAlign w:val="center"/>
                </w:tcPr>
                <w:p w14:paraId="1CE57B2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0.236</w:t>
                  </w:r>
                </w:p>
              </w:tc>
              <w:tc>
                <w:tcPr>
                  <w:tcW w:w="512" w:type="pct"/>
                  <w:noWrap w:val="0"/>
                  <w:vAlign w:val="center"/>
                </w:tcPr>
                <w:p w14:paraId="608E2F5A">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0.366</w:t>
                  </w:r>
                </w:p>
              </w:tc>
              <w:tc>
                <w:tcPr>
                  <w:tcW w:w="512" w:type="pct"/>
                  <w:noWrap w:val="0"/>
                  <w:vAlign w:val="center"/>
                </w:tcPr>
                <w:p w14:paraId="6FCAEAB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0.379</w:t>
                  </w:r>
                </w:p>
              </w:tc>
              <w:tc>
                <w:tcPr>
                  <w:tcW w:w="512" w:type="pct"/>
                  <w:noWrap w:val="0"/>
                  <w:vAlign w:val="center"/>
                </w:tcPr>
                <w:p w14:paraId="667820D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0.362</w:t>
                  </w:r>
                </w:p>
              </w:tc>
              <w:tc>
                <w:tcPr>
                  <w:tcW w:w="514" w:type="pct"/>
                  <w:noWrap w:val="0"/>
                  <w:vAlign w:val="center"/>
                </w:tcPr>
                <w:p w14:paraId="486B211E">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c>
                <w:tcPr>
                  <w:tcW w:w="514" w:type="pct"/>
                  <w:noWrap w:val="0"/>
                  <w:vAlign w:val="center"/>
                </w:tcPr>
                <w:p w14:paraId="732DED6C">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w:t>
                  </w:r>
                </w:p>
              </w:tc>
            </w:tr>
            <w:tr w14:paraId="2B21E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restart"/>
                  <w:tcBorders>
                    <w:left w:val="single" w:color="auto" w:sz="4" w:space="0"/>
                  </w:tcBorders>
                  <w:noWrap w:val="0"/>
                  <w:vAlign w:val="center"/>
                </w:tcPr>
                <w:p w14:paraId="69DE8338">
                  <w:pPr>
                    <w:jc w:val="center"/>
                    <w:rPr>
                      <w:rFonts w:hint="default" w:ascii="Times New Roman" w:hAnsi="Times New Roman" w:eastAsia="仿宋" w:cs="Times New Roman"/>
                      <w:bCs/>
                      <w:color w:val="auto"/>
                      <w:sz w:val="21"/>
                      <w:szCs w:val="21"/>
                      <w:lang w:val="en-US" w:eastAsia="zh-CN"/>
                    </w:rPr>
                  </w:pPr>
                  <w:r>
                    <w:rPr>
                      <w:rFonts w:hint="eastAsia" w:ascii="Times New Roman" w:hAnsi="Times New Roman" w:eastAsia="仿宋" w:cs="Times New Roman"/>
                      <w:bCs/>
                      <w:color w:val="auto"/>
                      <w:sz w:val="21"/>
                      <w:szCs w:val="21"/>
                      <w:lang w:val="en-US" w:eastAsia="zh-CN"/>
                    </w:rPr>
                    <w:t>非甲烷总烃</w:t>
                  </w:r>
                </w:p>
              </w:tc>
              <w:tc>
                <w:tcPr>
                  <w:tcW w:w="557" w:type="pct"/>
                  <w:vMerge w:val="continue"/>
                  <w:noWrap w:val="0"/>
                  <w:vAlign w:val="center"/>
                </w:tcPr>
                <w:p w14:paraId="697DFB15">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7460F5CD">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第一次</w:t>
                  </w:r>
                </w:p>
              </w:tc>
              <w:tc>
                <w:tcPr>
                  <w:tcW w:w="512" w:type="pct"/>
                  <w:noWrap w:val="0"/>
                  <w:vAlign w:val="center"/>
                </w:tcPr>
                <w:p w14:paraId="18B547DE">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0.17</w:t>
                  </w:r>
                </w:p>
              </w:tc>
              <w:tc>
                <w:tcPr>
                  <w:tcW w:w="512" w:type="pct"/>
                  <w:noWrap w:val="0"/>
                  <w:vAlign w:val="center"/>
                </w:tcPr>
                <w:p w14:paraId="087AB666">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0.26</w:t>
                  </w:r>
                </w:p>
              </w:tc>
              <w:tc>
                <w:tcPr>
                  <w:tcW w:w="512" w:type="pct"/>
                  <w:noWrap w:val="0"/>
                  <w:vAlign w:val="center"/>
                </w:tcPr>
                <w:p w14:paraId="630EFFAE">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0.27</w:t>
                  </w:r>
                </w:p>
              </w:tc>
              <w:tc>
                <w:tcPr>
                  <w:tcW w:w="512" w:type="pct"/>
                  <w:noWrap w:val="0"/>
                  <w:vAlign w:val="center"/>
                </w:tcPr>
                <w:p w14:paraId="30B2800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0.29</w:t>
                  </w:r>
                </w:p>
              </w:tc>
              <w:tc>
                <w:tcPr>
                  <w:tcW w:w="514" w:type="pct"/>
                  <w:noWrap w:val="0"/>
                  <w:vAlign w:val="center"/>
                </w:tcPr>
                <w:p w14:paraId="72AE799F">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0.37</w:t>
                  </w:r>
                </w:p>
              </w:tc>
              <w:tc>
                <w:tcPr>
                  <w:tcW w:w="514" w:type="pct"/>
                  <w:vMerge w:val="restart"/>
                  <w:noWrap w:val="0"/>
                  <w:vAlign w:val="center"/>
                </w:tcPr>
                <w:p w14:paraId="61EF2EF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0.33</w:t>
                  </w:r>
                </w:p>
              </w:tc>
            </w:tr>
            <w:tr w14:paraId="48977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1E9D92FA">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2DFDFA0B">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2F62105A">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第二次</w:t>
                  </w:r>
                </w:p>
              </w:tc>
              <w:tc>
                <w:tcPr>
                  <w:tcW w:w="512" w:type="pct"/>
                  <w:noWrap w:val="0"/>
                  <w:vAlign w:val="center"/>
                </w:tcPr>
                <w:p w14:paraId="15AE2D5A">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0.19</w:t>
                  </w:r>
                </w:p>
              </w:tc>
              <w:tc>
                <w:tcPr>
                  <w:tcW w:w="512" w:type="pct"/>
                  <w:noWrap w:val="0"/>
                  <w:vAlign w:val="center"/>
                </w:tcPr>
                <w:p w14:paraId="0D803C24">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0.24</w:t>
                  </w:r>
                </w:p>
              </w:tc>
              <w:tc>
                <w:tcPr>
                  <w:tcW w:w="512" w:type="pct"/>
                  <w:noWrap w:val="0"/>
                  <w:vAlign w:val="center"/>
                </w:tcPr>
                <w:p w14:paraId="566AF9B4">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0.29</w:t>
                  </w:r>
                </w:p>
              </w:tc>
              <w:tc>
                <w:tcPr>
                  <w:tcW w:w="512" w:type="pct"/>
                  <w:noWrap w:val="0"/>
                  <w:vAlign w:val="center"/>
                </w:tcPr>
                <w:p w14:paraId="706C8C72">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0.31</w:t>
                  </w:r>
                </w:p>
              </w:tc>
              <w:tc>
                <w:tcPr>
                  <w:tcW w:w="514" w:type="pct"/>
                  <w:noWrap w:val="0"/>
                  <w:vAlign w:val="center"/>
                </w:tcPr>
                <w:p w14:paraId="093EE40F">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0.37</w:t>
                  </w:r>
                </w:p>
              </w:tc>
              <w:tc>
                <w:tcPr>
                  <w:tcW w:w="514" w:type="pct"/>
                  <w:vMerge w:val="continue"/>
                  <w:noWrap w:val="0"/>
                  <w:vAlign w:val="center"/>
                </w:tcPr>
                <w:p w14:paraId="0348F2CE">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r w14:paraId="41804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76BA00CD">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314536EE">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12A347A0">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第三次</w:t>
                  </w:r>
                </w:p>
              </w:tc>
              <w:tc>
                <w:tcPr>
                  <w:tcW w:w="512" w:type="pct"/>
                  <w:noWrap w:val="0"/>
                  <w:vAlign w:val="center"/>
                </w:tcPr>
                <w:p w14:paraId="02D2DFA6">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0.17</w:t>
                  </w:r>
                </w:p>
              </w:tc>
              <w:tc>
                <w:tcPr>
                  <w:tcW w:w="512" w:type="pct"/>
                  <w:noWrap w:val="0"/>
                  <w:vAlign w:val="center"/>
                </w:tcPr>
                <w:p w14:paraId="25611669">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0.28</w:t>
                  </w:r>
                </w:p>
              </w:tc>
              <w:tc>
                <w:tcPr>
                  <w:tcW w:w="512" w:type="pct"/>
                  <w:noWrap w:val="0"/>
                  <w:vAlign w:val="center"/>
                </w:tcPr>
                <w:p w14:paraId="563A3A81">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0.32</w:t>
                  </w:r>
                </w:p>
              </w:tc>
              <w:tc>
                <w:tcPr>
                  <w:tcW w:w="512" w:type="pct"/>
                  <w:noWrap w:val="0"/>
                  <w:vAlign w:val="center"/>
                </w:tcPr>
                <w:p w14:paraId="6AC28950">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0.28</w:t>
                  </w:r>
                </w:p>
              </w:tc>
              <w:tc>
                <w:tcPr>
                  <w:tcW w:w="514" w:type="pct"/>
                  <w:noWrap w:val="0"/>
                  <w:vAlign w:val="center"/>
                </w:tcPr>
                <w:p w14:paraId="4722C6FA">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0.35</w:t>
                  </w:r>
                </w:p>
              </w:tc>
              <w:tc>
                <w:tcPr>
                  <w:tcW w:w="514" w:type="pct"/>
                  <w:vMerge w:val="continue"/>
                  <w:noWrap w:val="0"/>
                  <w:vAlign w:val="center"/>
                </w:tcPr>
                <w:p w14:paraId="26484DA1">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r w14:paraId="5DCA2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10" w:hRule="atLeast"/>
                <w:jc w:val="center"/>
              </w:trPr>
              <w:tc>
                <w:tcPr>
                  <w:tcW w:w="843" w:type="pct"/>
                  <w:vMerge w:val="continue"/>
                  <w:tcBorders>
                    <w:left w:val="single" w:color="auto" w:sz="4" w:space="0"/>
                  </w:tcBorders>
                  <w:noWrap w:val="0"/>
                  <w:vAlign w:val="center"/>
                </w:tcPr>
                <w:p w14:paraId="14257D0C">
                  <w:pPr>
                    <w:jc w:val="center"/>
                    <w:rPr>
                      <w:rFonts w:hint="default" w:ascii="Times New Roman" w:hAnsi="Times New Roman" w:eastAsia="仿宋" w:cs="Times New Roman"/>
                      <w:bCs/>
                      <w:color w:val="auto"/>
                      <w:sz w:val="21"/>
                      <w:szCs w:val="21"/>
                      <w:lang w:val="en-US" w:eastAsia="zh-CN"/>
                    </w:rPr>
                  </w:pPr>
                </w:p>
              </w:tc>
              <w:tc>
                <w:tcPr>
                  <w:tcW w:w="557" w:type="pct"/>
                  <w:vMerge w:val="continue"/>
                  <w:noWrap w:val="0"/>
                  <w:vAlign w:val="center"/>
                </w:tcPr>
                <w:p w14:paraId="29333E9E">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p>
              </w:tc>
              <w:tc>
                <w:tcPr>
                  <w:tcW w:w="521" w:type="pct"/>
                  <w:noWrap w:val="0"/>
                  <w:vAlign w:val="center"/>
                </w:tcPr>
                <w:p w14:paraId="34592F71">
                  <w:pPr>
                    <w:adjustRightInd w:val="0"/>
                    <w:snapToGrid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第四次</w:t>
                  </w:r>
                </w:p>
              </w:tc>
              <w:tc>
                <w:tcPr>
                  <w:tcW w:w="512" w:type="pct"/>
                  <w:noWrap w:val="0"/>
                  <w:vAlign w:val="center"/>
                </w:tcPr>
                <w:p w14:paraId="6F3ABECD">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0.20</w:t>
                  </w:r>
                </w:p>
              </w:tc>
              <w:tc>
                <w:tcPr>
                  <w:tcW w:w="512" w:type="pct"/>
                  <w:noWrap w:val="0"/>
                  <w:vAlign w:val="center"/>
                </w:tcPr>
                <w:p w14:paraId="393C854A">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0.30</w:t>
                  </w:r>
                </w:p>
              </w:tc>
              <w:tc>
                <w:tcPr>
                  <w:tcW w:w="512" w:type="pct"/>
                  <w:noWrap w:val="0"/>
                  <w:vAlign w:val="center"/>
                </w:tcPr>
                <w:p w14:paraId="28718A38">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0.26</w:t>
                  </w:r>
                </w:p>
              </w:tc>
              <w:tc>
                <w:tcPr>
                  <w:tcW w:w="512" w:type="pct"/>
                  <w:noWrap w:val="0"/>
                  <w:vAlign w:val="center"/>
                </w:tcPr>
                <w:p w14:paraId="6C728407">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0.28</w:t>
                  </w:r>
                </w:p>
              </w:tc>
              <w:tc>
                <w:tcPr>
                  <w:tcW w:w="514" w:type="pct"/>
                  <w:noWrap w:val="0"/>
                  <w:vAlign w:val="center"/>
                </w:tcPr>
                <w:p w14:paraId="661CC685">
                  <w:pPr>
                    <w:adjustRightInd w:val="0"/>
                    <w:snapToGrid w:val="0"/>
                    <w:jc w:val="center"/>
                    <w:rPr>
                      <w:rFonts w:hint="default" w:ascii="Times New Roman" w:hAnsi="Times New Roman" w:eastAsia="仿宋" w:cs="Times New Roman"/>
                      <w:color w:val="auto"/>
                      <w:spacing w:val="0"/>
                      <w:kern w:val="2"/>
                      <w:sz w:val="21"/>
                      <w:szCs w:val="21"/>
                      <w:lang w:val="en-US" w:eastAsia="zh-CN" w:bidi="ar-SA"/>
                    </w:rPr>
                  </w:pPr>
                  <w:r>
                    <w:rPr>
                      <w:rFonts w:hint="eastAsia" w:ascii="Times New Roman" w:hAnsi="Times New Roman" w:eastAsia="仿宋" w:cs="Times New Roman"/>
                      <w:color w:val="auto"/>
                      <w:spacing w:val="0"/>
                      <w:kern w:val="2"/>
                      <w:sz w:val="21"/>
                      <w:szCs w:val="21"/>
                      <w:lang w:val="en-US" w:eastAsia="zh-CN" w:bidi="ar-SA"/>
                    </w:rPr>
                    <w:t>0.35</w:t>
                  </w:r>
                </w:p>
              </w:tc>
              <w:tc>
                <w:tcPr>
                  <w:tcW w:w="514" w:type="pct"/>
                  <w:vMerge w:val="continue"/>
                  <w:noWrap w:val="0"/>
                  <w:vAlign w:val="center"/>
                </w:tcPr>
                <w:p w14:paraId="06584EFA">
                  <w:pPr>
                    <w:adjustRightInd w:val="0"/>
                    <w:snapToGrid w:val="0"/>
                    <w:jc w:val="center"/>
                    <w:rPr>
                      <w:rFonts w:hint="eastAsia" w:ascii="Times New Roman" w:hAnsi="Times New Roman" w:eastAsia="仿宋" w:cs="Times New Roman"/>
                      <w:color w:val="auto"/>
                      <w:spacing w:val="0"/>
                      <w:kern w:val="2"/>
                      <w:sz w:val="21"/>
                      <w:szCs w:val="21"/>
                      <w:lang w:val="en-US" w:eastAsia="zh-CN" w:bidi="ar-SA"/>
                    </w:rPr>
                  </w:pPr>
                </w:p>
              </w:tc>
            </w:tr>
          </w:tbl>
          <w:p w14:paraId="383F1423">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both"/>
              <w:textAlignment w:val="auto"/>
              <w:rPr>
                <w:rFonts w:hint="default" w:ascii="Times New Roman" w:hAnsi="Times New Roman" w:cs="Times New Roman" w:eastAsiaTheme="minorEastAsia"/>
                <w:b/>
                <w:bCs/>
                <w:color w:val="auto"/>
              </w:rPr>
            </w:pPr>
            <w:r>
              <w:rPr>
                <w:rFonts w:hint="default" w:ascii="Times New Roman" w:hAnsi="Times New Roman" w:cs="Times New Roman" w:eastAsiaTheme="minorEastAsia"/>
                <w:b/>
                <w:bCs/>
                <w:color w:val="auto"/>
              </w:rPr>
              <w:t>二、噪声</w:t>
            </w:r>
          </w:p>
          <w:p w14:paraId="66F4574F">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厂界噪声监测结果见表7-3。</w:t>
            </w:r>
          </w:p>
          <w:p w14:paraId="4710CC22">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仿宋" w:cs="Times New Roman"/>
                <w:b/>
                <w:sz w:val="24"/>
              </w:rPr>
            </w:pPr>
            <w:r>
              <w:rPr>
                <w:rFonts w:hint="default" w:ascii="Times New Roman" w:hAnsi="Times New Roman" w:cs="Times New Roman" w:eastAsiaTheme="minorEastAsia"/>
                <w:color w:val="auto"/>
                <w:sz w:val="24"/>
                <w:szCs w:val="24"/>
              </w:rPr>
              <w:t>噪声监测结果表明：验收监测期间，厂界噪声昼间最大监测结果为</w:t>
            </w:r>
            <w:r>
              <w:rPr>
                <w:rFonts w:hint="default" w:ascii="Times New Roman" w:hAnsi="Times New Roman" w:cs="Times New Roman" w:eastAsiaTheme="minorEastAsia"/>
                <w:color w:val="auto"/>
                <w:sz w:val="24"/>
                <w:szCs w:val="24"/>
                <w:lang w:val="en-US" w:eastAsia="zh-CN"/>
              </w:rPr>
              <w:t>54.7</w:t>
            </w:r>
            <w:r>
              <w:rPr>
                <w:rFonts w:hint="default" w:ascii="Times New Roman" w:hAnsi="Times New Roman" w:cs="Times New Roman" w:eastAsiaTheme="minorEastAsia"/>
                <w:color w:val="auto"/>
                <w:sz w:val="24"/>
                <w:szCs w:val="24"/>
              </w:rPr>
              <w:t>dB（A），夜间最大监测结果为</w:t>
            </w:r>
            <w:r>
              <w:rPr>
                <w:rFonts w:hint="default" w:ascii="Times New Roman" w:hAnsi="Times New Roman" w:cs="Times New Roman" w:eastAsiaTheme="minorEastAsia"/>
                <w:color w:val="auto"/>
                <w:sz w:val="24"/>
                <w:szCs w:val="24"/>
                <w:lang w:val="en-US" w:eastAsia="zh-CN"/>
              </w:rPr>
              <w:t>44.9</w:t>
            </w:r>
            <w:r>
              <w:rPr>
                <w:rFonts w:hint="default" w:ascii="Times New Roman" w:hAnsi="Times New Roman" w:cs="Times New Roman" w:eastAsiaTheme="minorEastAsia"/>
                <w:color w:val="auto"/>
                <w:sz w:val="24"/>
                <w:szCs w:val="24"/>
              </w:rPr>
              <w:t>dB（A），满足《工业企业厂界环境噪声排放标准》（GB12348-2008）表1中2类标准要求。</w:t>
            </w:r>
          </w:p>
          <w:p w14:paraId="5681BAAA">
            <w:pPr>
              <w:keepNext w:val="0"/>
              <w:keepLines w:val="0"/>
              <w:pageBreakBefore w:val="0"/>
              <w:widowControl w:val="0"/>
              <w:kinsoku/>
              <w:wordWrap/>
              <w:overflowPunct/>
              <w:topLinePunct w:val="0"/>
              <w:autoSpaceDE/>
              <w:autoSpaceDN/>
              <w:bidi w:val="0"/>
              <w:adjustRightInd/>
              <w:snapToGrid/>
              <w:spacing w:before="192" w:beforeLines="50" w:after="78" w:afterLines="20" w:line="240" w:lineRule="auto"/>
              <w:ind w:right="0"/>
              <w:jc w:val="center"/>
              <w:textAlignment w:val="auto"/>
              <w:outlineLvl w:val="9"/>
              <w:rPr>
                <w:rFonts w:hint="default" w:ascii="Times New Roman" w:hAnsi="Times New Roman" w:eastAsia="仿宋" w:cs="Times New Roman"/>
                <w:b/>
                <w:sz w:val="24"/>
              </w:rPr>
            </w:pPr>
            <w:r>
              <w:rPr>
                <w:rFonts w:hint="default" w:ascii="Times New Roman" w:hAnsi="Times New Roman" w:eastAsia="仿宋" w:cs="Times New Roman"/>
                <w:b/>
                <w:sz w:val="24"/>
              </w:rPr>
              <w:t>表</w:t>
            </w:r>
            <w:r>
              <w:rPr>
                <w:rFonts w:hint="eastAsia" w:ascii="Times New Roman" w:hAnsi="Times New Roman" w:eastAsia="仿宋" w:cs="Times New Roman"/>
                <w:b/>
                <w:sz w:val="24"/>
                <w:lang w:val="en-US" w:eastAsia="zh-CN"/>
              </w:rPr>
              <w:t>7-3</w:t>
            </w:r>
            <w:r>
              <w:rPr>
                <w:rFonts w:hint="default" w:ascii="Times New Roman" w:hAnsi="Times New Roman" w:eastAsia="仿宋" w:cs="Times New Roman"/>
                <w:b/>
                <w:sz w:val="24"/>
                <w:lang w:val="en-US" w:eastAsia="zh-CN"/>
              </w:rPr>
              <w:t xml:space="preserve"> </w:t>
            </w:r>
            <w:r>
              <w:rPr>
                <w:rFonts w:hint="default" w:ascii="Times New Roman" w:hAnsi="Times New Roman" w:eastAsia="仿宋" w:cs="Times New Roman"/>
                <w:b/>
                <w:sz w:val="24"/>
              </w:rPr>
              <w:t>噪声检测结果表   单位：dB(A)</w:t>
            </w:r>
          </w:p>
          <w:tbl>
            <w:tblPr>
              <w:tblStyle w:val="2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61"/>
              <w:gridCol w:w="1134"/>
              <w:gridCol w:w="1358"/>
              <w:gridCol w:w="1339"/>
              <w:gridCol w:w="1339"/>
              <w:gridCol w:w="1339"/>
              <w:gridCol w:w="1339"/>
            </w:tblGrid>
            <w:tr w14:paraId="46B7F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99" w:hRule="exact"/>
                <w:jc w:val="center"/>
              </w:trPr>
              <w:tc>
                <w:tcPr>
                  <w:tcW w:w="596" w:type="pct"/>
                  <w:vMerge w:val="restart"/>
                  <w:tcBorders>
                    <w:left w:val="single" w:color="auto" w:sz="4" w:space="0"/>
                  </w:tcBorders>
                  <w:noWrap w:val="0"/>
                  <w:vAlign w:val="center"/>
                </w:tcPr>
                <w:p w14:paraId="0299DF06">
                  <w:pPr>
                    <w:adjustRightInd w:val="0"/>
                    <w:snapToGrid w:val="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噪声检</w:t>
                  </w:r>
                </w:p>
                <w:p w14:paraId="018CD53D">
                  <w:pPr>
                    <w:adjustRightInd w:val="0"/>
                    <w:snapToGrid w:val="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测结果</w:t>
                  </w:r>
                </w:p>
                <w:p w14:paraId="47F8533B">
                  <w:pPr>
                    <w:adjustRightInd w:val="0"/>
                    <w:snapToGrid w:val="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（L</w:t>
                  </w:r>
                  <w:r>
                    <w:rPr>
                      <w:rFonts w:hint="default" w:ascii="Times New Roman" w:hAnsi="Times New Roman" w:eastAsia="仿宋" w:cs="Times New Roman"/>
                      <w:sz w:val="21"/>
                      <w:szCs w:val="21"/>
                      <w:vertAlign w:val="subscript"/>
                    </w:rPr>
                    <w:t>eq</w:t>
                  </w:r>
                  <w:r>
                    <w:rPr>
                      <w:rFonts w:hint="default" w:ascii="Times New Roman" w:hAnsi="Times New Roman" w:eastAsia="仿宋" w:cs="Times New Roman"/>
                      <w:sz w:val="21"/>
                      <w:szCs w:val="21"/>
                    </w:rPr>
                    <w:t>）</w:t>
                  </w:r>
                </w:p>
              </w:tc>
              <w:tc>
                <w:tcPr>
                  <w:tcW w:w="1398" w:type="pct"/>
                  <w:gridSpan w:val="2"/>
                  <w:tcBorders>
                    <w:tl2br w:val="single" w:color="auto" w:sz="4" w:space="0"/>
                  </w:tcBorders>
                  <w:noWrap w:val="0"/>
                  <w:vAlign w:val="center"/>
                </w:tcPr>
                <w:p w14:paraId="236E87CF">
                  <w:pPr>
                    <w:adjustRightInd w:val="0"/>
                    <w:snapToGrid w:val="0"/>
                    <w:ind w:right="119"/>
                    <w:rPr>
                      <w:rFonts w:hint="default" w:ascii="Times New Roman" w:hAnsi="Times New Roman" w:eastAsia="仿宋" w:cs="Times New Roman"/>
                      <w:sz w:val="21"/>
                      <w:szCs w:val="21"/>
                    </w:rPr>
                  </w:pPr>
                  <w:r>
                    <w:rPr>
                      <w:rFonts w:hint="default" w:ascii="Times New Roman" w:hAnsi="Times New Roman" w:eastAsia="仿宋" w:cs="Times New Roman"/>
                      <w:sz w:val="21"/>
                      <w:szCs w:val="21"/>
                    </w:rPr>
                    <w:t xml:space="preserve">            </w:t>
                  </w:r>
                  <w:r>
                    <w:rPr>
                      <w:rFonts w:hint="eastAsia" w:ascii="Times New Roman" w:hAnsi="Times New Roman" w:eastAsia="仿宋" w:cs="Times New Roman"/>
                      <w:sz w:val="21"/>
                      <w:szCs w:val="21"/>
                      <w:lang w:val="en-US" w:eastAsia="zh-CN"/>
                    </w:rPr>
                    <w:t xml:space="preserve">        </w:t>
                  </w:r>
                  <w:r>
                    <w:rPr>
                      <w:rFonts w:hint="default" w:ascii="Times New Roman" w:hAnsi="Times New Roman" w:eastAsia="仿宋" w:cs="Times New Roman"/>
                      <w:sz w:val="21"/>
                      <w:szCs w:val="21"/>
                    </w:rPr>
                    <w:t xml:space="preserve"> </w:t>
                  </w:r>
                  <w:r>
                    <w:rPr>
                      <w:rFonts w:hint="eastAsia" w:ascii="Times New Roman" w:hAnsi="Times New Roman" w:eastAsia="仿宋" w:cs="Times New Roman"/>
                      <w:sz w:val="21"/>
                      <w:szCs w:val="21"/>
                      <w:lang w:val="en-US" w:eastAsia="zh-CN"/>
                    </w:rPr>
                    <w:t xml:space="preserve">       </w:t>
                  </w:r>
                  <w:r>
                    <w:rPr>
                      <w:rFonts w:hint="default" w:ascii="Times New Roman" w:hAnsi="Times New Roman" w:eastAsia="仿宋" w:cs="Times New Roman"/>
                      <w:sz w:val="21"/>
                      <w:szCs w:val="21"/>
                    </w:rPr>
                    <w:t>检测点位</w:t>
                  </w:r>
                </w:p>
                <w:p w14:paraId="532E231A">
                  <w:pPr>
                    <w:adjustRightInd w:val="0"/>
                    <w:snapToGrid w:val="0"/>
                    <w:ind w:right="119"/>
                    <w:rPr>
                      <w:rFonts w:hint="default" w:ascii="Times New Roman" w:hAnsi="Times New Roman" w:eastAsia="仿宋" w:cs="Times New Roman"/>
                      <w:sz w:val="21"/>
                      <w:szCs w:val="21"/>
                    </w:rPr>
                  </w:pPr>
                  <w:r>
                    <w:rPr>
                      <w:rFonts w:hint="default" w:ascii="Times New Roman" w:hAnsi="Times New Roman" w:eastAsia="仿宋" w:cs="Times New Roman"/>
                      <w:sz w:val="21"/>
                      <w:szCs w:val="21"/>
                      <w:lang w:eastAsia="zh-CN"/>
                    </w:rPr>
                    <w:t>采样</w:t>
                  </w:r>
                  <w:r>
                    <w:rPr>
                      <w:rFonts w:hint="default" w:ascii="Times New Roman" w:hAnsi="Times New Roman" w:eastAsia="仿宋" w:cs="Times New Roman"/>
                      <w:sz w:val="21"/>
                      <w:szCs w:val="21"/>
                    </w:rPr>
                    <w:t>日期</w:t>
                  </w:r>
                </w:p>
              </w:tc>
              <w:tc>
                <w:tcPr>
                  <w:tcW w:w="751" w:type="pct"/>
                  <w:noWrap w:val="0"/>
                  <w:vAlign w:val="center"/>
                </w:tcPr>
                <w:p w14:paraId="087A71EB">
                  <w:pPr>
                    <w:spacing w:line="280" w:lineRule="exact"/>
                    <w:ind w:left="19" w:leftChars="-53" w:right="-113" w:rightChars="-54" w:hanging="130" w:hangingChars="62"/>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1#厂界东侧</w:t>
                  </w:r>
                </w:p>
                <w:p w14:paraId="7B5D0E1B">
                  <w:pPr>
                    <w:spacing w:line="280" w:lineRule="exact"/>
                    <w:ind w:left="19" w:leftChars="-53" w:right="-113" w:rightChars="-54" w:hanging="130" w:hangingChars="62"/>
                    <w:jc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1米处</w:t>
                  </w:r>
                </w:p>
              </w:tc>
              <w:tc>
                <w:tcPr>
                  <w:tcW w:w="751" w:type="pct"/>
                  <w:noWrap w:val="0"/>
                  <w:vAlign w:val="center"/>
                </w:tcPr>
                <w:p w14:paraId="4BF0CE15">
                  <w:pPr>
                    <w:spacing w:line="280" w:lineRule="exact"/>
                    <w:ind w:left="19" w:leftChars="-53" w:right="-113" w:rightChars="-54" w:hanging="130" w:hangingChars="62"/>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2#厂界南侧</w:t>
                  </w:r>
                </w:p>
                <w:p w14:paraId="20FCBF95">
                  <w:pPr>
                    <w:spacing w:line="280" w:lineRule="exact"/>
                    <w:ind w:left="-6" w:leftChars="-54" w:right="-113" w:rightChars="-54" w:hanging="107" w:hangingChars="51"/>
                    <w:jc w:val="center"/>
                    <w:rPr>
                      <w:rFonts w:hint="default" w:ascii="Times New Roman" w:hAnsi="Times New Roman" w:eastAsia="仿宋" w:cs="Times New Roman"/>
                      <w:sz w:val="21"/>
                      <w:szCs w:val="21"/>
                      <w:vertAlign w:val="superscript"/>
                    </w:rPr>
                  </w:pPr>
                  <w:r>
                    <w:rPr>
                      <w:rFonts w:hint="eastAsia" w:ascii="Times New Roman" w:hAnsi="Times New Roman" w:eastAsia="仿宋" w:cs="Times New Roman"/>
                      <w:sz w:val="21"/>
                      <w:szCs w:val="21"/>
                      <w:lang w:val="en-US" w:eastAsia="zh-CN"/>
                    </w:rPr>
                    <w:t>1米处</w:t>
                  </w:r>
                </w:p>
              </w:tc>
              <w:tc>
                <w:tcPr>
                  <w:tcW w:w="751" w:type="pct"/>
                  <w:noWrap w:val="0"/>
                  <w:vAlign w:val="center"/>
                </w:tcPr>
                <w:p w14:paraId="04C83AE6">
                  <w:pPr>
                    <w:spacing w:line="280" w:lineRule="exact"/>
                    <w:ind w:left="19" w:leftChars="-53" w:right="-113" w:rightChars="-54" w:hanging="130" w:hangingChars="62"/>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3#厂界西侧</w:t>
                  </w:r>
                </w:p>
                <w:p w14:paraId="174AA721">
                  <w:pPr>
                    <w:spacing w:line="280" w:lineRule="exact"/>
                    <w:ind w:left="19" w:leftChars="-54" w:right="-113" w:rightChars="-54" w:hanging="132" w:hangingChars="63"/>
                    <w:jc w:val="center"/>
                    <w:rPr>
                      <w:rFonts w:hint="default" w:ascii="Times New Roman" w:hAnsi="Times New Roman" w:eastAsia="仿宋" w:cs="Times New Roman"/>
                      <w:sz w:val="21"/>
                      <w:szCs w:val="21"/>
                      <w:vertAlign w:val="superscript"/>
                    </w:rPr>
                  </w:pPr>
                  <w:r>
                    <w:rPr>
                      <w:rFonts w:hint="eastAsia" w:ascii="Times New Roman" w:hAnsi="Times New Roman" w:eastAsia="仿宋" w:cs="Times New Roman"/>
                      <w:sz w:val="21"/>
                      <w:szCs w:val="21"/>
                      <w:lang w:val="en-US" w:eastAsia="zh-CN"/>
                    </w:rPr>
                    <w:t>1米处</w:t>
                  </w:r>
                </w:p>
              </w:tc>
              <w:tc>
                <w:tcPr>
                  <w:tcW w:w="751" w:type="pct"/>
                  <w:tcBorders>
                    <w:right w:val="single" w:color="auto" w:sz="4" w:space="0"/>
                  </w:tcBorders>
                  <w:noWrap w:val="0"/>
                  <w:vAlign w:val="center"/>
                </w:tcPr>
                <w:p w14:paraId="340749B4">
                  <w:pPr>
                    <w:spacing w:line="280" w:lineRule="exact"/>
                    <w:ind w:left="19" w:leftChars="-53" w:right="-113" w:rightChars="-54" w:hanging="130" w:hangingChars="62"/>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4#厂界北侧</w:t>
                  </w:r>
                </w:p>
                <w:p w14:paraId="7559EA94">
                  <w:pPr>
                    <w:spacing w:line="280" w:lineRule="exact"/>
                    <w:ind w:left="19" w:leftChars="-54" w:right="-113" w:rightChars="-54" w:hanging="132" w:hangingChars="63"/>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1米处</w:t>
                  </w:r>
                </w:p>
              </w:tc>
            </w:tr>
            <w:tr w14:paraId="0E304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8" w:hRule="atLeast"/>
                <w:jc w:val="center"/>
              </w:trPr>
              <w:tc>
                <w:tcPr>
                  <w:tcW w:w="596" w:type="pct"/>
                  <w:vMerge w:val="continue"/>
                  <w:tcBorders>
                    <w:left w:val="single" w:color="auto" w:sz="4" w:space="0"/>
                  </w:tcBorders>
                  <w:noWrap w:val="0"/>
                  <w:vAlign w:val="center"/>
                </w:tcPr>
                <w:p w14:paraId="4A969695">
                  <w:pPr>
                    <w:adjustRightInd w:val="0"/>
                    <w:snapToGrid w:val="0"/>
                    <w:jc w:val="center"/>
                    <w:rPr>
                      <w:rFonts w:hint="default" w:ascii="Times New Roman" w:hAnsi="Times New Roman" w:eastAsia="仿宋" w:cs="Times New Roman"/>
                      <w:sz w:val="21"/>
                      <w:szCs w:val="21"/>
                    </w:rPr>
                  </w:pPr>
                </w:p>
              </w:tc>
              <w:tc>
                <w:tcPr>
                  <w:tcW w:w="636" w:type="pct"/>
                  <w:vMerge w:val="restart"/>
                  <w:noWrap w:val="0"/>
                  <w:vAlign w:val="center"/>
                </w:tcPr>
                <w:p w14:paraId="3772171C">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default" w:ascii="Times New Roman" w:hAnsi="Times New Roman" w:eastAsia="仿宋" w:cs="Times New Roman"/>
                      <w:color w:val="FF0000"/>
                      <w:sz w:val="21"/>
                      <w:szCs w:val="21"/>
                      <w:lang w:val="en-US" w:eastAsia="zh-CN"/>
                    </w:rPr>
                  </w:pP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13</w:t>
                  </w:r>
                </w:p>
              </w:tc>
              <w:tc>
                <w:tcPr>
                  <w:tcW w:w="762" w:type="pct"/>
                  <w:noWrap w:val="0"/>
                  <w:vAlign w:val="center"/>
                </w:tcPr>
                <w:p w14:paraId="3C64C925">
                  <w:pPr>
                    <w:adjustRightInd w:val="0"/>
                    <w:snapToGrid w:val="0"/>
                    <w:ind w:right="-10" w:rightChars="-5"/>
                    <w:jc w:val="center"/>
                    <w:rPr>
                      <w:rFonts w:hint="eastAsia" w:ascii="Times New Roman" w:hAnsi="Times New Roman" w:eastAsia="仿宋" w:cs="Times New Roman"/>
                      <w:sz w:val="21"/>
                      <w:szCs w:val="21"/>
                      <w:lang w:val="en-US" w:eastAsia="zh-CN"/>
                    </w:rPr>
                  </w:pPr>
                  <w:r>
                    <w:rPr>
                      <w:rFonts w:hint="default" w:ascii="Times New Roman" w:hAnsi="Times New Roman" w:eastAsia="仿宋" w:cs="Times New Roman"/>
                      <w:sz w:val="21"/>
                      <w:szCs w:val="21"/>
                    </w:rPr>
                    <w:t>昼间</w:t>
                  </w:r>
                </w:p>
              </w:tc>
              <w:tc>
                <w:tcPr>
                  <w:tcW w:w="751" w:type="pct"/>
                  <w:noWrap w:val="0"/>
                  <w:vAlign w:val="center"/>
                </w:tcPr>
                <w:p w14:paraId="75F47502">
                  <w:pPr>
                    <w:adjustRightInd w:val="0"/>
                    <w:snapToGrid w:val="0"/>
                    <w:ind w:right="119"/>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52.7</w:t>
                  </w:r>
                </w:p>
              </w:tc>
              <w:tc>
                <w:tcPr>
                  <w:tcW w:w="751" w:type="pct"/>
                  <w:noWrap w:val="0"/>
                  <w:vAlign w:val="center"/>
                </w:tcPr>
                <w:p w14:paraId="0A2C9BDA">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3.2</w:t>
                  </w:r>
                </w:p>
              </w:tc>
              <w:tc>
                <w:tcPr>
                  <w:tcW w:w="751" w:type="pct"/>
                  <w:noWrap w:val="0"/>
                  <w:vAlign w:val="center"/>
                </w:tcPr>
                <w:p w14:paraId="00EF14A5">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4.5</w:t>
                  </w:r>
                </w:p>
              </w:tc>
              <w:tc>
                <w:tcPr>
                  <w:tcW w:w="751" w:type="pct"/>
                  <w:tcBorders>
                    <w:right w:val="single" w:color="auto" w:sz="4" w:space="0"/>
                  </w:tcBorders>
                  <w:noWrap w:val="0"/>
                  <w:vAlign w:val="center"/>
                </w:tcPr>
                <w:p w14:paraId="0307CECE">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lang w:val="en-US" w:eastAsia="zh-CN"/>
                    </w:rPr>
                    <w:t>.</w:t>
                  </w:r>
                  <w:r>
                    <w:rPr>
                      <w:rFonts w:hint="eastAsia" w:ascii="Times New Roman" w:hAnsi="Times New Roman" w:eastAsia="仿宋" w:cs="Times New Roman"/>
                      <w:sz w:val="21"/>
                      <w:szCs w:val="21"/>
                      <w:lang w:val="en-US" w:eastAsia="zh-CN"/>
                    </w:rPr>
                    <w:t>8</w:t>
                  </w:r>
                </w:p>
              </w:tc>
            </w:tr>
            <w:tr w14:paraId="2C06C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8" w:hRule="atLeast"/>
                <w:jc w:val="center"/>
              </w:trPr>
              <w:tc>
                <w:tcPr>
                  <w:tcW w:w="596" w:type="pct"/>
                  <w:vMerge w:val="continue"/>
                  <w:tcBorders>
                    <w:left w:val="single" w:color="auto" w:sz="4" w:space="0"/>
                  </w:tcBorders>
                  <w:noWrap w:val="0"/>
                  <w:vAlign w:val="center"/>
                </w:tcPr>
                <w:p w14:paraId="463B1978">
                  <w:pPr>
                    <w:adjustRightInd w:val="0"/>
                    <w:snapToGrid w:val="0"/>
                    <w:jc w:val="center"/>
                    <w:rPr>
                      <w:rFonts w:hint="default" w:ascii="Times New Roman" w:hAnsi="Times New Roman" w:eastAsia="仿宋" w:cs="Times New Roman"/>
                      <w:sz w:val="21"/>
                      <w:szCs w:val="21"/>
                    </w:rPr>
                  </w:pPr>
                </w:p>
              </w:tc>
              <w:tc>
                <w:tcPr>
                  <w:tcW w:w="636" w:type="pct"/>
                  <w:vMerge w:val="continue"/>
                  <w:noWrap w:val="0"/>
                  <w:vAlign w:val="center"/>
                </w:tcPr>
                <w:p w14:paraId="069C69D6">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default" w:ascii="Times New Roman" w:hAnsi="Times New Roman" w:eastAsia="仿宋" w:cs="Times New Roman"/>
                      <w:color w:val="auto"/>
                      <w:sz w:val="21"/>
                      <w:szCs w:val="21"/>
                      <w:lang w:val="en-US" w:eastAsia="zh-CN"/>
                    </w:rPr>
                  </w:pPr>
                </w:p>
              </w:tc>
              <w:tc>
                <w:tcPr>
                  <w:tcW w:w="762" w:type="pct"/>
                  <w:noWrap w:val="0"/>
                  <w:vAlign w:val="center"/>
                </w:tcPr>
                <w:p w14:paraId="566BF910">
                  <w:pPr>
                    <w:adjustRightInd w:val="0"/>
                    <w:snapToGrid w:val="0"/>
                    <w:ind w:right="-10" w:rightChars="-5"/>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夜间</w:t>
                  </w:r>
                </w:p>
              </w:tc>
              <w:tc>
                <w:tcPr>
                  <w:tcW w:w="751" w:type="pct"/>
                  <w:noWrap w:val="0"/>
                  <w:vAlign w:val="center"/>
                </w:tcPr>
                <w:p w14:paraId="2B0CECB8">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3.9</w:t>
                  </w:r>
                </w:p>
              </w:tc>
              <w:tc>
                <w:tcPr>
                  <w:tcW w:w="751" w:type="pct"/>
                  <w:noWrap w:val="0"/>
                  <w:vAlign w:val="center"/>
                </w:tcPr>
                <w:p w14:paraId="7CD34743">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4.2</w:t>
                  </w:r>
                </w:p>
              </w:tc>
              <w:tc>
                <w:tcPr>
                  <w:tcW w:w="751" w:type="pct"/>
                  <w:noWrap w:val="0"/>
                  <w:vAlign w:val="center"/>
                </w:tcPr>
                <w:p w14:paraId="5ED853E6">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4.5</w:t>
                  </w:r>
                </w:p>
              </w:tc>
              <w:tc>
                <w:tcPr>
                  <w:tcW w:w="751" w:type="pct"/>
                  <w:tcBorders>
                    <w:right w:val="single" w:color="auto" w:sz="4" w:space="0"/>
                  </w:tcBorders>
                  <w:noWrap w:val="0"/>
                  <w:vAlign w:val="center"/>
                </w:tcPr>
                <w:p w14:paraId="09747536">
                  <w:pPr>
                    <w:adjustRightInd w:val="0"/>
                    <w:snapToGrid w:val="0"/>
                    <w:ind w:right="119"/>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4.0</w:t>
                  </w:r>
                </w:p>
              </w:tc>
            </w:tr>
            <w:tr w14:paraId="57581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8" w:hRule="atLeast"/>
                <w:jc w:val="center"/>
              </w:trPr>
              <w:tc>
                <w:tcPr>
                  <w:tcW w:w="596" w:type="pct"/>
                  <w:vMerge w:val="continue"/>
                  <w:tcBorders>
                    <w:left w:val="single" w:color="auto" w:sz="4" w:space="0"/>
                  </w:tcBorders>
                  <w:noWrap w:val="0"/>
                  <w:vAlign w:val="center"/>
                </w:tcPr>
                <w:p w14:paraId="7659A97E">
                  <w:pPr>
                    <w:adjustRightInd w:val="0"/>
                    <w:snapToGrid w:val="0"/>
                    <w:jc w:val="center"/>
                    <w:rPr>
                      <w:rFonts w:hint="default" w:ascii="Times New Roman" w:hAnsi="Times New Roman" w:eastAsia="仿宋" w:cs="Times New Roman"/>
                      <w:sz w:val="21"/>
                      <w:szCs w:val="21"/>
                    </w:rPr>
                  </w:pPr>
                </w:p>
              </w:tc>
              <w:tc>
                <w:tcPr>
                  <w:tcW w:w="636" w:type="pct"/>
                  <w:vMerge w:val="restart"/>
                  <w:noWrap w:val="0"/>
                  <w:vAlign w:val="center"/>
                </w:tcPr>
                <w:p w14:paraId="7551CDE2">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bCs/>
                      <w:color w:val="auto"/>
                      <w:sz w:val="21"/>
                      <w:szCs w:val="21"/>
                      <w:lang w:val="en-US" w:eastAsia="zh-CN"/>
                    </w:rPr>
                    <w:t>202</w:t>
                  </w:r>
                  <w:r>
                    <w:rPr>
                      <w:rFonts w:hint="eastAsia" w:ascii="Times New Roman" w:hAnsi="Times New Roman" w:eastAsia="仿宋" w:cs="Times New Roman"/>
                      <w:bCs/>
                      <w:color w:val="auto"/>
                      <w:sz w:val="21"/>
                      <w:szCs w:val="21"/>
                      <w:lang w:val="en-US" w:eastAsia="zh-CN"/>
                    </w:rPr>
                    <w:t>4</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11</w:t>
                  </w:r>
                  <w:r>
                    <w:rPr>
                      <w:rFonts w:hint="default" w:ascii="Times New Roman" w:hAnsi="Times New Roman" w:eastAsia="仿宋" w:cs="Times New Roman"/>
                      <w:bCs/>
                      <w:color w:val="auto"/>
                      <w:sz w:val="21"/>
                      <w:szCs w:val="21"/>
                      <w:lang w:val="en-US" w:eastAsia="zh-CN"/>
                    </w:rPr>
                    <w:t>.</w:t>
                  </w:r>
                  <w:r>
                    <w:rPr>
                      <w:rFonts w:hint="eastAsia" w:ascii="Times New Roman" w:hAnsi="Times New Roman" w:eastAsia="仿宋" w:cs="Times New Roman"/>
                      <w:bCs/>
                      <w:color w:val="auto"/>
                      <w:sz w:val="21"/>
                      <w:szCs w:val="21"/>
                      <w:lang w:val="en-US" w:eastAsia="zh-CN"/>
                    </w:rPr>
                    <w:t>14</w:t>
                  </w:r>
                </w:p>
              </w:tc>
              <w:tc>
                <w:tcPr>
                  <w:tcW w:w="762" w:type="pct"/>
                  <w:noWrap w:val="0"/>
                  <w:vAlign w:val="center"/>
                </w:tcPr>
                <w:p w14:paraId="7E0AD344">
                  <w:pPr>
                    <w:adjustRightInd w:val="0"/>
                    <w:snapToGrid w:val="0"/>
                    <w:ind w:right="-10" w:rightChars="-5"/>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昼间</w:t>
                  </w:r>
                </w:p>
              </w:tc>
              <w:tc>
                <w:tcPr>
                  <w:tcW w:w="751" w:type="pct"/>
                  <w:noWrap w:val="0"/>
                  <w:vAlign w:val="center"/>
                </w:tcPr>
                <w:p w14:paraId="101A3465">
                  <w:pPr>
                    <w:adjustRightInd w:val="0"/>
                    <w:snapToGrid w:val="0"/>
                    <w:ind w:right="119" w:rightChars="0"/>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53.1</w:t>
                  </w:r>
                </w:p>
              </w:tc>
              <w:tc>
                <w:tcPr>
                  <w:tcW w:w="751" w:type="pct"/>
                  <w:noWrap w:val="0"/>
                  <w:vAlign w:val="center"/>
                </w:tcPr>
                <w:p w14:paraId="48E06009">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3.7</w:t>
                  </w:r>
                </w:p>
              </w:tc>
              <w:tc>
                <w:tcPr>
                  <w:tcW w:w="751" w:type="pct"/>
                  <w:noWrap w:val="0"/>
                  <w:vAlign w:val="center"/>
                </w:tcPr>
                <w:p w14:paraId="1E0B3FC4">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4.7</w:t>
                  </w:r>
                </w:p>
              </w:tc>
              <w:tc>
                <w:tcPr>
                  <w:tcW w:w="751" w:type="pct"/>
                  <w:tcBorders>
                    <w:right w:val="single" w:color="auto" w:sz="4" w:space="0"/>
                  </w:tcBorders>
                  <w:noWrap w:val="0"/>
                  <w:vAlign w:val="center"/>
                </w:tcPr>
                <w:p w14:paraId="2BAB6F53">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r>
                    <w:rPr>
                      <w:rFonts w:hint="eastAsia" w:ascii="Times New Roman" w:hAnsi="Times New Roman" w:eastAsia="仿宋" w:cs="Times New Roman"/>
                      <w:sz w:val="21"/>
                      <w:szCs w:val="21"/>
                      <w:lang w:val="en-US" w:eastAsia="zh-CN"/>
                    </w:rPr>
                    <w:t>3.7</w:t>
                  </w:r>
                </w:p>
              </w:tc>
            </w:tr>
            <w:tr w14:paraId="7A2B9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81" w:hRule="atLeast"/>
                <w:jc w:val="center"/>
              </w:trPr>
              <w:tc>
                <w:tcPr>
                  <w:tcW w:w="596" w:type="pct"/>
                  <w:vMerge w:val="continue"/>
                  <w:tcBorders>
                    <w:left w:val="single" w:color="auto" w:sz="4" w:space="0"/>
                  </w:tcBorders>
                  <w:noWrap w:val="0"/>
                  <w:vAlign w:val="center"/>
                </w:tcPr>
                <w:p w14:paraId="6C53C64B">
                  <w:pPr>
                    <w:adjustRightInd w:val="0"/>
                    <w:snapToGrid w:val="0"/>
                    <w:jc w:val="center"/>
                    <w:rPr>
                      <w:rFonts w:hint="default" w:ascii="Times New Roman" w:hAnsi="Times New Roman" w:eastAsia="仿宋" w:cs="Times New Roman"/>
                      <w:sz w:val="21"/>
                      <w:szCs w:val="21"/>
                    </w:rPr>
                  </w:pPr>
                </w:p>
              </w:tc>
              <w:tc>
                <w:tcPr>
                  <w:tcW w:w="636" w:type="pct"/>
                  <w:vMerge w:val="continue"/>
                  <w:noWrap w:val="0"/>
                  <w:vAlign w:val="center"/>
                </w:tcPr>
                <w:p w14:paraId="006A4785">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default" w:ascii="Times New Roman" w:hAnsi="Times New Roman" w:eastAsia="仿宋" w:cs="Times New Roman"/>
                      <w:color w:val="auto"/>
                      <w:sz w:val="21"/>
                      <w:szCs w:val="21"/>
                      <w:lang w:val="en-US" w:eastAsia="zh-CN"/>
                    </w:rPr>
                  </w:pPr>
                </w:p>
              </w:tc>
              <w:tc>
                <w:tcPr>
                  <w:tcW w:w="762" w:type="pct"/>
                  <w:noWrap w:val="0"/>
                  <w:vAlign w:val="center"/>
                </w:tcPr>
                <w:p w14:paraId="2B667D0E">
                  <w:pPr>
                    <w:adjustRightInd w:val="0"/>
                    <w:snapToGrid w:val="0"/>
                    <w:ind w:right="-10" w:rightChars="-5"/>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夜间</w:t>
                  </w:r>
                </w:p>
              </w:tc>
              <w:tc>
                <w:tcPr>
                  <w:tcW w:w="751" w:type="pct"/>
                  <w:noWrap w:val="0"/>
                  <w:vAlign w:val="center"/>
                </w:tcPr>
                <w:p w14:paraId="2220718F">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3.9</w:t>
                  </w:r>
                </w:p>
              </w:tc>
              <w:tc>
                <w:tcPr>
                  <w:tcW w:w="751" w:type="pct"/>
                  <w:noWrap w:val="0"/>
                  <w:vAlign w:val="center"/>
                </w:tcPr>
                <w:p w14:paraId="0C0EE2E6">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4.3</w:t>
                  </w:r>
                </w:p>
              </w:tc>
              <w:tc>
                <w:tcPr>
                  <w:tcW w:w="751" w:type="pct"/>
                  <w:noWrap w:val="0"/>
                  <w:vAlign w:val="center"/>
                </w:tcPr>
                <w:p w14:paraId="71371D44">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4.7</w:t>
                  </w:r>
                </w:p>
              </w:tc>
              <w:tc>
                <w:tcPr>
                  <w:tcW w:w="751" w:type="pct"/>
                  <w:tcBorders>
                    <w:right w:val="single" w:color="auto" w:sz="4" w:space="0"/>
                  </w:tcBorders>
                  <w:noWrap w:val="0"/>
                  <w:vAlign w:val="center"/>
                </w:tcPr>
                <w:p w14:paraId="36836F7B">
                  <w:pPr>
                    <w:adjustRightInd w:val="0"/>
                    <w:snapToGrid w:val="0"/>
                    <w:ind w:right="119" w:right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r>
                    <w:rPr>
                      <w:rFonts w:hint="eastAsia" w:ascii="Times New Roman" w:hAnsi="Times New Roman" w:eastAsia="仿宋" w:cs="Times New Roman"/>
                      <w:sz w:val="21"/>
                      <w:szCs w:val="21"/>
                      <w:lang w:val="en-US" w:eastAsia="zh-CN"/>
                    </w:rPr>
                    <w:t>4.9</w:t>
                  </w:r>
                </w:p>
              </w:tc>
            </w:tr>
          </w:tbl>
          <w:p w14:paraId="003F9415">
            <w:pPr>
              <w:rPr>
                <w:rFonts w:ascii="Times New Roman" w:hAnsi="Times New Roman" w:eastAsiaTheme="minorEastAsia"/>
                <w:color w:val="FF0000"/>
              </w:rPr>
            </w:pPr>
          </w:p>
          <w:p w14:paraId="322903AA">
            <w:pPr>
              <w:pStyle w:val="26"/>
              <w:jc w:val="both"/>
              <w:rPr>
                <w:rFonts w:ascii="Times New Roman" w:hAnsi="Times New Roman"/>
                <w:color w:val="FF0000"/>
              </w:rPr>
            </w:pPr>
          </w:p>
          <w:p w14:paraId="6A7E68B9">
            <w:pPr>
              <w:rPr>
                <w:rFonts w:ascii="Times New Roman" w:hAnsi="Times New Roman"/>
                <w:color w:val="FF0000"/>
              </w:rPr>
            </w:pPr>
          </w:p>
          <w:p w14:paraId="0E84647E">
            <w:pPr>
              <w:pStyle w:val="26"/>
              <w:jc w:val="both"/>
              <w:rPr>
                <w:rFonts w:ascii="Times New Roman" w:hAnsi="Times New Roman"/>
                <w:color w:val="FF0000"/>
              </w:rPr>
            </w:pPr>
          </w:p>
          <w:p w14:paraId="080FDCBD">
            <w:pPr>
              <w:rPr>
                <w:rFonts w:ascii="Times New Roman" w:hAnsi="Times New Roman"/>
                <w:color w:val="FF0000"/>
              </w:rPr>
            </w:pPr>
          </w:p>
          <w:p w14:paraId="63940384">
            <w:pPr>
              <w:pStyle w:val="26"/>
              <w:jc w:val="both"/>
              <w:rPr>
                <w:rFonts w:ascii="Times New Roman" w:hAnsi="Times New Roman"/>
                <w:color w:val="FF0000"/>
              </w:rPr>
            </w:pPr>
          </w:p>
          <w:p w14:paraId="4057DC62">
            <w:pPr>
              <w:rPr>
                <w:rFonts w:ascii="Times New Roman" w:hAnsi="Times New Roman"/>
                <w:color w:val="FF0000"/>
              </w:rPr>
            </w:pPr>
          </w:p>
          <w:p w14:paraId="05AE77FE">
            <w:pPr>
              <w:pStyle w:val="26"/>
              <w:jc w:val="both"/>
              <w:rPr>
                <w:rFonts w:ascii="Times New Roman" w:hAnsi="Times New Roman"/>
                <w:color w:val="FF0000"/>
              </w:rPr>
            </w:pPr>
          </w:p>
          <w:p w14:paraId="113DFD54">
            <w:pPr>
              <w:rPr>
                <w:rFonts w:ascii="Times New Roman" w:hAnsi="Times New Roman"/>
                <w:color w:val="FF0000"/>
              </w:rPr>
            </w:pPr>
          </w:p>
          <w:p w14:paraId="122C3FE2">
            <w:pPr>
              <w:pStyle w:val="26"/>
              <w:jc w:val="both"/>
              <w:rPr>
                <w:rFonts w:ascii="Times New Roman" w:hAnsi="Times New Roman"/>
                <w:color w:val="FF0000"/>
              </w:rPr>
            </w:pPr>
          </w:p>
          <w:p w14:paraId="469B75B3">
            <w:pPr>
              <w:rPr>
                <w:rFonts w:ascii="Times New Roman" w:hAnsi="Times New Roman"/>
                <w:color w:val="FF0000"/>
              </w:rPr>
            </w:pPr>
          </w:p>
          <w:p w14:paraId="54FF417F">
            <w:pPr>
              <w:pStyle w:val="26"/>
              <w:jc w:val="both"/>
              <w:rPr>
                <w:rFonts w:ascii="Times New Roman" w:hAnsi="Times New Roman"/>
                <w:color w:val="FF0000"/>
              </w:rPr>
            </w:pPr>
          </w:p>
          <w:p w14:paraId="5F808D6F">
            <w:pPr>
              <w:rPr>
                <w:rFonts w:ascii="Times New Roman" w:hAnsi="Times New Roman"/>
                <w:color w:val="FF0000"/>
              </w:rPr>
            </w:pPr>
          </w:p>
          <w:p w14:paraId="61BED588">
            <w:pPr>
              <w:rPr>
                <w:rFonts w:ascii="Times New Roman" w:hAnsi="Times New Roman"/>
                <w:color w:val="FF0000"/>
              </w:rPr>
            </w:pPr>
          </w:p>
        </w:tc>
      </w:tr>
    </w:tbl>
    <w:p w14:paraId="54A7E007">
      <w:pPr>
        <w:spacing w:line="360" w:lineRule="auto"/>
        <w:outlineLvl w:val="0"/>
        <w:rPr>
          <w:rFonts w:ascii="Times New Roman" w:hAnsi="Times New Roman" w:eastAsiaTheme="minorEastAsia"/>
          <w:b/>
          <w:color w:val="FF0000"/>
          <w:sz w:val="28"/>
          <w:szCs w:val="28"/>
        </w:rPr>
        <w:sectPr>
          <w:pgSz w:w="11906" w:h="16838"/>
          <w:pgMar w:top="1440" w:right="1800" w:bottom="1440" w:left="1800" w:header="851" w:footer="992" w:gutter="0"/>
          <w:cols w:space="720" w:num="1"/>
          <w:docGrid w:type="lines" w:linePitch="312" w:charSpace="0"/>
        </w:sectPr>
      </w:pPr>
    </w:p>
    <w:p w14:paraId="16D4ED18">
      <w:pPr>
        <w:spacing w:line="360" w:lineRule="auto"/>
        <w:outlineLvl w:val="0"/>
        <w:rPr>
          <w:rFonts w:ascii="Times New Roman" w:hAnsi="Times New Roman" w:eastAsiaTheme="minorEastAsia"/>
          <w:b/>
          <w:sz w:val="28"/>
          <w:szCs w:val="28"/>
          <w:highlight w:val="none"/>
        </w:rPr>
      </w:pPr>
      <w:r>
        <w:rPr>
          <w:rFonts w:ascii="Times New Roman" w:hAnsi="Times New Roman" w:eastAsiaTheme="minorEastAsia"/>
          <w:b/>
          <w:sz w:val="28"/>
          <w:szCs w:val="28"/>
          <w:highlight w:val="none"/>
        </w:rPr>
        <w:t>表</w:t>
      </w:r>
      <w:bookmarkEnd w:id="57"/>
      <w:r>
        <w:rPr>
          <w:rFonts w:ascii="Times New Roman" w:hAnsi="Times New Roman" w:eastAsiaTheme="minorEastAsia"/>
          <w:b/>
          <w:sz w:val="28"/>
          <w:szCs w:val="28"/>
          <w:highlight w:val="none"/>
        </w:rPr>
        <w:t>八验收监测结论与建议</w:t>
      </w:r>
      <w:bookmarkEnd w:id="58"/>
    </w:p>
    <w:tbl>
      <w:tblPr>
        <w:tblStyle w:val="23"/>
        <w:tblW w:w="9011" w:type="dxa"/>
        <w:tblInd w:w="-23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1"/>
      </w:tblGrid>
      <w:tr w14:paraId="723CD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0" w:hRule="atLeast"/>
        </w:trPr>
        <w:tc>
          <w:tcPr>
            <w:tcW w:w="9011" w:type="dxa"/>
          </w:tcPr>
          <w:p w14:paraId="01986B58">
            <w:pPr>
              <w:spacing w:before="62" w:beforeLines="20" w:line="360" w:lineRule="auto"/>
              <w:rPr>
                <w:rFonts w:ascii="Times New Roman" w:hAnsi="Times New Roman" w:eastAsiaTheme="minorEastAsia"/>
                <w:b/>
                <w:bCs/>
                <w:sz w:val="28"/>
                <w:szCs w:val="28"/>
              </w:rPr>
            </w:pPr>
            <w:r>
              <w:rPr>
                <w:rFonts w:ascii="Times New Roman" w:hAnsi="Times New Roman" w:eastAsiaTheme="minorEastAsia"/>
                <w:b/>
                <w:bCs/>
                <w:sz w:val="28"/>
                <w:szCs w:val="28"/>
              </w:rPr>
              <w:t>验收监测结论与建议：</w:t>
            </w:r>
          </w:p>
          <w:p w14:paraId="534AA8DC">
            <w:pPr>
              <w:pStyle w:val="26"/>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桦南县宏祥报废农机回收有限责任公司农机报废拆解项目</w:t>
            </w:r>
            <w:r>
              <w:rPr>
                <w:rFonts w:hint="default" w:ascii="Times New Roman" w:hAnsi="Times New Roman" w:cs="Times New Roman" w:eastAsiaTheme="minorEastAsia"/>
                <w:color w:val="auto"/>
                <w:sz w:val="24"/>
                <w:szCs w:val="24"/>
              </w:rPr>
              <w:t>按照《中华人民共和国环境保护法》、《建设项目环境保护管理条例》等有关法律、法规的要求进行了项目前期的环境影响评价，审批手续齐全完整。项目竣工后，按照建设项目竣工环境保护验收的要求和规定提出了竣工验收申请。</w:t>
            </w:r>
          </w:p>
          <w:p w14:paraId="2D58C76A">
            <w:pPr>
              <w:keepNext w:val="0"/>
              <w:keepLines w:val="0"/>
              <w:pageBreakBefore w:val="0"/>
              <w:widowControl w:val="0"/>
              <w:numPr>
                <w:ilvl w:val="0"/>
                <w:numId w:val="0"/>
              </w:numPr>
              <w:kinsoku/>
              <w:wordWrap/>
              <w:overflowPunct/>
              <w:topLinePunct w:val="0"/>
              <w:bidi w:val="0"/>
              <w:snapToGrid/>
              <w:spacing w:line="360" w:lineRule="auto"/>
              <w:ind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kern w:val="2"/>
                <w:sz w:val="24"/>
                <w:szCs w:val="24"/>
                <w:lang w:val="en-US" w:eastAsia="zh-CN" w:bidi="ar-SA"/>
              </w:rPr>
              <w:t>1、</w:t>
            </w:r>
            <w:r>
              <w:rPr>
                <w:rFonts w:hint="default" w:ascii="Times New Roman" w:hAnsi="Times New Roman" w:cs="Times New Roman" w:eastAsiaTheme="minorEastAsia"/>
                <w:sz w:val="24"/>
                <w:szCs w:val="24"/>
              </w:rPr>
              <w:t>验收监测期间，</w:t>
            </w:r>
            <w:r>
              <w:rPr>
                <w:rFonts w:hint="default" w:ascii="Times New Roman" w:hAnsi="Times New Roman" w:cs="Times New Roman" w:eastAsiaTheme="minorEastAsia"/>
                <w:sz w:val="24"/>
                <w:szCs w:val="24"/>
                <w:lang w:val="en-US" w:eastAsia="zh-CN"/>
              </w:rPr>
              <w:t>有组织废气</w:t>
            </w:r>
            <w:r>
              <w:rPr>
                <w:rFonts w:hint="default" w:ascii="Times New Roman" w:hAnsi="Times New Roman" w:cs="Times New Roman" w:eastAsiaTheme="minorEastAsia"/>
                <w:bCs/>
                <w:sz w:val="24"/>
                <w:szCs w:val="24"/>
              </w:rPr>
              <w:t>非甲烷总烃最大排放浓度为</w:t>
            </w:r>
            <w:r>
              <w:rPr>
                <w:rFonts w:hint="default" w:ascii="Times New Roman" w:hAnsi="Times New Roman" w:cs="Times New Roman" w:eastAsiaTheme="minorEastAsia"/>
                <w:bCs/>
                <w:sz w:val="24"/>
                <w:szCs w:val="24"/>
                <w:lang w:val="en-US" w:eastAsia="zh-CN"/>
              </w:rPr>
              <w:t>4.8</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，非甲烷总烃</w:t>
            </w:r>
            <w:r>
              <w:rPr>
                <w:rFonts w:hint="default" w:ascii="Times New Roman" w:hAnsi="Times New Roman" w:cs="Times New Roman" w:eastAsiaTheme="minorEastAsia"/>
                <w:sz w:val="24"/>
                <w:szCs w:val="24"/>
              </w:rPr>
              <w:t>最大排放</w:t>
            </w:r>
            <w:r>
              <w:rPr>
                <w:rFonts w:hint="default" w:ascii="Times New Roman" w:hAnsi="Times New Roman" w:cs="Times New Roman" w:eastAsiaTheme="minorEastAsia"/>
                <w:sz w:val="24"/>
                <w:szCs w:val="24"/>
                <w:lang w:val="en-US" w:eastAsia="zh-CN"/>
              </w:rPr>
              <w:t>速率</w:t>
            </w:r>
            <w:r>
              <w:rPr>
                <w:rFonts w:hint="default" w:ascii="Times New Roman" w:hAnsi="Times New Roman" w:cs="Times New Roman" w:eastAsiaTheme="minorEastAsia"/>
                <w:sz w:val="24"/>
                <w:szCs w:val="24"/>
              </w:rPr>
              <w:t>为</w:t>
            </w:r>
            <w:r>
              <w:rPr>
                <w:rFonts w:hint="default" w:ascii="Times New Roman" w:hAnsi="Times New Roman" w:cs="Times New Roman" w:eastAsiaTheme="minorEastAsia"/>
                <w:bCs/>
                <w:color w:val="auto"/>
                <w:sz w:val="24"/>
                <w:szCs w:val="24"/>
                <w:lang w:val="en-US" w:eastAsia="zh-CN"/>
              </w:rPr>
              <w:t>2.85×10</w:t>
            </w:r>
            <w:r>
              <w:rPr>
                <w:rFonts w:hint="default" w:ascii="Times New Roman" w:hAnsi="Times New Roman" w:cs="Times New Roman" w:eastAsiaTheme="minorEastAsia"/>
                <w:bCs/>
                <w:color w:val="auto"/>
                <w:sz w:val="24"/>
                <w:szCs w:val="24"/>
                <w:vertAlign w:val="superscript"/>
                <w:lang w:val="en-US" w:eastAsia="zh-CN"/>
              </w:rPr>
              <w:t>-2</w:t>
            </w:r>
            <w:r>
              <w:rPr>
                <w:rFonts w:hint="default" w:ascii="Times New Roman" w:hAnsi="Times New Roman" w:cs="Times New Roman" w:eastAsiaTheme="minorEastAsia"/>
                <w:sz w:val="24"/>
                <w:szCs w:val="24"/>
                <w:lang w:val="en-US" w:eastAsia="zh-CN"/>
              </w:rPr>
              <w:t>kg/h</w:t>
            </w:r>
            <w:r>
              <w:rPr>
                <w:rFonts w:hint="default" w:ascii="Times New Roman" w:hAnsi="Times New Roman" w:cs="Times New Roman" w:eastAsiaTheme="minorEastAsia"/>
                <w:sz w:val="24"/>
                <w:szCs w:val="24"/>
              </w:rPr>
              <w:t>，</w:t>
            </w:r>
            <w:r>
              <w:rPr>
                <w:rFonts w:hint="eastAsia" w:ascii="Times New Roman" w:hAnsi="Times New Roman" w:cs="Times New Roman" w:eastAsiaTheme="minorEastAsia"/>
                <w:bCs/>
                <w:sz w:val="24"/>
                <w:szCs w:val="24"/>
                <w:highlight w:val="none"/>
                <w:lang w:val="en-US" w:eastAsia="zh-CN"/>
              </w:rPr>
              <w:t>颗粒物</w:t>
            </w:r>
            <w:r>
              <w:rPr>
                <w:rFonts w:hint="default" w:ascii="Times New Roman" w:hAnsi="Times New Roman" w:cs="Times New Roman" w:eastAsiaTheme="minorEastAsia"/>
                <w:bCs/>
                <w:sz w:val="24"/>
                <w:szCs w:val="24"/>
                <w:highlight w:val="none"/>
              </w:rPr>
              <w:t>最大排放浓度为</w:t>
            </w:r>
            <w:r>
              <w:rPr>
                <w:rFonts w:hint="eastAsia" w:ascii="Times New Roman" w:hAnsi="Times New Roman" w:cs="Times New Roman" w:eastAsiaTheme="minorEastAsia"/>
                <w:bCs/>
                <w:sz w:val="24"/>
                <w:szCs w:val="24"/>
                <w:highlight w:val="none"/>
                <w:lang w:val="en-US" w:eastAsia="zh-CN"/>
              </w:rPr>
              <w:t>1.93</w:t>
            </w:r>
            <w:r>
              <w:rPr>
                <w:rFonts w:hint="default" w:ascii="Times New Roman" w:hAnsi="Times New Roman" w:cs="Times New Roman" w:eastAsiaTheme="minorEastAsia"/>
                <w:bCs/>
                <w:sz w:val="24"/>
                <w:szCs w:val="24"/>
                <w:highlight w:val="none"/>
              </w:rPr>
              <w:t>mg/m</w:t>
            </w:r>
            <w:r>
              <w:rPr>
                <w:rFonts w:hint="default" w:ascii="Times New Roman" w:hAnsi="Times New Roman" w:cs="Times New Roman" w:eastAsiaTheme="minorEastAsia"/>
                <w:bCs/>
                <w:sz w:val="24"/>
                <w:szCs w:val="24"/>
                <w:highlight w:val="none"/>
                <w:vertAlign w:val="superscript"/>
              </w:rPr>
              <w:t>3</w:t>
            </w:r>
            <w:r>
              <w:rPr>
                <w:rFonts w:hint="default" w:ascii="Times New Roman" w:hAnsi="Times New Roman" w:cs="Times New Roman" w:eastAsiaTheme="minorEastAsia"/>
                <w:bCs/>
                <w:sz w:val="24"/>
                <w:szCs w:val="24"/>
                <w:highlight w:val="none"/>
              </w:rPr>
              <w:t>，</w:t>
            </w:r>
            <w:r>
              <w:rPr>
                <w:rFonts w:hint="eastAsia" w:ascii="Times New Roman" w:hAnsi="Times New Roman" w:cs="Times New Roman" w:eastAsiaTheme="minorEastAsia"/>
                <w:bCs/>
                <w:sz w:val="24"/>
                <w:szCs w:val="24"/>
                <w:highlight w:val="none"/>
                <w:lang w:val="en-US" w:eastAsia="zh-CN"/>
              </w:rPr>
              <w:t>颗粒物</w:t>
            </w:r>
            <w:r>
              <w:rPr>
                <w:rFonts w:hint="default" w:ascii="Times New Roman" w:hAnsi="Times New Roman" w:cs="Times New Roman" w:eastAsiaTheme="minorEastAsia"/>
                <w:sz w:val="24"/>
                <w:szCs w:val="24"/>
                <w:highlight w:val="none"/>
              </w:rPr>
              <w:t>最大排放</w:t>
            </w:r>
            <w:r>
              <w:rPr>
                <w:rFonts w:hint="default" w:ascii="Times New Roman" w:hAnsi="Times New Roman" w:cs="Times New Roman" w:eastAsiaTheme="minorEastAsia"/>
                <w:sz w:val="24"/>
                <w:szCs w:val="24"/>
                <w:highlight w:val="none"/>
                <w:lang w:val="en-US" w:eastAsia="zh-CN"/>
              </w:rPr>
              <w:t>速率</w:t>
            </w:r>
            <w:r>
              <w:rPr>
                <w:rFonts w:hint="default" w:ascii="Times New Roman" w:hAnsi="Times New Roman" w:cs="Times New Roman" w:eastAsiaTheme="minorEastAsia"/>
                <w:sz w:val="24"/>
                <w:szCs w:val="24"/>
                <w:highlight w:val="none"/>
              </w:rPr>
              <w:t>为</w:t>
            </w:r>
            <w:r>
              <w:rPr>
                <w:rFonts w:hint="eastAsia" w:ascii="Times New Roman" w:hAnsi="Times New Roman" w:cs="Times New Roman" w:eastAsiaTheme="minorEastAsia"/>
                <w:bCs/>
                <w:color w:val="auto"/>
                <w:sz w:val="24"/>
                <w:szCs w:val="24"/>
                <w:highlight w:val="none"/>
                <w:lang w:val="en-US" w:eastAsia="zh-CN"/>
              </w:rPr>
              <w:t>1.15</w:t>
            </w:r>
            <w:r>
              <w:rPr>
                <w:rFonts w:hint="default" w:ascii="Times New Roman" w:hAnsi="Times New Roman" w:cs="Times New Roman" w:eastAsiaTheme="minorEastAsia"/>
                <w:bCs/>
                <w:color w:val="auto"/>
                <w:sz w:val="24"/>
                <w:szCs w:val="24"/>
                <w:highlight w:val="none"/>
                <w:lang w:val="en-US" w:eastAsia="zh-CN"/>
              </w:rPr>
              <w:t>×10</w:t>
            </w:r>
            <w:r>
              <w:rPr>
                <w:rFonts w:hint="default" w:ascii="Times New Roman" w:hAnsi="Times New Roman" w:cs="Times New Roman" w:eastAsiaTheme="minorEastAsia"/>
                <w:bCs/>
                <w:color w:val="auto"/>
                <w:sz w:val="24"/>
                <w:szCs w:val="24"/>
                <w:highlight w:val="none"/>
                <w:vertAlign w:val="superscript"/>
                <w:lang w:val="en-US" w:eastAsia="zh-CN"/>
              </w:rPr>
              <w:t>-2</w:t>
            </w:r>
            <w:r>
              <w:rPr>
                <w:rFonts w:hint="default" w:ascii="Times New Roman" w:hAnsi="Times New Roman" w:cs="Times New Roman" w:eastAsiaTheme="minorEastAsia"/>
                <w:sz w:val="24"/>
                <w:szCs w:val="24"/>
                <w:highlight w:val="none"/>
                <w:lang w:val="en-US" w:eastAsia="zh-CN"/>
              </w:rPr>
              <w:t>kg/h</w:t>
            </w:r>
            <w:r>
              <w:rPr>
                <w:rFonts w:hint="eastAsia" w:ascii="Times New Roman" w:hAnsi="Times New Roman" w:cs="Times New Roman" w:eastAsiaTheme="minorEastAsia"/>
                <w:sz w:val="24"/>
                <w:szCs w:val="24"/>
                <w:highlight w:val="none"/>
                <w:lang w:val="en-US" w:eastAsia="zh-CN"/>
              </w:rPr>
              <w:t>，</w:t>
            </w:r>
            <w:r>
              <w:rPr>
                <w:rFonts w:hint="default" w:ascii="Times New Roman" w:hAnsi="Times New Roman" w:cs="Times New Roman" w:eastAsiaTheme="minorEastAsia"/>
                <w:sz w:val="24"/>
                <w:szCs w:val="24"/>
              </w:rPr>
              <w:t>满足《大气污染物综合排放标准》（GB16297-1996）的表2规定要求。</w:t>
            </w:r>
          </w:p>
          <w:p w14:paraId="43365A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lang w:val="en-US" w:eastAsia="zh-CN"/>
              </w:rPr>
              <w:t>2、</w:t>
            </w:r>
            <w:r>
              <w:rPr>
                <w:rFonts w:hint="default" w:ascii="Times New Roman" w:hAnsi="Times New Roman" w:cs="Times New Roman" w:eastAsiaTheme="minorEastAsia"/>
                <w:sz w:val="24"/>
                <w:szCs w:val="24"/>
              </w:rPr>
              <w:t>无组织废气：验收监测期间，</w:t>
            </w:r>
            <w:r>
              <w:rPr>
                <w:rFonts w:hint="default" w:ascii="Times New Roman" w:hAnsi="Times New Roman" w:cs="Times New Roman" w:eastAsiaTheme="minorEastAsia"/>
                <w:bCs/>
                <w:sz w:val="24"/>
                <w:szCs w:val="24"/>
              </w:rPr>
              <w:t>厂界外上风向非甲烷总烃最大排放浓度为</w:t>
            </w:r>
            <w:r>
              <w:rPr>
                <w:rFonts w:hint="default" w:ascii="Times New Roman" w:hAnsi="Times New Roman" w:cs="Times New Roman" w:eastAsiaTheme="minorEastAsia"/>
                <w:bCs/>
                <w:sz w:val="24"/>
                <w:szCs w:val="24"/>
                <w:lang w:val="en-US" w:eastAsia="zh-CN"/>
              </w:rPr>
              <w:t>0.20</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厂界外下风向</w:t>
            </w:r>
            <w:r>
              <w:rPr>
                <w:rFonts w:hint="default" w:ascii="Times New Roman" w:hAnsi="Times New Roman" w:cs="Times New Roman" w:eastAsiaTheme="minorEastAsia"/>
                <w:bCs/>
                <w:sz w:val="24"/>
                <w:szCs w:val="24"/>
              </w:rPr>
              <w:t>非甲烷总烃</w:t>
            </w:r>
            <w:r>
              <w:rPr>
                <w:rFonts w:hint="default" w:ascii="Times New Roman" w:hAnsi="Times New Roman" w:cs="Times New Roman" w:eastAsiaTheme="minorEastAsia"/>
                <w:sz w:val="24"/>
                <w:szCs w:val="24"/>
              </w:rPr>
              <w:t>最大排放浓度为</w:t>
            </w:r>
            <w:r>
              <w:rPr>
                <w:rFonts w:hint="default" w:ascii="Times New Roman" w:hAnsi="Times New Roman" w:cs="Times New Roman" w:eastAsiaTheme="minorEastAsia"/>
                <w:sz w:val="24"/>
                <w:szCs w:val="24"/>
                <w:lang w:val="en-US" w:eastAsia="zh-CN"/>
              </w:rPr>
              <w:t>0.32</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，满足《大气污染物综合排放标准》（GB16297-1996）的表2规定要求。</w:t>
            </w:r>
          </w:p>
          <w:p w14:paraId="7BB77236">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Cs/>
                <w:sz w:val="24"/>
                <w:szCs w:val="24"/>
              </w:rPr>
            </w:pPr>
            <w:r>
              <w:rPr>
                <w:rFonts w:hint="default" w:ascii="Times New Roman" w:hAnsi="Times New Roman" w:cs="Times New Roman" w:eastAsiaTheme="minorEastAsia"/>
                <w:sz w:val="24"/>
                <w:szCs w:val="24"/>
              </w:rPr>
              <w:t>验收监测期间，</w:t>
            </w:r>
            <w:r>
              <w:rPr>
                <w:rFonts w:hint="default" w:ascii="Times New Roman" w:hAnsi="Times New Roman" w:cs="Times New Roman" w:eastAsiaTheme="minorEastAsia"/>
                <w:bCs/>
                <w:sz w:val="24"/>
                <w:szCs w:val="24"/>
              </w:rPr>
              <w:t>厂界外上风向颗粒物最大排放浓度为</w:t>
            </w:r>
            <w:r>
              <w:rPr>
                <w:rFonts w:hint="default" w:ascii="Times New Roman" w:hAnsi="Times New Roman" w:cs="Times New Roman" w:eastAsiaTheme="minorEastAsia"/>
                <w:bCs/>
                <w:sz w:val="24"/>
                <w:szCs w:val="24"/>
                <w:lang w:val="en-US" w:eastAsia="zh-CN"/>
              </w:rPr>
              <w:t>0.244</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厂界外下风向</w:t>
            </w:r>
            <w:r>
              <w:rPr>
                <w:rFonts w:hint="default" w:ascii="Times New Roman" w:hAnsi="Times New Roman" w:cs="Times New Roman" w:eastAsiaTheme="minorEastAsia"/>
                <w:bCs/>
                <w:sz w:val="24"/>
                <w:szCs w:val="24"/>
              </w:rPr>
              <w:t>颗粒物最大排放浓度为0.</w:t>
            </w:r>
            <w:r>
              <w:rPr>
                <w:rFonts w:hint="default" w:ascii="Times New Roman" w:hAnsi="Times New Roman" w:cs="Times New Roman" w:eastAsiaTheme="minorEastAsia"/>
                <w:bCs/>
                <w:sz w:val="24"/>
                <w:szCs w:val="24"/>
                <w:lang w:val="en-US" w:eastAsia="zh-CN"/>
              </w:rPr>
              <w:t>390</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bCs/>
                <w:sz w:val="24"/>
                <w:szCs w:val="24"/>
              </w:rPr>
              <w:t>，</w:t>
            </w:r>
            <w:r>
              <w:rPr>
                <w:rFonts w:hint="default" w:ascii="Times New Roman" w:hAnsi="Times New Roman" w:cs="Times New Roman" w:eastAsiaTheme="minorEastAsia"/>
                <w:sz w:val="24"/>
                <w:szCs w:val="24"/>
              </w:rPr>
              <w:t>满足《大气污染物综合排放标准》（GB16297-1996）的表2规定要求</w:t>
            </w:r>
            <w:r>
              <w:rPr>
                <w:rFonts w:hint="default" w:ascii="Times New Roman" w:hAnsi="Times New Roman" w:cs="Times New Roman" w:eastAsiaTheme="minorEastAsia"/>
                <w:bCs/>
                <w:sz w:val="24"/>
                <w:szCs w:val="24"/>
              </w:rPr>
              <w:t>。</w:t>
            </w:r>
          </w:p>
          <w:p w14:paraId="3CBB6905">
            <w:pPr>
              <w:pStyle w:val="3"/>
              <w:keepNext w:val="0"/>
              <w:keepLines w:val="0"/>
              <w:pageBreakBefore w:val="0"/>
              <w:widowControl w:val="0"/>
              <w:numPr>
                <w:ilvl w:val="0"/>
                <w:numId w:val="0"/>
              </w:numPr>
              <w:kinsoku/>
              <w:wordWrap/>
              <w:overflowPunct/>
              <w:topLinePunct w:val="0"/>
              <w:bidi w:val="0"/>
              <w:snapToGrid/>
              <w:spacing w:line="360" w:lineRule="auto"/>
              <w:ind w:firstLine="480" w:firstLineChars="200"/>
              <w:textAlignment w:val="auto"/>
              <w:rPr>
                <w:rFonts w:hint="default" w:ascii="Times New Roman" w:hAnsi="Times New Roman" w:cs="Times New Roman" w:eastAsiaTheme="minorEastAsia"/>
                <w:color w:val="auto"/>
                <w:kern w:val="0"/>
                <w:sz w:val="24"/>
                <w:szCs w:val="24"/>
                <w:lang w:val="en-US" w:eastAsia="zh-CN" w:bidi="ar-SA"/>
              </w:rPr>
            </w:pPr>
            <w:r>
              <w:rPr>
                <w:rFonts w:hint="default" w:ascii="Times New Roman" w:hAnsi="Times New Roman" w:cs="Times New Roman" w:eastAsiaTheme="minorEastAsia"/>
                <w:sz w:val="24"/>
                <w:szCs w:val="24"/>
              </w:rPr>
              <w:t>验收监测期间，</w:t>
            </w:r>
            <w:r>
              <w:rPr>
                <w:rFonts w:hint="default" w:ascii="Times New Roman" w:hAnsi="Times New Roman" w:cs="Times New Roman" w:eastAsiaTheme="minorEastAsia"/>
                <w:color w:val="auto"/>
                <w:kern w:val="0"/>
                <w:sz w:val="24"/>
                <w:szCs w:val="24"/>
                <w:lang w:val="en-US" w:eastAsia="zh-CN" w:bidi="ar-SA"/>
              </w:rPr>
              <w:t>非甲烷总烃厂房外监控点处1h平均浓度值最大为0.3</w:t>
            </w:r>
            <w:r>
              <w:rPr>
                <w:rFonts w:hint="eastAsia" w:ascii="Times New Roman" w:hAnsi="Times New Roman" w:cs="Times New Roman" w:eastAsiaTheme="minorEastAsia"/>
                <w:color w:val="auto"/>
                <w:kern w:val="0"/>
                <w:sz w:val="24"/>
                <w:szCs w:val="24"/>
                <w:lang w:val="en-US" w:eastAsia="zh-CN" w:bidi="ar-SA"/>
              </w:rPr>
              <w:t>8</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color w:val="auto"/>
                <w:kern w:val="0"/>
                <w:sz w:val="24"/>
                <w:szCs w:val="24"/>
                <w:lang w:val="en-US" w:eastAsia="zh-CN" w:bidi="ar-SA"/>
              </w:rPr>
              <w:t>，厂房外监控点处任意一次浓度最大值为0.3</w:t>
            </w:r>
            <w:r>
              <w:rPr>
                <w:rFonts w:hint="eastAsia" w:ascii="Times New Roman" w:hAnsi="Times New Roman" w:cs="Times New Roman" w:eastAsiaTheme="minorEastAsia"/>
                <w:color w:val="auto"/>
                <w:kern w:val="0"/>
                <w:sz w:val="24"/>
                <w:szCs w:val="24"/>
                <w:lang w:val="en-US" w:eastAsia="zh-CN" w:bidi="ar-SA"/>
              </w:rPr>
              <w:t>4</w:t>
            </w:r>
            <w:r>
              <w:rPr>
                <w:rFonts w:hint="default" w:ascii="Times New Roman" w:hAnsi="Times New Roman" w:cs="Times New Roman" w:eastAsiaTheme="minorEastAsia"/>
                <w:bCs/>
                <w:sz w:val="24"/>
                <w:szCs w:val="24"/>
              </w:rPr>
              <w:t>mg/m</w:t>
            </w:r>
            <w:r>
              <w:rPr>
                <w:rFonts w:hint="default" w:ascii="Times New Roman" w:hAnsi="Times New Roman" w:cs="Times New Roman" w:eastAsiaTheme="minorEastAsia"/>
                <w:bCs/>
                <w:sz w:val="24"/>
                <w:szCs w:val="24"/>
                <w:vertAlign w:val="superscript"/>
              </w:rPr>
              <w:t>3</w:t>
            </w:r>
            <w:r>
              <w:rPr>
                <w:rFonts w:hint="default" w:ascii="Times New Roman" w:hAnsi="Times New Roman" w:cs="Times New Roman" w:eastAsiaTheme="minorEastAsia"/>
                <w:color w:val="auto"/>
                <w:kern w:val="0"/>
                <w:sz w:val="24"/>
                <w:szCs w:val="24"/>
                <w:lang w:val="en-US" w:eastAsia="zh-CN" w:bidi="ar-SA"/>
              </w:rPr>
              <w:t>，满足《挥发性有机物无组织排放控制标准》（GB37822-2019）表A.1厂区内VOCs无组织排放限值要求。</w:t>
            </w:r>
          </w:p>
          <w:p w14:paraId="44831B7E">
            <w:pPr>
              <w:keepNext w:val="0"/>
              <w:keepLines w:val="0"/>
              <w:pageBreakBefore w:val="0"/>
              <w:widowControl w:val="0"/>
              <w:numPr>
                <w:ilvl w:val="0"/>
                <w:numId w:val="0"/>
              </w:numPr>
              <w:kinsoku/>
              <w:wordWrap/>
              <w:overflowPunct/>
              <w:topLinePunct w:val="0"/>
              <w:bidi w:val="0"/>
              <w:snapToGrid/>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2"/>
                <w:sz w:val="24"/>
                <w:szCs w:val="24"/>
                <w:lang w:val="en-US" w:eastAsia="zh-CN" w:bidi="ar-SA"/>
              </w:rPr>
              <w:t>3、</w:t>
            </w:r>
            <w:r>
              <w:rPr>
                <w:rFonts w:hint="default" w:ascii="Times New Roman" w:hAnsi="Times New Roman" w:cs="Times New Roman" w:eastAsiaTheme="minorEastAsia"/>
                <w:sz w:val="24"/>
                <w:szCs w:val="24"/>
                <w:lang w:val="en-US" w:eastAsia="zh-CN"/>
              </w:rPr>
              <w:t>噪声：</w:t>
            </w:r>
            <w:r>
              <w:rPr>
                <w:rFonts w:hint="default" w:ascii="Times New Roman" w:hAnsi="Times New Roman" w:cs="Times New Roman" w:eastAsiaTheme="minorEastAsia"/>
                <w:color w:val="auto"/>
                <w:sz w:val="24"/>
                <w:szCs w:val="24"/>
              </w:rPr>
              <w:t>验收监测期间，厂界噪声昼间最大监测结果为</w:t>
            </w:r>
            <w:r>
              <w:rPr>
                <w:rFonts w:hint="default" w:ascii="Times New Roman" w:hAnsi="Times New Roman" w:cs="Times New Roman" w:eastAsiaTheme="minorEastAsia"/>
                <w:color w:val="auto"/>
                <w:sz w:val="24"/>
                <w:szCs w:val="24"/>
                <w:lang w:val="en-US" w:eastAsia="zh-CN"/>
              </w:rPr>
              <w:t>54.7</w:t>
            </w:r>
            <w:r>
              <w:rPr>
                <w:rFonts w:hint="default" w:ascii="Times New Roman" w:hAnsi="Times New Roman" w:cs="Times New Roman" w:eastAsiaTheme="minorEastAsia"/>
                <w:color w:val="auto"/>
                <w:sz w:val="24"/>
                <w:szCs w:val="24"/>
              </w:rPr>
              <w:t>dB（A），夜间最大监测结果为</w:t>
            </w:r>
            <w:r>
              <w:rPr>
                <w:rFonts w:hint="default" w:ascii="Times New Roman" w:hAnsi="Times New Roman" w:cs="Times New Roman" w:eastAsiaTheme="minorEastAsia"/>
                <w:color w:val="auto"/>
                <w:sz w:val="24"/>
                <w:szCs w:val="24"/>
                <w:lang w:val="en-US" w:eastAsia="zh-CN"/>
              </w:rPr>
              <w:t>44.9</w:t>
            </w:r>
            <w:r>
              <w:rPr>
                <w:rFonts w:hint="default" w:ascii="Times New Roman" w:hAnsi="Times New Roman" w:cs="Times New Roman" w:eastAsiaTheme="minorEastAsia"/>
                <w:color w:val="auto"/>
                <w:sz w:val="24"/>
                <w:szCs w:val="24"/>
              </w:rPr>
              <w:t>dB（A），满足《工业企业厂界环境噪声排放标准》（GB12348-2008）表1中2类标准要求。</w:t>
            </w:r>
          </w:p>
          <w:p w14:paraId="46D4643E">
            <w:pPr>
              <w:pStyle w:val="26"/>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eastAsia" w:ascii="宋体" w:hAnsi="宋体" w:eastAsia="宋体" w:cs="宋体"/>
                <w:sz w:val="24"/>
                <w:szCs w:val="24"/>
                <w:lang w:eastAsia="zh-CN"/>
              </w:rPr>
            </w:pPr>
            <w:r>
              <w:rPr>
                <w:rFonts w:hint="default" w:ascii="Times New Roman" w:hAnsi="Times New Roman" w:cs="Times New Roman" w:eastAsiaTheme="minorEastAsia"/>
                <w:kern w:val="2"/>
                <w:sz w:val="24"/>
                <w:szCs w:val="24"/>
                <w:lang w:val="en-US" w:eastAsia="zh-CN" w:bidi="ar-SA"/>
              </w:rPr>
              <w:t>4、</w:t>
            </w:r>
            <w:r>
              <w:rPr>
                <w:rFonts w:hint="default" w:ascii="Times New Roman" w:hAnsi="Times New Roman" w:cs="Times New Roman" w:eastAsiaTheme="minorEastAsia"/>
                <w:bCs/>
                <w:kern w:val="24"/>
                <w:sz w:val="24"/>
                <w:szCs w:val="24"/>
                <w:lang w:val="en-US" w:eastAsia="zh-CN"/>
              </w:rPr>
              <w:t>验收监测期间，运营期</w:t>
            </w:r>
            <w:r>
              <w:rPr>
                <w:rFonts w:hint="default" w:ascii="Times New Roman" w:hAnsi="Times New Roman" w:cs="Times New Roman" w:eastAsiaTheme="minorEastAsia"/>
                <w:bCs/>
                <w:kern w:val="24"/>
                <w:sz w:val="24"/>
                <w:szCs w:val="24"/>
              </w:rPr>
              <w:t>职工生活垃圾、</w:t>
            </w:r>
            <w:r>
              <w:rPr>
                <w:rFonts w:hint="default" w:ascii="Times New Roman" w:hAnsi="Times New Roman" w:cs="Times New Roman" w:eastAsiaTheme="minorEastAsia"/>
                <w:bCs/>
                <w:kern w:val="24"/>
                <w:sz w:val="24"/>
                <w:szCs w:val="24"/>
                <w:lang w:val="en-US" w:eastAsia="zh-CN"/>
              </w:rPr>
              <w:t>泥土、</w:t>
            </w:r>
            <w:r>
              <w:rPr>
                <w:rFonts w:hint="default" w:ascii="Times New Roman" w:hAnsi="Times New Roman" w:cs="Times New Roman" w:eastAsiaTheme="minorEastAsia"/>
                <w:bCs/>
                <w:kern w:val="24"/>
                <w:sz w:val="24"/>
                <w:szCs w:val="24"/>
              </w:rPr>
              <w:t>不可利用废物</w:t>
            </w:r>
            <w:r>
              <w:rPr>
                <w:rFonts w:hint="default" w:ascii="Times New Roman" w:hAnsi="Times New Roman" w:cs="Times New Roman" w:eastAsiaTheme="minorEastAsia"/>
                <w:bCs/>
                <w:kern w:val="24"/>
                <w:sz w:val="24"/>
                <w:szCs w:val="24"/>
                <w:lang w:val="en-US" w:eastAsia="zh-CN"/>
              </w:rPr>
              <w:t>主要为</w:t>
            </w:r>
            <w:r>
              <w:rPr>
                <w:rFonts w:hint="default" w:ascii="Times New Roman" w:hAnsi="Times New Roman" w:cs="Times New Roman" w:eastAsiaTheme="minorEastAsia"/>
                <w:color w:val="auto"/>
                <w:sz w:val="24"/>
                <w:szCs w:val="24"/>
              </w:rPr>
              <w:t>废棉、麻织物、废海绵、废皮革等集中收集，由市政部门统一清运。</w:t>
            </w:r>
            <w:r>
              <w:rPr>
                <w:rFonts w:hint="default" w:ascii="Times New Roman" w:hAnsi="Times New Roman" w:cs="Times New Roman" w:eastAsiaTheme="minorEastAsia"/>
                <w:bCs/>
                <w:kern w:val="24"/>
                <w:sz w:val="24"/>
                <w:szCs w:val="24"/>
              </w:rPr>
              <w:t>废蓄电池</w:t>
            </w:r>
            <w:r>
              <w:rPr>
                <w:rFonts w:hint="default" w:ascii="Times New Roman" w:hAnsi="Times New Roman" w:cs="Times New Roman" w:eastAsiaTheme="minorEastAsia"/>
                <w:bCs/>
                <w:kern w:val="24"/>
                <w:sz w:val="24"/>
                <w:szCs w:val="24"/>
                <w:lang w:eastAsia="zh-CN"/>
              </w:rPr>
              <w:t>、</w:t>
            </w:r>
            <w:r>
              <w:rPr>
                <w:rFonts w:hint="default" w:ascii="Times New Roman" w:hAnsi="Times New Roman" w:cs="Times New Roman" w:eastAsiaTheme="minorEastAsia"/>
                <w:bCs/>
                <w:kern w:val="24"/>
                <w:sz w:val="24"/>
                <w:szCs w:val="24"/>
              </w:rPr>
              <w:t>废油液</w:t>
            </w:r>
            <w:r>
              <w:rPr>
                <w:rFonts w:hint="default" w:ascii="Times New Roman" w:hAnsi="Times New Roman" w:cs="Times New Roman" w:eastAsiaTheme="minorEastAsia"/>
                <w:bCs/>
                <w:kern w:val="24"/>
                <w:sz w:val="24"/>
                <w:szCs w:val="24"/>
                <w:lang w:eastAsia="zh-CN"/>
              </w:rPr>
              <w:t>，</w:t>
            </w:r>
            <w:r>
              <w:rPr>
                <w:rFonts w:hint="default" w:ascii="Times New Roman" w:hAnsi="Times New Roman" w:cs="Times New Roman" w:eastAsiaTheme="minorEastAsia"/>
                <w:bCs/>
                <w:kern w:val="24"/>
                <w:sz w:val="24"/>
                <w:szCs w:val="24"/>
              </w:rPr>
              <w:t>废电容器</w:t>
            </w:r>
            <w:r>
              <w:rPr>
                <w:rFonts w:hint="default" w:ascii="Times New Roman" w:hAnsi="Times New Roman" w:cs="Times New Roman" w:eastAsiaTheme="minorEastAsia"/>
                <w:bCs/>
                <w:kern w:val="24"/>
                <w:sz w:val="24"/>
                <w:szCs w:val="24"/>
                <w:lang w:eastAsia="zh-CN"/>
              </w:rPr>
              <w:t>、</w:t>
            </w:r>
            <w:r>
              <w:rPr>
                <w:rFonts w:hint="default" w:ascii="Times New Roman" w:hAnsi="Times New Roman" w:cs="Times New Roman" w:eastAsiaTheme="minorEastAsia"/>
                <w:bCs/>
                <w:kern w:val="24"/>
                <w:sz w:val="24"/>
                <w:szCs w:val="24"/>
                <w:lang w:val="en-US" w:eastAsia="zh-CN"/>
              </w:rPr>
              <w:t>废活性炭、石棉废物、</w:t>
            </w:r>
            <w:r>
              <w:rPr>
                <w:rFonts w:hint="default" w:ascii="Times New Roman" w:hAnsi="Times New Roman" w:cs="Times New Roman" w:eastAsiaTheme="minorEastAsia"/>
                <w:bCs/>
                <w:kern w:val="24"/>
                <w:sz w:val="24"/>
                <w:szCs w:val="24"/>
              </w:rPr>
              <w:t>沾有油污的手套、抹布、废墩布</w:t>
            </w:r>
            <w:r>
              <w:rPr>
                <w:rFonts w:hint="default" w:ascii="Times New Roman" w:hAnsi="Times New Roman" w:cs="Times New Roman" w:eastAsiaTheme="minorEastAsia"/>
                <w:sz w:val="24"/>
                <w:szCs w:val="24"/>
              </w:rPr>
              <w:t>等属于危险废物</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bCs/>
                <w:color w:val="auto"/>
                <w:sz w:val="24"/>
                <w:szCs w:val="24"/>
                <w:lang w:val="en-US" w:eastAsia="zh-CN"/>
              </w:rPr>
              <w:t>暂存于危险废物贮存库内。</w:t>
            </w:r>
            <w:r>
              <w:rPr>
                <w:rFonts w:hint="default" w:ascii="Times New Roman" w:hAnsi="Times New Roman" w:cs="Times New Roman" w:eastAsiaTheme="minorEastAsia"/>
                <w:bCs/>
                <w:kern w:val="24"/>
                <w:sz w:val="24"/>
                <w:szCs w:val="24"/>
              </w:rPr>
              <w:t>废防冻液</w:t>
            </w:r>
            <w:r>
              <w:rPr>
                <w:rFonts w:hint="default" w:ascii="Times New Roman" w:hAnsi="Times New Roman" w:cs="Times New Roman" w:eastAsiaTheme="minorEastAsia"/>
                <w:color w:val="auto"/>
                <w:sz w:val="24"/>
                <w:szCs w:val="24"/>
              </w:rPr>
              <w:t>经分类收集后暂存于废油液暂存间</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bCs/>
                <w:color w:val="auto"/>
                <w:sz w:val="24"/>
                <w:szCs w:val="24"/>
                <w:lang w:val="en-US" w:eastAsia="zh-CN"/>
              </w:rPr>
              <w:t>废塑料机油桶、废铁质机油桶、废矿物油滤芯、废油漆桶委托佳木斯恒坤废旧物资回收有限公司处置。废防冻液、废石棉</w:t>
            </w:r>
            <w:r>
              <w:rPr>
                <w:rFonts w:hint="default" w:ascii="Times New Roman" w:hAnsi="Times New Roman" w:cs="Times New Roman" w:eastAsiaTheme="minorEastAsia"/>
                <w:sz w:val="24"/>
                <w:szCs w:val="24"/>
              </w:rPr>
              <w:t>委托黑龙江京盛华环保科技有限公司处置</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lang w:val="en-US" w:eastAsia="zh-CN"/>
              </w:rPr>
              <w:t>废铅蓄电池</w:t>
            </w:r>
            <w:r>
              <w:rPr>
                <w:rFonts w:hint="default" w:ascii="Times New Roman" w:hAnsi="Times New Roman" w:cs="Times New Roman" w:eastAsiaTheme="minorEastAsia"/>
                <w:sz w:val="24"/>
                <w:szCs w:val="24"/>
              </w:rPr>
              <w:t>委托佳木斯凯亮再生资源回收有限公司处置</w:t>
            </w:r>
            <w:r>
              <w:rPr>
                <w:rFonts w:hint="default" w:ascii="Times New Roman" w:hAnsi="Times New Roman" w:cs="Times New Roman" w:eastAsiaTheme="minorEastAsia"/>
                <w:sz w:val="24"/>
                <w:szCs w:val="24"/>
                <w:lang w:eastAsia="zh-CN"/>
              </w:rPr>
              <w:t>。</w:t>
            </w:r>
          </w:p>
          <w:p w14:paraId="1E3F3CDE">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6、环境管理检查结果</w:t>
            </w:r>
          </w:p>
          <w:p w14:paraId="7B0EC937">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本项目建立了完善的规章管理制度，按要求进行环境保护设施调试及日常运行维护，环境管理台账记录完善。</w:t>
            </w:r>
          </w:p>
          <w:p w14:paraId="014A4882">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本项目环保审批手续和档案资料齐全。项目的污染治理设施与主体工程同时设计、同时施工和同时投产使用。噪声、废气和固废等项目的监测均满足相应的排放标准限值要求。验收监测期间环保设施正常稳定运转，污染物能达标稳定排放。环评及其批复中要求的污染控制措施基本都得到了落实</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已于</w:t>
            </w:r>
            <w:r>
              <w:rPr>
                <w:rFonts w:hint="default" w:ascii="Times New Roman" w:hAnsi="Times New Roman" w:cs="Times New Roman" w:eastAsiaTheme="minorEastAsia"/>
                <w:color w:val="000000"/>
                <w:sz w:val="24"/>
                <w:szCs w:val="24"/>
                <w:lang w:val="en-US" w:eastAsia="zh-CN"/>
              </w:rPr>
              <w:t>2024年11月13号取得排污许可证（许可证编号：91230822MADPQPGX5R001Q）。</w:t>
            </w:r>
          </w:p>
          <w:p w14:paraId="19CC4AB7">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因此，</w:t>
            </w:r>
            <w:r>
              <w:rPr>
                <w:rFonts w:hint="default" w:ascii="Times New Roman" w:hAnsi="Times New Roman" w:eastAsia="宋体" w:cs="Times New Roman"/>
                <w:color w:val="auto"/>
                <w:sz w:val="24"/>
                <w:szCs w:val="24"/>
                <w:lang w:val="en-US" w:eastAsia="zh-CN"/>
              </w:rPr>
              <w:t>桦南县宏祥报废农机回收有限责任公司农机报废拆解项目</w:t>
            </w:r>
            <w:r>
              <w:rPr>
                <w:rFonts w:hint="default" w:ascii="Times New Roman" w:hAnsi="Times New Roman" w:eastAsia="宋体" w:cs="Times New Roman"/>
                <w:color w:val="auto"/>
              </w:rPr>
              <w:t>满足竣工环境保护验收的条件和要求。</w:t>
            </w:r>
          </w:p>
          <w:p w14:paraId="4D5B1DC1">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建议：</w:t>
            </w:r>
          </w:p>
          <w:p w14:paraId="3B916133">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1、进一步加强环保设施日常运行管理与维护，确保污染物稳定达标排放。</w:t>
            </w:r>
          </w:p>
          <w:p w14:paraId="7845EE41">
            <w:pPr>
              <w:pStyle w:val="2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lang w:val="en-US" w:eastAsia="zh-CN"/>
              </w:rPr>
            </w:pPr>
            <w:r>
              <w:rPr>
                <w:rFonts w:hint="default" w:ascii="Times New Roman" w:hAnsi="Times New Roman" w:eastAsia="宋体" w:cs="Times New Roman"/>
                <w:color w:val="auto"/>
                <w:sz w:val="24"/>
                <w:szCs w:val="24"/>
                <w:lang w:val="en-US" w:eastAsia="zh-CN"/>
              </w:rPr>
              <w:t>2、进一步完善并落实环境风险应急预案，定期开展环境事故应急演练，防止污染事故发生。</w:t>
            </w:r>
          </w:p>
        </w:tc>
      </w:tr>
    </w:tbl>
    <w:p w14:paraId="4C47774A">
      <w:pPr>
        <w:pStyle w:val="26"/>
        <w:rPr>
          <w:rFonts w:ascii="Times New Roman" w:hAnsi="Times New Roman" w:eastAsiaTheme="minorEastAsia"/>
          <w:color w:val="FF0000"/>
        </w:rPr>
        <w:sectPr>
          <w:pgSz w:w="11906" w:h="16838"/>
          <w:pgMar w:top="1440" w:right="1800" w:bottom="1440" w:left="1800" w:header="851" w:footer="992" w:gutter="0"/>
          <w:cols w:space="720" w:num="1"/>
          <w:docGrid w:type="lines" w:linePitch="312" w:charSpace="0"/>
        </w:sectPr>
      </w:pPr>
    </w:p>
    <w:bookmarkEnd w:id="59"/>
    <w:bookmarkEnd w:id="60"/>
    <w:p w14:paraId="00DCF282">
      <w:pPr>
        <w:pStyle w:val="26"/>
        <w:outlineLvl w:val="0"/>
        <w:rPr>
          <w:rFonts w:ascii="Times New Roman" w:hAnsi="Times New Roman" w:eastAsiaTheme="minorEastAsia"/>
          <w:b/>
          <w:bCs/>
          <w:color w:val="auto"/>
          <w:sz w:val="28"/>
          <w:szCs w:val="28"/>
        </w:rPr>
      </w:pPr>
      <w:bookmarkStart w:id="61" w:name="_Toc4590"/>
      <w:bookmarkStart w:id="62" w:name="_Toc21544"/>
      <w:r>
        <w:rPr>
          <w:rFonts w:ascii="Times New Roman" w:hAnsi="Times New Roman" w:eastAsiaTheme="minorEastAsia"/>
          <w:b/>
          <w:bCs/>
          <w:color w:val="auto"/>
          <w:sz w:val="28"/>
          <w:szCs w:val="28"/>
        </w:rPr>
        <w:t>表</w:t>
      </w:r>
      <w:bookmarkEnd w:id="61"/>
      <w:r>
        <w:rPr>
          <w:rFonts w:ascii="Times New Roman" w:hAnsi="Times New Roman" w:eastAsiaTheme="minorEastAsia"/>
          <w:b/>
          <w:bCs/>
          <w:color w:val="auto"/>
          <w:sz w:val="28"/>
          <w:szCs w:val="28"/>
        </w:rPr>
        <w:t>九环境保护措施及环评批复落实情况</w:t>
      </w:r>
      <w:bookmarkEnd w:id="62"/>
    </w:p>
    <w:tbl>
      <w:tblPr>
        <w:tblStyle w:val="23"/>
        <w:tblW w:w="9000"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0"/>
      </w:tblGrid>
      <w:tr w14:paraId="71263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3" w:hRule="atLeast"/>
        </w:trPr>
        <w:tc>
          <w:tcPr>
            <w:tcW w:w="9000" w:type="dxa"/>
          </w:tcPr>
          <w:p w14:paraId="37500C0A">
            <w:pPr>
              <w:widowControl/>
              <w:adjustRightInd w:val="0"/>
              <w:snapToGrid w:val="0"/>
              <w:spacing w:line="360" w:lineRule="auto"/>
              <w:rPr>
                <w:rFonts w:ascii="Times New Roman" w:hAnsi="Times New Roman" w:eastAsiaTheme="minorEastAsia"/>
                <w:b/>
                <w:sz w:val="28"/>
                <w:szCs w:val="28"/>
              </w:rPr>
            </w:pPr>
            <w:r>
              <w:rPr>
                <w:rFonts w:ascii="Times New Roman" w:hAnsi="Times New Roman" w:eastAsiaTheme="minorEastAsia"/>
                <w:b/>
                <w:bCs/>
                <w:sz w:val="30"/>
                <w:szCs w:val="30"/>
              </w:rPr>
              <w:t>环境管理检查：</w:t>
            </w:r>
          </w:p>
          <w:p w14:paraId="14EAB8EC">
            <w:pPr>
              <w:widowControl/>
              <w:adjustRightInd w:val="0"/>
              <w:snapToGrid w:val="0"/>
              <w:spacing w:line="360" w:lineRule="auto"/>
              <w:rPr>
                <w:rFonts w:ascii="Times New Roman" w:hAnsi="Times New Roman" w:eastAsiaTheme="minorEastAsia"/>
                <w:b/>
                <w:bCs/>
                <w:sz w:val="24"/>
              </w:rPr>
            </w:pPr>
            <w:r>
              <w:rPr>
                <w:rFonts w:ascii="Times New Roman" w:hAnsi="Times New Roman" w:eastAsiaTheme="minorEastAsia"/>
                <w:b/>
                <w:sz w:val="24"/>
              </w:rPr>
              <w:t>一、环保审批手续及“三同时”执行情况</w:t>
            </w:r>
            <w:r>
              <w:rPr>
                <w:rFonts w:ascii="Times New Roman" w:hAnsi="Times New Roman" w:eastAsiaTheme="minorEastAsia"/>
                <w:b/>
                <w:bCs/>
                <w:sz w:val="24"/>
              </w:rPr>
              <w:t>：</w:t>
            </w:r>
          </w:p>
          <w:p w14:paraId="0BC4FA26">
            <w:pPr>
              <w:widowControl/>
              <w:adjustRightInd w:val="0"/>
              <w:snapToGrid w:val="0"/>
              <w:spacing w:line="360" w:lineRule="auto"/>
              <w:jc w:val="center"/>
              <w:rPr>
                <w:rFonts w:ascii="Times New Roman" w:hAnsi="Times New Roman" w:eastAsiaTheme="minorEastAsia"/>
                <w:sz w:val="24"/>
              </w:rPr>
            </w:pPr>
            <w:r>
              <w:rPr>
                <w:rFonts w:ascii="Times New Roman" w:hAnsi="Times New Roman" w:eastAsiaTheme="minorEastAsia"/>
                <w:b/>
                <w:bCs/>
                <w:sz w:val="24"/>
              </w:rPr>
              <w:t>表8-1环评批复落实情况</w:t>
            </w:r>
          </w:p>
          <w:tbl>
            <w:tblPr>
              <w:tblStyle w:val="23"/>
              <w:tblW w:w="87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3660"/>
              <w:gridCol w:w="3528"/>
              <w:gridCol w:w="881"/>
            </w:tblGrid>
            <w:tr w14:paraId="00E69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705" w:type="dxa"/>
                  <w:tcBorders>
                    <w:tl2br w:val="nil"/>
                    <w:tr2bl w:val="nil"/>
                  </w:tcBorders>
                  <w:vAlign w:val="center"/>
                </w:tcPr>
                <w:p w14:paraId="1EBD3110">
                  <w:pPr>
                    <w:jc w:val="center"/>
                    <w:rPr>
                      <w:rFonts w:ascii="Times New Roman" w:hAnsi="Times New Roman" w:eastAsiaTheme="minorEastAsia"/>
                      <w:szCs w:val="21"/>
                    </w:rPr>
                  </w:pPr>
                  <w:r>
                    <w:rPr>
                      <w:rFonts w:ascii="Times New Roman" w:hAnsi="Times New Roman" w:eastAsiaTheme="minorEastAsia"/>
                      <w:szCs w:val="21"/>
                    </w:rPr>
                    <w:t>序号</w:t>
                  </w:r>
                </w:p>
              </w:tc>
              <w:tc>
                <w:tcPr>
                  <w:tcW w:w="3660" w:type="dxa"/>
                  <w:tcBorders>
                    <w:tl2br w:val="nil"/>
                    <w:tr2bl w:val="nil"/>
                  </w:tcBorders>
                  <w:vAlign w:val="center"/>
                </w:tcPr>
                <w:p w14:paraId="5B100190">
                  <w:pPr>
                    <w:jc w:val="center"/>
                    <w:rPr>
                      <w:rFonts w:ascii="Times New Roman" w:hAnsi="Times New Roman" w:eastAsiaTheme="minorEastAsia"/>
                      <w:szCs w:val="21"/>
                    </w:rPr>
                  </w:pPr>
                  <w:r>
                    <w:rPr>
                      <w:rFonts w:ascii="Times New Roman" w:hAnsi="Times New Roman" w:eastAsiaTheme="minorEastAsia"/>
                      <w:szCs w:val="21"/>
                    </w:rPr>
                    <w:t>环评审批意见</w:t>
                  </w:r>
                </w:p>
              </w:tc>
              <w:tc>
                <w:tcPr>
                  <w:tcW w:w="3528" w:type="dxa"/>
                  <w:tcBorders>
                    <w:tl2br w:val="nil"/>
                    <w:tr2bl w:val="nil"/>
                  </w:tcBorders>
                  <w:vAlign w:val="center"/>
                </w:tcPr>
                <w:p w14:paraId="1018C77C">
                  <w:pPr>
                    <w:jc w:val="center"/>
                    <w:rPr>
                      <w:rFonts w:ascii="Times New Roman" w:hAnsi="Times New Roman" w:eastAsiaTheme="minorEastAsia"/>
                      <w:szCs w:val="21"/>
                    </w:rPr>
                  </w:pPr>
                  <w:r>
                    <w:rPr>
                      <w:rFonts w:ascii="Times New Roman" w:hAnsi="Times New Roman" w:eastAsiaTheme="minorEastAsia"/>
                      <w:szCs w:val="21"/>
                    </w:rPr>
                    <w:t>落实情况</w:t>
                  </w:r>
                </w:p>
              </w:tc>
              <w:tc>
                <w:tcPr>
                  <w:tcW w:w="881" w:type="dxa"/>
                  <w:tcBorders>
                    <w:tl2br w:val="nil"/>
                    <w:tr2bl w:val="nil"/>
                  </w:tcBorders>
                  <w:vAlign w:val="center"/>
                </w:tcPr>
                <w:p w14:paraId="21A98F2E">
                  <w:pPr>
                    <w:jc w:val="center"/>
                    <w:rPr>
                      <w:rFonts w:ascii="Times New Roman" w:hAnsi="Times New Roman" w:eastAsiaTheme="minorEastAsia"/>
                      <w:szCs w:val="21"/>
                    </w:rPr>
                  </w:pPr>
                  <w:r>
                    <w:rPr>
                      <w:rFonts w:ascii="Times New Roman" w:hAnsi="Times New Roman" w:eastAsiaTheme="minorEastAsia"/>
                      <w:szCs w:val="21"/>
                    </w:rPr>
                    <w:t>备注</w:t>
                  </w:r>
                </w:p>
              </w:tc>
            </w:tr>
            <w:tr w14:paraId="340A8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2" w:hRule="atLeast"/>
                <w:jc w:val="center"/>
              </w:trPr>
              <w:tc>
                <w:tcPr>
                  <w:tcW w:w="705" w:type="dxa"/>
                  <w:tcBorders>
                    <w:tl2br w:val="nil"/>
                    <w:tr2bl w:val="nil"/>
                  </w:tcBorders>
                  <w:vAlign w:val="center"/>
                </w:tcPr>
                <w:p w14:paraId="28E9516E">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1</w:t>
                  </w:r>
                </w:p>
              </w:tc>
              <w:tc>
                <w:tcPr>
                  <w:tcW w:w="3660" w:type="dxa"/>
                  <w:tcBorders>
                    <w:tl2br w:val="nil"/>
                    <w:tr2bl w:val="nil"/>
                  </w:tcBorders>
                  <w:vAlign w:val="center"/>
                </w:tcPr>
                <w:p w14:paraId="755203A2">
                  <w:pPr>
                    <w:pStyle w:val="26"/>
                    <w:jc w:val="both"/>
                    <w:rPr>
                      <w:rFonts w:ascii="Times New Roman" w:hAnsi="Times New Roman" w:eastAsiaTheme="minorEastAsia"/>
                      <w:color w:val="auto"/>
                      <w:sz w:val="21"/>
                      <w:szCs w:val="21"/>
                    </w:rPr>
                  </w:pPr>
                  <w:r>
                    <w:rPr>
                      <w:rFonts w:hint="eastAsia" w:ascii="Times New Roman" w:hAnsi="Times New Roman" w:cs="Times New Roman" w:eastAsiaTheme="minorEastAsia"/>
                      <w:color w:val="auto"/>
                      <w:sz w:val="21"/>
                      <w:szCs w:val="21"/>
                    </w:rPr>
                    <w:t>该项目建设地点为黑龙江省佳木斯市桦南县曙光农场第十五作业站</w:t>
                  </w:r>
                  <w:r>
                    <w:rPr>
                      <w:rFonts w:ascii="Times New Roman" w:hAnsi="Times New Roman" w:cs="Times New Roman" w:eastAsiaTheme="minorEastAsia"/>
                      <w:color w:val="auto"/>
                      <w:sz w:val="21"/>
                      <w:szCs w:val="21"/>
                    </w:rPr>
                    <w:t>。该项目为新建项目。建设内容:</w:t>
                  </w:r>
                  <w:r>
                    <w:rPr>
                      <w:rFonts w:hint="eastAsia" w:ascii="Times New Roman" w:hAnsi="Times New Roman" w:cs="Times New Roman" w:eastAsiaTheme="minorEastAsia"/>
                      <w:color w:val="auto"/>
                      <w:sz w:val="21"/>
                      <w:szCs w:val="21"/>
                    </w:rPr>
                    <w:t>新建一条年拆解10000辆报废农业机械生产线，依托原有厂房、场地建设车间、待拆车辆贮存场地、农机拆除成品半成品及零件贮存库、危险废物贮存库。</w:t>
                  </w:r>
                </w:p>
              </w:tc>
              <w:tc>
                <w:tcPr>
                  <w:tcW w:w="3528" w:type="dxa"/>
                  <w:tcBorders>
                    <w:tl2br w:val="nil"/>
                    <w:tr2bl w:val="nil"/>
                  </w:tcBorders>
                  <w:vAlign w:val="center"/>
                </w:tcPr>
                <w:p w14:paraId="2628FE5F">
                  <w:pPr>
                    <w:pStyle w:val="26"/>
                    <w:jc w:val="both"/>
                    <w:rPr>
                      <w:rFonts w:ascii="Times New Roman" w:hAnsi="Times New Roman" w:eastAsiaTheme="minorEastAsia"/>
                      <w:color w:val="auto"/>
                      <w:sz w:val="21"/>
                      <w:szCs w:val="21"/>
                    </w:rPr>
                  </w:pPr>
                  <w:r>
                    <w:rPr>
                      <w:rFonts w:hint="eastAsia" w:ascii="Times New Roman" w:hAnsi="Times New Roman" w:cs="Times New Roman" w:eastAsiaTheme="minorEastAsia"/>
                      <w:color w:val="auto"/>
                      <w:sz w:val="21"/>
                      <w:szCs w:val="21"/>
                    </w:rPr>
                    <w:t>该项目建设地点为黑龙江省佳木斯市桦南县曙光农场第十五作业站</w:t>
                  </w:r>
                  <w:r>
                    <w:rPr>
                      <w:rFonts w:ascii="Times New Roman" w:hAnsi="Times New Roman" w:cs="Times New Roman" w:eastAsiaTheme="minorEastAsia"/>
                      <w:color w:val="auto"/>
                      <w:sz w:val="21"/>
                      <w:szCs w:val="21"/>
                    </w:rPr>
                    <w:t>。该项目为新建项目。建设内容:</w:t>
                  </w:r>
                  <w:r>
                    <w:rPr>
                      <w:rFonts w:hint="eastAsia" w:ascii="Times New Roman" w:hAnsi="Times New Roman" w:cs="Times New Roman" w:eastAsiaTheme="minorEastAsia"/>
                      <w:color w:val="auto"/>
                      <w:sz w:val="21"/>
                      <w:szCs w:val="21"/>
                    </w:rPr>
                    <w:t>新建一条年拆解10000辆报废农业机械生产线，依托原有厂房、场地建设车间、待拆车辆贮存场地、农机拆除成品半成品及零件贮存库、危险废物贮存库。</w:t>
                  </w:r>
                </w:p>
              </w:tc>
              <w:tc>
                <w:tcPr>
                  <w:tcW w:w="881" w:type="dxa"/>
                  <w:tcBorders>
                    <w:tl2br w:val="nil"/>
                    <w:tr2bl w:val="nil"/>
                  </w:tcBorders>
                  <w:vAlign w:val="center"/>
                </w:tcPr>
                <w:p w14:paraId="0DB35682">
                  <w:pPr>
                    <w:jc w:val="center"/>
                    <w:rPr>
                      <w:rFonts w:ascii="Times New Roman" w:hAnsi="Times New Roman" w:eastAsiaTheme="minorEastAsia"/>
                      <w:szCs w:val="21"/>
                    </w:rPr>
                  </w:pPr>
                  <w:r>
                    <w:rPr>
                      <w:rFonts w:ascii="Times New Roman" w:hAnsi="Times New Roman" w:eastAsiaTheme="minorEastAsia"/>
                      <w:szCs w:val="21"/>
                    </w:rPr>
                    <w:t>已落实</w:t>
                  </w:r>
                </w:p>
              </w:tc>
            </w:tr>
            <w:tr w14:paraId="76BFC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dxa"/>
                  <w:tcBorders>
                    <w:tl2br w:val="nil"/>
                    <w:tr2bl w:val="nil"/>
                  </w:tcBorders>
                  <w:vAlign w:val="center"/>
                </w:tcPr>
                <w:p w14:paraId="12883E12">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2</w:t>
                  </w:r>
                </w:p>
              </w:tc>
              <w:tc>
                <w:tcPr>
                  <w:tcW w:w="3660" w:type="dxa"/>
                  <w:tcBorders>
                    <w:tl2br w:val="nil"/>
                    <w:tr2bl w:val="nil"/>
                  </w:tcBorders>
                  <w:vAlign w:val="center"/>
                </w:tcPr>
                <w:p w14:paraId="1D294B65">
                  <w:pPr>
                    <w:pStyle w:val="26"/>
                    <w:jc w:val="both"/>
                    <w:rPr>
                      <w:rFonts w:hint="eastAsia" w:ascii="Times New Roman" w:hAnsi="Times New Roman" w:eastAsia="宋体"/>
                      <w:color w:val="auto"/>
                      <w:sz w:val="21"/>
                      <w:szCs w:val="21"/>
                      <w:lang w:eastAsia="zh-CN"/>
                    </w:rPr>
                  </w:pPr>
                  <w:r>
                    <w:rPr>
                      <w:rFonts w:hint="eastAsia" w:ascii="Times New Roman" w:hAnsi="Times New Roman" w:cs="Times New Roman" w:eastAsiaTheme="minorEastAsia"/>
                      <w:color w:val="auto"/>
                      <w:sz w:val="21"/>
                      <w:szCs w:val="21"/>
                    </w:rPr>
                    <w:t>项目产生的废气主要为拆解车间废气</w:t>
                  </w:r>
                  <w:r>
                    <w:rPr>
                      <w:rFonts w:hint="eastAsia" w:ascii="Times New Roman" w:hAnsi="Times New Roman" w:cs="Times New Roman" w:eastAsiaTheme="minorEastAsia"/>
                      <w:color w:val="auto"/>
                      <w:sz w:val="21"/>
                      <w:szCs w:val="21"/>
                      <w:lang w:eastAsia="zh-CN"/>
                    </w:rPr>
                    <w:t>，</w:t>
                  </w:r>
                  <w:r>
                    <w:rPr>
                      <w:rFonts w:hint="eastAsia" w:ascii="Times New Roman" w:hAnsi="Times New Roman" w:cs="Times New Roman" w:eastAsiaTheme="minorEastAsia"/>
                      <w:color w:val="auto"/>
                      <w:sz w:val="21"/>
                      <w:szCs w:val="21"/>
                    </w:rPr>
                    <w:t>在全封闭拆解车间内切割工位设置布袋除尘器，通过移动式布袋除尘器的进风口收集切割废气净化处理后排出的气体经车间侧壁通风设施以无组织形式排放。无组织颗粒物排放浓度要满足《大气污染物综合排放标准》(GB16297-1996)表2中无组织排放监控浓度限值要求；待拆的报废车辆油箱中废油量较少，在工序上方设置集气罩+活性炭吸附装置进行处理。非甲烷总烃排放浓度要满足《大气污染物综合排放标准》(GB16297-1996)非甲烷总烃无组织排放监控浓度限值；所有危险废物均在密闭容器内保存，收集的危废贮存库废气通过活性炭吸附处理后由1根15m高排气筒排放。要满足《大气污染物综合排放标准》(GB16297-1996)表2中排放监控浓度限值要求。</w:t>
                  </w:r>
                </w:p>
              </w:tc>
              <w:tc>
                <w:tcPr>
                  <w:tcW w:w="3528" w:type="dxa"/>
                  <w:tcBorders>
                    <w:tl2br w:val="nil"/>
                    <w:tr2bl w:val="nil"/>
                  </w:tcBorders>
                  <w:vAlign w:val="center"/>
                </w:tcPr>
                <w:p w14:paraId="6FCFA0FC">
                  <w:pPr>
                    <w:pStyle w:val="34"/>
                    <w:spacing w:line="240" w:lineRule="auto"/>
                    <w:jc w:val="both"/>
                    <w:rPr>
                      <w:rFonts w:ascii="Times New Roman" w:hAnsi="Times New Roman" w:eastAsiaTheme="minorEastAsia"/>
                      <w:kern w:val="2"/>
                    </w:rPr>
                  </w:pPr>
                  <w:r>
                    <w:rPr>
                      <w:rFonts w:hint="eastAsia" w:ascii="Times New Roman" w:hAnsi="Times New Roman" w:cs="Times New Roman" w:eastAsiaTheme="minorEastAsia"/>
                      <w:color w:val="auto"/>
                      <w:sz w:val="21"/>
                      <w:szCs w:val="21"/>
                    </w:rPr>
                    <w:t>项目产生的废气主要为拆解车间废气</w:t>
                  </w:r>
                  <w:r>
                    <w:rPr>
                      <w:rFonts w:hint="eastAsia" w:ascii="Times New Roman" w:hAnsi="Times New Roman"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在全封闭拆解车间内切割工</w:t>
                  </w:r>
                  <w:r>
                    <w:rPr>
                      <w:rFonts w:hint="eastAsia" w:ascii="Times New Roman" w:hAnsi="Times New Roman" w:cs="Times New Roman" w:eastAsiaTheme="minorEastAsia"/>
                      <w:color w:val="auto"/>
                      <w:sz w:val="21"/>
                      <w:szCs w:val="21"/>
                      <w:lang w:val="en-US" w:eastAsia="zh-CN"/>
                    </w:rPr>
                    <w:t>位周围</w:t>
                  </w:r>
                  <w:r>
                    <w:rPr>
                      <w:rFonts w:hint="default" w:ascii="Times New Roman" w:hAnsi="Times New Roman" w:cs="Times New Roman" w:eastAsiaTheme="minorEastAsia"/>
                      <w:color w:val="auto"/>
                      <w:sz w:val="21"/>
                      <w:szCs w:val="21"/>
                    </w:rPr>
                    <w:t>设置</w:t>
                  </w:r>
                  <w:r>
                    <w:rPr>
                      <w:rFonts w:hint="eastAsia" w:ascii="Times New Roman" w:hAnsi="Times New Roman" w:cs="Times New Roman" w:eastAsiaTheme="minorEastAsia"/>
                      <w:color w:val="auto"/>
                      <w:sz w:val="21"/>
                      <w:szCs w:val="21"/>
                      <w:lang w:val="en-US" w:eastAsia="zh-CN"/>
                    </w:rPr>
                    <w:t>集气罩，经集气罩收集进入</w:t>
                  </w:r>
                  <w:r>
                    <w:rPr>
                      <w:rFonts w:hint="default" w:ascii="Times New Roman" w:hAnsi="Times New Roman" w:cs="Times New Roman" w:eastAsiaTheme="minorEastAsia"/>
                      <w:color w:val="auto"/>
                      <w:sz w:val="21"/>
                      <w:szCs w:val="21"/>
                      <w:lang w:eastAsia="zh-CN"/>
                    </w:rPr>
                    <w:t>布袋除尘器</w:t>
                  </w:r>
                  <w:r>
                    <w:rPr>
                      <w:rFonts w:hint="eastAsia" w:ascii="Times New Roman" w:hAnsi="Times New Roman" w:cs="Times New Roman" w:eastAsiaTheme="minorEastAsia"/>
                      <w:color w:val="auto"/>
                      <w:sz w:val="21"/>
                      <w:szCs w:val="21"/>
                      <w:lang w:val="en-US" w:eastAsia="zh-CN"/>
                    </w:rPr>
                    <w:t>处理后</w:t>
                  </w:r>
                  <w:r>
                    <w:rPr>
                      <w:rFonts w:hint="default" w:ascii="Times New Roman" w:hAnsi="Times New Roman" w:cs="Times New Roman" w:eastAsiaTheme="minorEastAsia"/>
                      <w:color w:val="auto"/>
                      <w:sz w:val="21"/>
                      <w:szCs w:val="21"/>
                      <w:lang w:val="en-US" w:eastAsia="zh-CN"/>
                    </w:rPr>
                    <w:t>由1根15m高排气筒DA001排放。</w:t>
                  </w:r>
                  <w:r>
                    <w:rPr>
                      <w:rFonts w:hint="eastAsia" w:ascii="Times New Roman" w:hAnsi="Times New Roman" w:cs="Times New Roman" w:eastAsiaTheme="minorEastAsia"/>
                      <w:color w:val="auto"/>
                      <w:sz w:val="21"/>
                      <w:szCs w:val="21"/>
                      <w:lang w:val="en-US" w:eastAsia="zh-CN"/>
                    </w:rPr>
                    <w:t>有</w:t>
                  </w:r>
                  <w:r>
                    <w:rPr>
                      <w:rFonts w:hint="eastAsia" w:ascii="Times New Roman" w:hAnsi="Times New Roman" w:cs="Times New Roman" w:eastAsiaTheme="minorEastAsia"/>
                      <w:color w:val="auto"/>
                      <w:sz w:val="21"/>
                      <w:szCs w:val="21"/>
                    </w:rPr>
                    <w:t>组织颗粒物排放浓度要满足《大气污染物综合排放标准》(GB16297-1996)表2</w:t>
                  </w:r>
                  <w:r>
                    <w:rPr>
                      <w:rFonts w:hint="eastAsia" w:ascii="Times New Roman" w:hAnsi="Times New Roman" w:cs="Times New Roman" w:eastAsiaTheme="minorEastAsia"/>
                      <w:color w:val="auto"/>
                      <w:sz w:val="21"/>
                      <w:szCs w:val="21"/>
                      <w:lang w:val="en-US" w:eastAsia="zh-CN"/>
                    </w:rPr>
                    <w:t>中排放</w:t>
                  </w:r>
                  <w:r>
                    <w:rPr>
                      <w:rFonts w:hint="eastAsia" w:ascii="Times New Roman" w:hAnsi="Times New Roman" w:cs="Times New Roman" w:eastAsiaTheme="minorEastAsia"/>
                      <w:color w:val="auto"/>
                      <w:sz w:val="21"/>
                      <w:szCs w:val="21"/>
                    </w:rPr>
                    <w:t>监控浓度限值要求；待拆的报废车辆油箱中废油量较少，在工序上方设置集气罩+活性炭吸附装置进行处理。非甲烷总烃排放浓度要满足《大气污染物综合排放标准》(GB16297-1996)非甲烷总烃无组织排放监控浓度限值；所有危险废物均在密闭容器内保存，收集的危废贮存库废气通过活性炭吸附处理后由1根15m高排气筒排放。要满足《大气污染物综合排放标准》(GB16297-1996)表2中排放监控浓度限值要求。</w:t>
                  </w:r>
                </w:p>
              </w:tc>
              <w:tc>
                <w:tcPr>
                  <w:tcW w:w="881" w:type="dxa"/>
                  <w:tcBorders>
                    <w:tl2br w:val="nil"/>
                    <w:tr2bl w:val="nil"/>
                  </w:tcBorders>
                  <w:vAlign w:val="center"/>
                </w:tcPr>
                <w:p w14:paraId="0B5FD6CA">
                  <w:pPr>
                    <w:widowControl/>
                    <w:jc w:val="center"/>
                    <w:rPr>
                      <w:rFonts w:ascii="Times New Roman" w:hAnsi="Times New Roman" w:eastAsiaTheme="minorEastAsia"/>
                      <w:szCs w:val="21"/>
                    </w:rPr>
                  </w:pPr>
                  <w:r>
                    <w:rPr>
                      <w:rFonts w:ascii="Times New Roman" w:hAnsi="Times New Roman" w:eastAsiaTheme="minorEastAsia"/>
                      <w:szCs w:val="21"/>
                    </w:rPr>
                    <w:t>已落实</w:t>
                  </w:r>
                </w:p>
              </w:tc>
            </w:tr>
            <w:tr w14:paraId="6E5B9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l2br w:val="nil"/>
                    <w:tr2bl w:val="nil"/>
                  </w:tcBorders>
                  <w:vAlign w:val="center"/>
                </w:tcPr>
                <w:p w14:paraId="35F34F48">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3</w:t>
                  </w:r>
                </w:p>
              </w:tc>
              <w:tc>
                <w:tcPr>
                  <w:tcW w:w="3660" w:type="dxa"/>
                  <w:tcBorders>
                    <w:tl2br w:val="nil"/>
                    <w:tr2bl w:val="nil"/>
                  </w:tcBorders>
                  <w:vAlign w:val="center"/>
                </w:tcPr>
                <w:p w14:paraId="410C979E">
                  <w:pPr>
                    <w:pStyle w:val="3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该项目</w:t>
                  </w:r>
                  <w:r>
                    <w:rPr>
                      <w:rFonts w:hint="eastAsia" w:ascii="Times New Roman" w:hAnsi="Times New Roman" w:eastAsiaTheme="minorEastAsia"/>
                      <w:color w:val="auto"/>
                      <w:sz w:val="21"/>
                      <w:szCs w:val="21"/>
                      <w:lang w:val="en-US" w:eastAsia="zh-CN"/>
                    </w:rPr>
                    <w:t>废水为</w:t>
                  </w:r>
                  <w:r>
                    <w:rPr>
                      <w:rFonts w:hint="eastAsia" w:ascii="Times New Roman" w:hAnsi="Times New Roman" w:cs="Times New Roman" w:eastAsiaTheme="minorEastAsia"/>
                      <w:color w:val="auto"/>
                      <w:sz w:val="21"/>
                      <w:szCs w:val="21"/>
                    </w:rPr>
                    <w:t>生活污水和待拆车辆存放区初期雨水。生活污水排入防渗旱厕，定期清掏；待拆车辆存放区初期雨水经待拆车辆存放区四周排水沟汇入厂区初期雨水收集池，经油水分离器隔油处理后，用于厂区洒扫降尘。</w:t>
                  </w:r>
                </w:p>
              </w:tc>
              <w:tc>
                <w:tcPr>
                  <w:tcW w:w="3528" w:type="dxa"/>
                  <w:tcBorders>
                    <w:tl2br w:val="nil"/>
                    <w:tr2bl w:val="nil"/>
                  </w:tcBorders>
                  <w:vAlign w:val="center"/>
                </w:tcPr>
                <w:p w14:paraId="62CFBEA4">
                  <w:pPr>
                    <w:pStyle w:val="32"/>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ascii="Times New Roman" w:hAnsi="Times New Roman" w:eastAsiaTheme="minorEastAsia"/>
                      <w:color w:val="auto"/>
                      <w:kern w:val="2"/>
                      <w:sz w:val="21"/>
                      <w:szCs w:val="21"/>
                      <w:lang w:eastAsia="zh-CN"/>
                    </w:rPr>
                  </w:pPr>
                  <w:r>
                    <w:rPr>
                      <w:rFonts w:ascii="Times New Roman" w:hAnsi="Times New Roman" w:eastAsiaTheme="minorEastAsia"/>
                      <w:color w:val="auto"/>
                      <w:sz w:val="21"/>
                      <w:szCs w:val="21"/>
                    </w:rPr>
                    <w:t>该项目</w:t>
                  </w:r>
                  <w:r>
                    <w:rPr>
                      <w:rFonts w:hint="eastAsia" w:ascii="Times New Roman" w:hAnsi="Times New Roman" w:eastAsiaTheme="minorEastAsia"/>
                      <w:color w:val="auto"/>
                      <w:sz w:val="21"/>
                      <w:szCs w:val="21"/>
                      <w:lang w:val="en-US" w:eastAsia="zh-CN"/>
                    </w:rPr>
                    <w:t>废水为</w:t>
                  </w:r>
                  <w:r>
                    <w:rPr>
                      <w:rFonts w:hint="eastAsia" w:ascii="Times New Roman" w:hAnsi="Times New Roman" w:cs="Times New Roman" w:eastAsiaTheme="minorEastAsia"/>
                      <w:color w:val="auto"/>
                      <w:sz w:val="21"/>
                      <w:szCs w:val="21"/>
                    </w:rPr>
                    <w:t>生活污水和待拆车辆存放区初期雨水。生活污水排入防渗旱厕，定期清掏；待拆车辆存放区初期雨水经待拆车辆存放区四周排水沟汇入厂区初期雨水收集池，经油水分离器隔油处理后，用于厂区洒扫降尘</w:t>
                  </w:r>
                  <w:r>
                    <w:rPr>
                      <w:rFonts w:hint="eastAsia" w:ascii="Times New Roman" w:hAnsi="Times New Roman" w:cs="Times New Roman" w:eastAsiaTheme="minorEastAsia"/>
                      <w:color w:val="auto"/>
                      <w:sz w:val="21"/>
                      <w:szCs w:val="21"/>
                      <w:lang w:eastAsia="zh-CN"/>
                    </w:rPr>
                    <w:t>。</w:t>
                  </w:r>
                </w:p>
              </w:tc>
              <w:tc>
                <w:tcPr>
                  <w:tcW w:w="881" w:type="dxa"/>
                  <w:tcBorders>
                    <w:tl2br w:val="nil"/>
                    <w:tr2bl w:val="nil"/>
                  </w:tcBorders>
                  <w:vAlign w:val="center"/>
                </w:tcPr>
                <w:p w14:paraId="59961975">
                  <w:pPr>
                    <w:widowControl/>
                    <w:jc w:val="center"/>
                    <w:rPr>
                      <w:rFonts w:ascii="Times New Roman" w:hAnsi="Times New Roman" w:eastAsiaTheme="minorEastAsia"/>
                      <w:szCs w:val="21"/>
                    </w:rPr>
                  </w:pPr>
                  <w:r>
                    <w:rPr>
                      <w:rFonts w:ascii="Times New Roman" w:hAnsi="Times New Roman" w:eastAsiaTheme="minorEastAsia"/>
                      <w:szCs w:val="21"/>
                    </w:rPr>
                    <w:t>已落实</w:t>
                  </w:r>
                </w:p>
              </w:tc>
            </w:tr>
            <w:tr w14:paraId="60339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705" w:type="dxa"/>
                  <w:tcBorders>
                    <w:tl2br w:val="nil"/>
                    <w:tr2bl w:val="nil"/>
                  </w:tcBorders>
                  <w:vAlign w:val="center"/>
                </w:tcPr>
                <w:p w14:paraId="49E96F81">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4</w:t>
                  </w:r>
                </w:p>
              </w:tc>
              <w:tc>
                <w:tcPr>
                  <w:tcW w:w="3660" w:type="dxa"/>
                  <w:tcBorders>
                    <w:tl2br w:val="nil"/>
                    <w:tr2bl w:val="nil"/>
                  </w:tcBorders>
                  <w:vAlign w:val="center"/>
                </w:tcPr>
                <w:p w14:paraId="000BCB99">
                  <w:pPr>
                    <w:pStyle w:val="32"/>
                    <w:keepNext w:val="0"/>
                    <w:keepLines w:val="0"/>
                    <w:pageBreakBefore w:val="0"/>
                    <w:widowControl w:val="0"/>
                    <w:kinsoku/>
                    <w:wordWrap/>
                    <w:overflowPunct/>
                    <w:topLinePunct w:val="0"/>
                    <w:bidi w:val="0"/>
                    <w:snapToGrid/>
                    <w:spacing w:line="240" w:lineRule="auto"/>
                    <w:ind w:left="0" w:leftChars="0" w:firstLine="0" w:firstLineChars="0"/>
                    <w:textAlignment w:val="auto"/>
                    <w:rPr>
                      <w:rFonts w:ascii="Times New Roman" w:hAnsi="Times New Roman" w:eastAsiaTheme="minorEastAsia"/>
                      <w:color w:val="auto"/>
                      <w:sz w:val="21"/>
                      <w:szCs w:val="21"/>
                    </w:rPr>
                  </w:pPr>
                  <w:r>
                    <w:rPr>
                      <w:rFonts w:hint="eastAsia" w:ascii="Times New Roman" w:hAnsi="Times New Roman" w:cs="Times New Roman" w:eastAsiaTheme="minorEastAsia"/>
                      <w:color w:val="auto"/>
                      <w:sz w:val="21"/>
                      <w:szCs w:val="21"/>
                    </w:rPr>
                    <w:t>项目运营期噪声源要严格落实防噪降噪措施，尽量选用低噪声、低振动机械设备，经减振、消声、隔声处理等降噪措施后，厂界噪声要满足《工业企业厂界环境噪声排放标准》(GB12348-2008)表1中2类标准的要求。</w:t>
                  </w:r>
                </w:p>
              </w:tc>
              <w:tc>
                <w:tcPr>
                  <w:tcW w:w="3528" w:type="dxa"/>
                  <w:tcBorders>
                    <w:tl2br w:val="nil"/>
                    <w:tr2bl w:val="nil"/>
                  </w:tcBorders>
                  <w:vAlign w:val="center"/>
                </w:tcPr>
                <w:p w14:paraId="4888A86F">
                  <w:pPr>
                    <w:pStyle w:val="32"/>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ascii="Times New Roman" w:hAnsi="Times New Roman" w:eastAsiaTheme="minorEastAsia"/>
                      <w:szCs w:val="21"/>
                    </w:rPr>
                  </w:pPr>
                  <w:r>
                    <w:rPr>
                      <w:rFonts w:hint="eastAsia" w:ascii="Times New Roman" w:hAnsi="Times New Roman" w:cs="Times New Roman" w:eastAsiaTheme="minorEastAsia"/>
                      <w:color w:val="auto"/>
                      <w:sz w:val="21"/>
                      <w:szCs w:val="21"/>
                    </w:rPr>
                    <w:t>项目运营期噪声源要严格落实防噪降噪措施，尽量选用低噪声、低振动机械设备，经减振、消声、隔声处理等降噪措施后，厂界噪声要满足《工业企业厂界环境噪声排放标准》(GB12348-2008)表1中2类标准的要求。</w:t>
                  </w:r>
                </w:p>
              </w:tc>
              <w:tc>
                <w:tcPr>
                  <w:tcW w:w="881" w:type="dxa"/>
                  <w:tcBorders>
                    <w:tl2br w:val="nil"/>
                    <w:tr2bl w:val="nil"/>
                  </w:tcBorders>
                  <w:vAlign w:val="center"/>
                </w:tcPr>
                <w:p w14:paraId="54912B36">
                  <w:pPr>
                    <w:widowControl/>
                    <w:jc w:val="center"/>
                    <w:rPr>
                      <w:rFonts w:ascii="Times New Roman" w:hAnsi="Times New Roman" w:eastAsiaTheme="minorEastAsia"/>
                      <w:szCs w:val="21"/>
                    </w:rPr>
                  </w:pPr>
                  <w:r>
                    <w:rPr>
                      <w:rFonts w:ascii="Times New Roman" w:hAnsi="Times New Roman" w:eastAsiaTheme="minorEastAsia"/>
                      <w:szCs w:val="21"/>
                    </w:rPr>
                    <w:t>已落实</w:t>
                  </w:r>
                </w:p>
              </w:tc>
            </w:tr>
            <w:tr w14:paraId="08790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705" w:type="dxa"/>
                  <w:tcBorders>
                    <w:tl2br w:val="nil"/>
                    <w:tr2bl w:val="nil"/>
                  </w:tcBorders>
                  <w:vAlign w:val="center"/>
                </w:tcPr>
                <w:p w14:paraId="365EDCFC">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5</w:t>
                  </w:r>
                </w:p>
              </w:tc>
              <w:tc>
                <w:tcPr>
                  <w:tcW w:w="3660" w:type="dxa"/>
                  <w:tcBorders>
                    <w:tl2br w:val="nil"/>
                    <w:tr2bl w:val="nil"/>
                  </w:tcBorders>
                  <w:vAlign w:val="center"/>
                </w:tcPr>
                <w:p w14:paraId="70508A95">
                  <w:pPr>
                    <w:pStyle w:val="26"/>
                    <w:jc w:val="both"/>
                    <w:rPr>
                      <w:rFonts w:hint="eastAsia" w:ascii="Times New Roman" w:hAnsi="Times New Roman" w:eastAsiaTheme="minorEastAsia"/>
                      <w:color w:val="auto"/>
                      <w:sz w:val="21"/>
                      <w:szCs w:val="21"/>
                      <w:lang w:eastAsia="zh-CN"/>
                    </w:rPr>
                  </w:pPr>
                  <w:r>
                    <w:rPr>
                      <w:rFonts w:ascii="Times New Roman" w:hAnsi="Times New Roman" w:eastAsiaTheme="minorEastAsia"/>
                      <w:color w:val="auto"/>
                      <w:sz w:val="21"/>
                      <w:szCs w:val="21"/>
                    </w:rPr>
                    <w:t>把控固体废物污染措施。项目固体废物主要为生活垃圾、一般固废及危险废物。</w:t>
                  </w:r>
                  <w:r>
                    <w:rPr>
                      <w:rFonts w:hint="eastAsia" w:ascii="Times New Roman" w:hAnsi="Times New Roman" w:cs="Times New Roman" w:eastAsiaTheme="minorEastAsia"/>
                      <w:color w:val="auto"/>
                      <w:sz w:val="21"/>
                      <w:szCs w:val="21"/>
                    </w:rPr>
                    <w:t>生活垃圾：集中收集，由市政环卫部门统一清运处理；一般固体废物：移动式布袋除尘器会收集一定量的粉尘，主要成分为金属尘，集中收集，外售综合利用</w:t>
                  </w:r>
                  <w:r>
                    <w:rPr>
                      <w:rFonts w:hint="eastAsia" w:ascii="Times New Roman" w:hAnsi="Times New Roman" w:cs="Times New Roman" w:eastAsiaTheme="minorEastAsia"/>
                      <w:color w:val="auto"/>
                      <w:sz w:val="21"/>
                      <w:szCs w:val="21"/>
                      <w:lang w:eastAsia="zh-CN"/>
                    </w:rPr>
                    <w:t>。</w:t>
                  </w:r>
                  <w:r>
                    <w:rPr>
                      <w:rFonts w:hint="eastAsia" w:ascii="Times New Roman" w:hAnsi="Times New Roman" w:cs="Times New Roman" w:eastAsiaTheme="minorEastAsia"/>
                      <w:color w:val="auto"/>
                      <w:sz w:val="21"/>
                      <w:szCs w:val="21"/>
                    </w:rPr>
                    <w:t>拆解过程中产生的各种电子电器部件(包括仪表盘、电动机和发电机、电线电缆以及其他电子电器，不再进一步拆解),集中收集，交由有废弃电子产品处理资格的企业进行处置。不可利用废物集中收集，由市政部门统一清运</w:t>
                  </w:r>
                  <w:r>
                    <w:rPr>
                      <w:rFonts w:hint="eastAsia" w:ascii="Times New Roman" w:hAnsi="Times New Roman" w:cs="Times New Roman" w:eastAsiaTheme="minorEastAsia"/>
                      <w:color w:val="auto"/>
                      <w:sz w:val="21"/>
                      <w:szCs w:val="21"/>
                      <w:lang w:eastAsia="zh-CN"/>
                    </w:rPr>
                    <w:t>。</w:t>
                  </w:r>
                </w:p>
              </w:tc>
              <w:tc>
                <w:tcPr>
                  <w:tcW w:w="3528" w:type="dxa"/>
                  <w:tcBorders>
                    <w:tl2br w:val="nil"/>
                    <w:tr2bl w:val="nil"/>
                  </w:tcBorders>
                  <w:vAlign w:val="center"/>
                </w:tcPr>
                <w:p w14:paraId="5CE16A91">
                  <w:pPr>
                    <w:rPr>
                      <w:rFonts w:ascii="Times New Roman" w:hAnsi="Times New Roman" w:eastAsiaTheme="minorEastAsia"/>
                      <w:szCs w:val="21"/>
                    </w:rPr>
                  </w:pPr>
                  <w:r>
                    <w:rPr>
                      <w:rFonts w:ascii="Times New Roman" w:hAnsi="Times New Roman" w:eastAsiaTheme="minorEastAsia"/>
                      <w:color w:val="auto"/>
                      <w:sz w:val="21"/>
                      <w:szCs w:val="21"/>
                    </w:rPr>
                    <w:t>把控固体废物污染措施。项目固体废物主要为生活垃圾、一般固废及危险废物。</w:t>
                  </w:r>
                  <w:r>
                    <w:rPr>
                      <w:rFonts w:hint="eastAsia" w:ascii="Times New Roman" w:hAnsi="Times New Roman" w:cs="Times New Roman" w:eastAsiaTheme="minorEastAsia"/>
                      <w:color w:val="auto"/>
                      <w:sz w:val="21"/>
                      <w:szCs w:val="21"/>
                    </w:rPr>
                    <w:t>生活垃圾：集中收集，由市政环卫部门统一清运处理；一般固体废物：布袋除尘器会收集一定量的粉尘，主要成分为金属尘，集中收集，外售综合利用</w:t>
                  </w:r>
                  <w:r>
                    <w:rPr>
                      <w:rFonts w:hint="eastAsia" w:ascii="Times New Roman" w:hAnsi="Times New Roman" w:cs="Times New Roman" w:eastAsiaTheme="minorEastAsia"/>
                      <w:color w:val="auto"/>
                      <w:sz w:val="21"/>
                      <w:szCs w:val="21"/>
                      <w:lang w:eastAsia="zh-CN"/>
                    </w:rPr>
                    <w:t>。</w:t>
                  </w:r>
                  <w:r>
                    <w:rPr>
                      <w:rFonts w:hint="eastAsia" w:ascii="Times New Roman" w:hAnsi="Times New Roman" w:cs="Times New Roman" w:eastAsiaTheme="minorEastAsia"/>
                      <w:color w:val="auto"/>
                      <w:sz w:val="21"/>
                      <w:szCs w:val="21"/>
                    </w:rPr>
                    <w:t>拆解过程中产生的各种电子电器部件(包括仪表盘、电动机和发电机、电线电缆以及其他电子电器，不再进一步拆解),集中收集，交由有废弃电子产品处理资格的企业进行处置。不可利用废物集中收集，由市政部门统一清运</w:t>
                  </w:r>
                  <w:r>
                    <w:rPr>
                      <w:rFonts w:hint="eastAsia" w:ascii="Times New Roman" w:hAnsi="Times New Roman" w:cs="Times New Roman" w:eastAsiaTheme="minorEastAsia"/>
                      <w:color w:val="auto"/>
                      <w:sz w:val="21"/>
                      <w:szCs w:val="21"/>
                      <w:lang w:eastAsia="zh-CN"/>
                    </w:rPr>
                    <w:t>。</w:t>
                  </w:r>
                </w:p>
              </w:tc>
              <w:tc>
                <w:tcPr>
                  <w:tcW w:w="881" w:type="dxa"/>
                  <w:tcBorders>
                    <w:tl2br w:val="nil"/>
                    <w:tr2bl w:val="nil"/>
                  </w:tcBorders>
                  <w:vAlign w:val="center"/>
                </w:tcPr>
                <w:p w14:paraId="4EC22101">
                  <w:pPr>
                    <w:widowControl/>
                    <w:jc w:val="center"/>
                    <w:rPr>
                      <w:rFonts w:ascii="Times New Roman" w:hAnsi="Times New Roman" w:eastAsiaTheme="minorEastAsia"/>
                      <w:szCs w:val="21"/>
                    </w:rPr>
                  </w:pPr>
                  <w:r>
                    <w:rPr>
                      <w:rFonts w:ascii="Times New Roman" w:hAnsi="Times New Roman" w:eastAsiaTheme="minorEastAsia"/>
                      <w:szCs w:val="21"/>
                    </w:rPr>
                    <w:t>已落实</w:t>
                  </w:r>
                </w:p>
              </w:tc>
            </w:tr>
            <w:tr w14:paraId="40FF9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705" w:type="dxa"/>
                  <w:tcBorders>
                    <w:tl2br w:val="nil"/>
                    <w:tr2bl w:val="nil"/>
                  </w:tcBorders>
                  <w:vAlign w:val="center"/>
                </w:tcPr>
                <w:p w14:paraId="25D59736">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6</w:t>
                  </w:r>
                </w:p>
              </w:tc>
              <w:tc>
                <w:tcPr>
                  <w:tcW w:w="3660" w:type="dxa"/>
                  <w:tcBorders>
                    <w:tl2br w:val="nil"/>
                    <w:tr2bl w:val="nil"/>
                  </w:tcBorders>
                  <w:vAlign w:val="center"/>
                </w:tcPr>
                <w:p w14:paraId="0E16A892">
                  <w:pPr>
                    <w:pStyle w:val="26"/>
                    <w:jc w:val="both"/>
                    <w:rPr>
                      <w:rFonts w:ascii="Times New Roman" w:hAnsi="Times New Roman" w:eastAsiaTheme="minorEastAsia"/>
                      <w:color w:val="auto"/>
                      <w:sz w:val="21"/>
                      <w:szCs w:val="21"/>
                    </w:rPr>
                  </w:pPr>
                  <w:r>
                    <w:rPr>
                      <w:rFonts w:hint="eastAsia" w:ascii="Times New Roman" w:hAnsi="Times New Roman" w:cs="Times New Roman" w:eastAsiaTheme="minorEastAsia"/>
                      <w:color w:val="auto"/>
                      <w:sz w:val="21"/>
                      <w:szCs w:val="21"/>
                    </w:rPr>
                    <w:t>危险废物：项目新建一座危险废物贮存库。危险废物进行分类堆放，不同危险废物堆放保持有一定的间距，不相容的危险废物堆放区必须有隔离区隔断，必须有泄漏液体收集装置、气体导出口及气体净化装置，有明显的危险废物识别标志，定期委托有资质单位回收处理。要满足《危险废物贮存污染控制标准》(GB18597-2023)中相关要求。</w:t>
                  </w:r>
                </w:p>
              </w:tc>
              <w:tc>
                <w:tcPr>
                  <w:tcW w:w="3528" w:type="dxa"/>
                  <w:tcBorders>
                    <w:tl2br w:val="nil"/>
                    <w:tr2bl w:val="nil"/>
                  </w:tcBorders>
                  <w:vAlign w:val="center"/>
                </w:tcPr>
                <w:p w14:paraId="164D9420">
                  <w:pPr>
                    <w:rPr>
                      <w:rFonts w:ascii="Times New Roman" w:hAnsi="Times New Roman" w:eastAsiaTheme="minorEastAsia"/>
                      <w:szCs w:val="21"/>
                    </w:rPr>
                  </w:pPr>
                  <w:r>
                    <w:rPr>
                      <w:rFonts w:hint="eastAsia" w:ascii="Times New Roman" w:hAnsi="Times New Roman" w:cs="Times New Roman" w:eastAsiaTheme="minorEastAsia"/>
                      <w:color w:val="auto"/>
                      <w:sz w:val="21"/>
                      <w:szCs w:val="21"/>
                    </w:rPr>
                    <w:t>危险废物：项目新建一座危险废物贮存库。危险废物进行分类堆放，不同危险废物堆放保持有一定的间距，不相容的危险废物堆放区必须有隔离区隔断，必须有泄漏液体收集装置、气体导出口及气体净化装置，有明显的危险废物识别标志，定期委托有资质单位回收处理。要满足《危险废物贮存污染控制标准》(GB18597-2023)中相关要求。</w:t>
                  </w:r>
                </w:p>
              </w:tc>
              <w:tc>
                <w:tcPr>
                  <w:tcW w:w="881" w:type="dxa"/>
                  <w:tcBorders>
                    <w:tl2br w:val="nil"/>
                    <w:tr2bl w:val="nil"/>
                  </w:tcBorders>
                  <w:vAlign w:val="center"/>
                </w:tcPr>
                <w:p w14:paraId="3938541C">
                  <w:pPr>
                    <w:widowControl/>
                    <w:jc w:val="center"/>
                    <w:rPr>
                      <w:rFonts w:ascii="Times New Roman" w:hAnsi="Times New Roman" w:eastAsiaTheme="minorEastAsia"/>
                      <w:szCs w:val="21"/>
                    </w:rPr>
                  </w:pPr>
                  <w:r>
                    <w:rPr>
                      <w:rFonts w:ascii="Times New Roman" w:hAnsi="Times New Roman" w:eastAsiaTheme="minorEastAsia"/>
                      <w:szCs w:val="21"/>
                    </w:rPr>
                    <w:t>已落实</w:t>
                  </w:r>
                </w:p>
              </w:tc>
            </w:tr>
            <w:tr w14:paraId="5FB17B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705" w:type="dxa"/>
                  <w:tcBorders>
                    <w:tl2br w:val="nil"/>
                    <w:tr2bl w:val="nil"/>
                  </w:tcBorders>
                  <w:vAlign w:val="center"/>
                </w:tcPr>
                <w:p w14:paraId="42D7BEDC">
                  <w:pPr>
                    <w:pStyle w:val="26"/>
                    <w:jc w:val="both"/>
                    <w:rPr>
                      <w:rFonts w:hint="eastAsia" w:ascii="Times New Roman" w:hAnsi="Times New Roman" w:eastAsiaTheme="minorEastAsia"/>
                      <w:color w:val="auto"/>
                      <w:sz w:val="21"/>
                      <w:szCs w:val="21"/>
                      <w:lang w:val="en-US" w:eastAsia="zh-CN"/>
                    </w:rPr>
                  </w:pPr>
                  <w:r>
                    <w:rPr>
                      <w:rFonts w:hint="eastAsia" w:ascii="Times New Roman" w:hAnsi="Times New Roman" w:eastAsiaTheme="minorEastAsia"/>
                      <w:color w:val="auto"/>
                      <w:sz w:val="21"/>
                      <w:szCs w:val="21"/>
                      <w:lang w:val="en-US" w:eastAsia="zh-CN"/>
                    </w:rPr>
                    <w:t>7</w:t>
                  </w:r>
                </w:p>
              </w:tc>
              <w:tc>
                <w:tcPr>
                  <w:tcW w:w="3660" w:type="dxa"/>
                  <w:tcBorders>
                    <w:tl2br w:val="nil"/>
                    <w:tr2bl w:val="nil"/>
                  </w:tcBorders>
                  <w:vAlign w:val="center"/>
                </w:tcPr>
                <w:p w14:paraId="69C1DDE7">
                  <w:pPr>
                    <w:pStyle w:val="26"/>
                    <w:jc w:val="both"/>
                    <w:rPr>
                      <w:rFonts w:ascii="Times New Roman" w:hAnsi="Times New Roman" w:eastAsiaTheme="minorEastAsia"/>
                      <w:color w:val="auto"/>
                      <w:sz w:val="21"/>
                      <w:szCs w:val="21"/>
                    </w:rPr>
                  </w:pPr>
                  <w:r>
                    <w:rPr>
                      <w:rFonts w:ascii="Times New Roman" w:hAnsi="Times New Roman" w:eastAsiaTheme="minorEastAsia"/>
                      <w:color w:val="auto"/>
                      <w:sz w:val="21"/>
                      <w:szCs w:val="21"/>
                    </w:rPr>
                    <w:t>本项目建设要严格执行环境保护设施与主体工程同时设计、同时施工、同时投产使用的环境保护“三同时”制度。在启动生产设施或者在实际排污之前，建设单位应依法申请取得排污许可证或者填报排污登记表。项目建成后，应按规定程序申请竣工环境保护验收。经验收合格后，方可正式投入运营。</w:t>
                  </w:r>
                </w:p>
              </w:tc>
              <w:tc>
                <w:tcPr>
                  <w:tcW w:w="3528" w:type="dxa"/>
                  <w:tcBorders>
                    <w:tl2br w:val="nil"/>
                    <w:tr2bl w:val="nil"/>
                  </w:tcBorders>
                  <w:vAlign w:val="center"/>
                </w:tcPr>
                <w:p w14:paraId="4D6ADAE8">
                  <w:pPr>
                    <w:rPr>
                      <w:rFonts w:ascii="Times New Roman" w:hAnsi="Times New Roman" w:eastAsiaTheme="minorEastAsia"/>
                      <w:szCs w:val="21"/>
                    </w:rPr>
                  </w:pPr>
                  <w:r>
                    <w:rPr>
                      <w:rFonts w:ascii="Times New Roman" w:hAnsi="Times New Roman" w:eastAsiaTheme="minorEastAsia"/>
                      <w:szCs w:val="21"/>
                    </w:rPr>
                    <w:t>本项目建设要严格执行环境保护设施与主体工程同时设计、同时施工、同时投产使用的环境保护“三同时”制度。在启动生产设施或者在实际排污之前，建设单位应依法申请取得排污许可证或者填报排污登记表。项目建成后，应按规定程序申请竣工环境保护验收。经验收合格后，方可正式投入运营。</w:t>
                  </w:r>
                </w:p>
              </w:tc>
              <w:tc>
                <w:tcPr>
                  <w:tcW w:w="881" w:type="dxa"/>
                  <w:tcBorders>
                    <w:tl2br w:val="nil"/>
                    <w:tr2bl w:val="nil"/>
                  </w:tcBorders>
                  <w:vAlign w:val="center"/>
                </w:tcPr>
                <w:p w14:paraId="175CD704">
                  <w:pPr>
                    <w:widowControl/>
                    <w:jc w:val="center"/>
                    <w:rPr>
                      <w:rFonts w:ascii="Times New Roman" w:hAnsi="Times New Roman" w:eastAsiaTheme="minorEastAsia"/>
                      <w:szCs w:val="21"/>
                    </w:rPr>
                  </w:pPr>
                  <w:r>
                    <w:rPr>
                      <w:rFonts w:ascii="Times New Roman" w:hAnsi="Times New Roman" w:eastAsiaTheme="minorEastAsia"/>
                      <w:szCs w:val="21"/>
                    </w:rPr>
                    <w:t>已落实</w:t>
                  </w:r>
                </w:p>
              </w:tc>
            </w:tr>
          </w:tbl>
          <w:p w14:paraId="572F5FEA">
            <w:pPr>
              <w:pStyle w:val="26"/>
              <w:keepNext w:val="0"/>
              <w:keepLines w:val="0"/>
              <w:pageBreakBefore w:val="0"/>
              <w:widowControl w:val="0"/>
              <w:kinsoku/>
              <w:wordWrap/>
              <w:overflowPunct/>
              <w:topLinePunct w:val="0"/>
              <w:autoSpaceDE w:val="0"/>
              <w:autoSpaceDN w:val="0"/>
              <w:bidi w:val="0"/>
              <w:adjustRightInd w:val="0"/>
              <w:snapToGrid/>
              <w:spacing w:before="144" w:beforeLines="50" w:line="360" w:lineRule="auto"/>
              <w:jc w:val="both"/>
              <w:textAlignment w:val="auto"/>
              <w:outlineLvl w:val="1"/>
              <w:rPr>
                <w:rFonts w:ascii="Times New Roman" w:hAnsi="Times New Roman" w:eastAsiaTheme="minorEastAsia"/>
                <w:b/>
                <w:bCs/>
                <w:color w:val="auto"/>
                <w:highlight w:val="yellow"/>
              </w:rPr>
            </w:pPr>
            <w:bookmarkStart w:id="63" w:name="_Toc29582"/>
            <w:r>
              <w:rPr>
                <w:rFonts w:ascii="Times New Roman" w:hAnsi="Times New Roman" w:eastAsiaTheme="minorEastAsia"/>
                <w:b/>
                <w:bCs/>
                <w:color w:val="auto"/>
                <w:highlight w:val="none"/>
              </w:rPr>
              <w:t>二、固体废物处置及综合利用检查</w:t>
            </w:r>
          </w:p>
          <w:p w14:paraId="1A635E52">
            <w:pPr>
              <w:pStyle w:val="74"/>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Theme="minorEastAsia"/>
                <w:color w:val="FF0000"/>
                <w:sz w:val="24"/>
                <w:szCs w:val="24"/>
              </w:rPr>
            </w:pPr>
            <w:r>
              <w:rPr>
                <w:rFonts w:hint="eastAsia" w:ascii="Times New Roman" w:hAnsi="Times New Roman" w:cs="Times New Roman" w:eastAsiaTheme="minorEastAsia"/>
                <w:bCs/>
                <w:kern w:val="24"/>
                <w:sz w:val="24"/>
                <w:lang w:val="en-US" w:eastAsia="zh-CN"/>
              </w:rPr>
              <w:t>运营期</w:t>
            </w:r>
            <w:r>
              <w:rPr>
                <w:rFonts w:ascii="Times New Roman" w:hAnsi="Times New Roman" w:cs="Times New Roman" w:eastAsiaTheme="minorEastAsia"/>
                <w:bCs/>
                <w:kern w:val="24"/>
                <w:sz w:val="24"/>
              </w:rPr>
              <w:t>职工生活垃圾、</w:t>
            </w:r>
            <w:r>
              <w:rPr>
                <w:rFonts w:hint="eastAsia" w:ascii="Times New Roman" w:hAnsi="Times New Roman" w:cs="Times New Roman" w:eastAsiaTheme="minorEastAsia"/>
                <w:bCs/>
                <w:kern w:val="24"/>
                <w:sz w:val="24"/>
                <w:lang w:val="en-US" w:eastAsia="zh-CN"/>
              </w:rPr>
              <w:t>泥土、</w:t>
            </w:r>
            <w:r>
              <w:rPr>
                <w:rFonts w:ascii="Times New Roman" w:hAnsi="Times New Roman" w:cs="Times New Roman" w:eastAsiaTheme="minorEastAsia"/>
                <w:bCs/>
                <w:kern w:val="24"/>
                <w:sz w:val="24"/>
              </w:rPr>
              <w:t>不可利用废物</w:t>
            </w:r>
            <w:r>
              <w:rPr>
                <w:rFonts w:hint="eastAsia" w:ascii="Times New Roman" w:hAnsi="Times New Roman" w:cs="Times New Roman" w:eastAsiaTheme="minorEastAsia"/>
                <w:bCs/>
                <w:kern w:val="24"/>
                <w:sz w:val="24"/>
                <w:lang w:val="en-US" w:eastAsia="zh-CN"/>
              </w:rPr>
              <w:t>主要为</w:t>
            </w:r>
            <w:r>
              <w:rPr>
                <w:color w:val="auto"/>
              </w:rPr>
              <w:t>废棉、麻织物、废海绵、废皮革等集中收集，由市政部门统一清运。</w:t>
            </w:r>
            <w:r>
              <w:rPr>
                <w:rFonts w:ascii="Times New Roman" w:hAnsi="Times New Roman" w:cs="Times New Roman" w:eastAsiaTheme="minorEastAsia"/>
                <w:bCs/>
                <w:kern w:val="24"/>
                <w:sz w:val="24"/>
              </w:rPr>
              <w:t>废蓄电池</w:t>
            </w:r>
            <w:r>
              <w:rPr>
                <w:rFonts w:hint="eastAsia" w:ascii="Times New Roman" w:hAnsi="Times New Roman" w:cs="Times New Roman" w:eastAsiaTheme="minorEastAsia"/>
                <w:bCs/>
                <w:kern w:val="24"/>
                <w:sz w:val="24"/>
                <w:lang w:eastAsia="zh-CN"/>
              </w:rPr>
              <w:t>、</w:t>
            </w:r>
            <w:r>
              <w:rPr>
                <w:rFonts w:ascii="Times New Roman" w:hAnsi="Times New Roman" w:cs="Times New Roman" w:eastAsiaTheme="minorEastAsia"/>
                <w:bCs/>
                <w:kern w:val="24"/>
                <w:sz w:val="24"/>
              </w:rPr>
              <w:t>废油液</w:t>
            </w:r>
            <w:r>
              <w:rPr>
                <w:rFonts w:hint="eastAsia" w:ascii="Times New Roman" w:hAnsi="Times New Roman" w:cs="Times New Roman" w:eastAsiaTheme="minorEastAsia"/>
                <w:bCs/>
                <w:kern w:val="24"/>
                <w:sz w:val="24"/>
                <w:lang w:eastAsia="zh-CN"/>
              </w:rPr>
              <w:t>，</w:t>
            </w:r>
            <w:r>
              <w:rPr>
                <w:rFonts w:ascii="Times New Roman" w:hAnsi="Times New Roman" w:cs="Times New Roman" w:eastAsiaTheme="minorEastAsia"/>
                <w:bCs/>
                <w:kern w:val="24"/>
                <w:sz w:val="24"/>
              </w:rPr>
              <w:t>废电容器</w:t>
            </w:r>
            <w:r>
              <w:rPr>
                <w:rFonts w:hint="eastAsia" w:ascii="Times New Roman" w:hAnsi="Times New Roman" w:cs="Times New Roman" w:eastAsiaTheme="minorEastAsia"/>
                <w:bCs/>
                <w:kern w:val="24"/>
                <w:sz w:val="24"/>
                <w:lang w:eastAsia="zh-CN"/>
              </w:rPr>
              <w:t>、</w:t>
            </w:r>
            <w:r>
              <w:rPr>
                <w:rFonts w:hint="eastAsia" w:ascii="Times New Roman" w:hAnsi="Times New Roman" w:cs="Times New Roman" w:eastAsiaTheme="minorEastAsia"/>
                <w:bCs/>
                <w:kern w:val="24"/>
                <w:sz w:val="24"/>
                <w:lang w:val="en-US" w:eastAsia="zh-CN"/>
              </w:rPr>
              <w:t>废活性炭、石棉废物、</w:t>
            </w:r>
            <w:r>
              <w:rPr>
                <w:rFonts w:ascii="Times New Roman" w:hAnsi="Times New Roman" w:cs="Times New Roman" w:eastAsiaTheme="minorEastAsia"/>
                <w:bCs/>
                <w:kern w:val="24"/>
                <w:sz w:val="24"/>
              </w:rPr>
              <w:t>沾有油污的手套、抹布、废墩布</w:t>
            </w:r>
            <w:r>
              <w:rPr>
                <w:rFonts w:ascii="Times New Roman" w:hAnsi="Times New Roman" w:eastAsiaTheme="minorEastAsia"/>
                <w:sz w:val="24"/>
              </w:rPr>
              <w:t>等属于危险废物</w:t>
            </w:r>
            <w:r>
              <w:rPr>
                <w:rFonts w:hint="eastAsia" w:ascii="Times New Roman" w:hAnsi="Times New Roman" w:eastAsiaTheme="minorEastAsia"/>
                <w:sz w:val="24"/>
                <w:lang w:eastAsia="zh-CN"/>
              </w:rPr>
              <w:t>，</w:t>
            </w:r>
            <w:r>
              <w:rPr>
                <w:rFonts w:hint="eastAsia"/>
                <w:bCs/>
                <w:color w:val="auto"/>
                <w:szCs w:val="21"/>
                <w:lang w:val="en-US" w:eastAsia="zh-CN"/>
              </w:rPr>
              <w:t>暂存于危险废物贮存库内。</w:t>
            </w:r>
            <w:r>
              <w:rPr>
                <w:rFonts w:ascii="Times New Roman" w:hAnsi="Times New Roman" w:cs="Times New Roman" w:eastAsiaTheme="minorEastAsia"/>
                <w:bCs/>
                <w:kern w:val="24"/>
                <w:sz w:val="24"/>
              </w:rPr>
              <w:t>废防冻液</w:t>
            </w:r>
            <w:r>
              <w:rPr>
                <w:rFonts w:hint="eastAsia"/>
                <w:color w:val="auto"/>
              </w:rPr>
              <w:t>经分类收集后暂存于废油液暂存间</w:t>
            </w:r>
            <w:r>
              <w:rPr>
                <w:rFonts w:hint="eastAsia"/>
                <w:color w:val="auto"/>
                <w:lang w:eastAsia="zh-CN"/>
              </w:rPr>
              <w:t>。</w:t>
            </w:r>
            <w:r>
              <w:rPr>
                <w:rFonts w:hint="eastAsia"/>
                <w:bCs/>
                <w:color w:val="auto"/>
                <w:szCs w:val="21"/>
                <w:lang w:val="en-US" w:eastAsia="zh-CN"/>
              </w:rPr>
              <w:t>废塑料机油桶、废铁质机油桶、废矿物油滤芯、废油漆桶委托佳木斯恒坤废旧物资回收有限公司处置。废防冻液、废石棉</w:t>
            </w:r>
            <w:r>
              <w:rPr>
                <w:rFonts w:ascii="Times New Roman" w:hAnsi="Times New Roman" w:eastAsiaTheme="minorEastAsia"/>
                <w:sz w:val="24"/>
              </w:rPr>
              <w:t>委托黑龙江京盛华环保科技有限公司处置</w:t>
            </w:r>
            <w:r>
              <w:rPr>
                <w:rFonts w:hint="eastAsia" w:ascii="Times New Roman" w:hAnsi="Times New Roman" w:eastAsiaTheme="minorEastAsia"/>
                <w:sz w:val="24"/>
                <w:lang w:eastAsia="zh-CN"/>
              </w:rPr>
              <w:t>。</w:t>
            </w:r>
            <w:r>
              <w:rPr>
                <w:rFonts w:hint="eastAsia" w:ascii="Times New Roman" w:hAnsi="Times New Roman" w:eastAsiaTheme="minorEastAsia"/>
                <w:sz w:val="24"/>
                <w:lang w:val="en-US" w:eastAsia="zh-CN"/>
              </w:rPr>
              <w:t>废铅蓄电池</w:t>
            </w:r>
            <w:r>
              <w:rPr>
                <w:rFonts w:ascii="Times New Roman" w:hAnsi="Times New Roman" w:eastAsiaTheme="minorEastAsia"/>
                <w:sz w:val="24"/>
              </w:rPr>
              <w:t>委托</w:t>
            </w:r>
            <w:r>
              <w:rPr>
                <w:rFonts w:hint="eastAsia" w:ascii="Times New Roman" w:hAnsi="Times New Roman" w:eastAsiaTheme="minorEastAsia"/>
                <w:sz w:val="24"/>
              </w:rPr>
              <w:t>佳木斯凯亮再生资源回收有限公司</w:t>
            </w:r>
            <w:r>
              <w:rPr>
                <w:rFonts w:ascii="Times New Roman" w:hAnsi="Times New Roman" w:eastAsiaTheme="minorEastAsia"/>
                <w:sz w:val="24"/>
              </w:rPr>
              <w:t>处置</w:t>
            </w:r>
            <w:r>
              <w:rPr>
                <w:rFonts w:hint="eastAsia" w:ascii="Times New Roman" w:hAnsi="Times New Roman" w:eastAsiaTheme="minorEastAsia"/>
                <w:sz w:val="24"/>
                <w:lang w:eastAsia="zh-CN"/>
              </w:rPr>
              <w:t>。</w:t>
            </w:r>
            <w:bookmarkEnd w:id="63"/>
          </w:p>
        </w:tc>
      </w:tr>
    </w:tbl>
    <w:p w14:paraId="175ECB86">
      <w:pPr>
        <w:outlineLvl w:val="0"/>
        <w:rPr>
          <w:rFonts w:ascii="Times New Roman" w:hAnsi="Times New Roman" w:eastAsiaTheme="minorEastAsia"/>
          <w:b/>
          <w:bCs/>
          <w:color w:val="FF0000"/>
          <w:sz w:val="28"/>
          <w:szCs w:val="28"/>
        </w:rPr>
        <w:sectPr>
          <w:footerReference r:id="rId5" w:type="default"/>
          <w:pgSz w:w="11907" w:h="16840"/>
          <w:pgMar w:top="1304" w:right="1531" w:bottom="1304" w:left="1531" w:header="284" w:footer="851" w:gutter="0"/>
          <w:cols w:space="720" w:num="1"/>
          <w:docGrid w:linePitch="286" w:charSpace="0"/>
        </w:sectPr>
      </w:pPr>
      <w:bookmarkStart w:id="64" w:name="_Toc36153658"/>
      <w:bookmarkStart w:id="65" w:name="_Toc2612"/>
      <w:bookmarkStart w:id="66" w:name="_Toc10574"/>
      <w:bookmarkStart w:id="67" w:name="_Toc116952712"/>
      <w:bookmarkStart w:id="68" w:name="_Toc12426"/>
      <w:bookmarkStart w:id="69" w:name="_Toc21841"/>
      <w:bookmarkStart w:id="70" w:name="_Toc16216"/>
      <w:bookmarkStart w:id="71" w:name="_Toc29574"/>
      <w:bookmarkStart w:id="72" w:name="_Toc25822"/>
      <w:bookmarkStart w:id="73" w:name="_Toc8082"/>
      <w:bookmarkStart w:id="74" w:name="_Toc117141411"/>
      <w:bookmarkStart w:id="75" w:name="_Toc113675814"/>
      <w:bookmarkStart w:id="76" w:name="_Toc143657506"/>
      <w:bookmarkStart w:id="77" w:name="_Toc29244"/>
      <w:bookmarkStart w:id="78" w:name="_Toc4040"/>
      <w:bookmarkStart w:id="79" w:name="_Toc4056"/>
      <w:bookmarkStart w:id="80" w:name="_Toc113674657"/>
      <w:bookmarkStart w:id="81" w:name="_Toc114640586"/>
      <w:bookmarkStart w:id="82" w:name="_Toc28843"/>
      <w:bookmarkStart w:id="83" w:name="_Toc26682"/>
      <w:bookmarkStart w:id="84" w:name="_Toc23018"/>
    </w:p>
    <w:p w14:paraId="1570259F">
      <w:pPr>
        <w:outlineLvl w:val="0"/>
        <w:rPr>
          <w:rFonts w:ascii="Times New Roman" w:hAnsi="Times New Roman" w:eastAsiaTheme="minorEastAsia"/>
          <w:b/>
          <w:bCs/>
          <w:sz w:val="28"/>
          <w:szCs w:val="28"/>
        </w:rPr>
      </w:pPr>
      <w:r>
        <w:rPr>
          <w:rFonts w:ascii="Times New Roman" w:hAnsi="Times New Roman" w:eastAsiaTheme="minorEastAsia"/>
          <w:b/>
          <w:bCs/>
          <w:sz w:val="28"/>
          <w:szCs w:val="28"/>
        </w:rPr>
        <w:t>表十其他需要说明的事项</w:t>
      </w:r>
      <w:bookmarkEnd w:id="64"/>
    </w:p>
    <w:tbl>
      <w:tblPr>
        <w:tblStyle w:val="23"/>
        <w:tblW w:w="9000"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0"/>
      </w:tblGrid>
      <w:tr w14:paraId="17B8B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3" w:hRule="atLeast"/>
        </w:trPr>
        <w:tc>
          <w:tcPr>
            <w:tcW w:w="9000" w:type="dxa"/>
          </w:tcPr>
          <w:p w14:paraId="0A6001C2">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一、环境保护设施设计、施工和验收过程简况</w:t>
            </w:r>
          </w:p>
          <w:p w14:paraId="20301D69">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1、施工简况：</w:t>
            </w:r>
          </w:p>
          <w:p w14:paraId="70E505E1">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项目施工前，建设单位委托相关单位依据环评文件要求完成了废气、废水、噪声及固废治理措施的设计。施工期施工单位在扬尘控制、运输车辆尾气，施工废水及施工人员生活污水，噪声，建筑垃圾及包装废物等方面都采取了有效的环保措施，基本达到预期的防治效果。施工过程中施工单位依据设计文件完成了废气、噪声设施的建设。</w:t>
            </w:r>
          </w:p>
          <w:p w14:paraId="1D1F868C">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2、验收过程简介</w:t>
            </w:r>
          </w:p>
          <w:p w14:paraId="5D795B6F">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工程营运阶段的主要环境影响为废气、噪声、固废。本项目采取了有效的治理及处置措施。</w:t>
            </w:r>
            <w:r>
              <w:rPr>
                <w:rFonts w:hint="default" w:ascii="Times New Roman" w:hAnsi="Times New Roman" w:cs="Times New Roman" w:eastAsiaTheme="minorEastAsia"/>
                <w:sz w:val="24"/>
                <w:szCs w:val="24"/>
                <w:highlight w:val="none"/>
                <w:lang w:eastAsia="zh-CN"/>
              </w:rPr>
              <w:t>桦南县宏祥报废农机回收有限责任公司</w:t>
            </w:r>
            <w:r>
              <w:rPr>
                <w:rFonts w:hint="default" w:ascii="Times New Roman" w:hAnsi="Times New Roman" w:cs="Times New Roman" w:eastAsiaTheme="minorEastAsia"/>
                <w:bCs/>
                <w:sz w:val="24"/>
              </w:rPr>
              <w:t>建设单位委托山东创森环境检测有限公司照环评相关要求对项目进行了有组织废气、无组织废气、</w:t>
            </w:r>
            <w:r>
              <w:rPr>
                <w:rFonts w:hint="default" w:ascii="Times New Roman" w:hAnsi="Times New Roman" w:cs="Times New Roman" w:eastAsiaTheme="minorEastAsia"/>
                <w:sz w:val="24"/>
              </w:rPr>
              <w:t>噪声监测工作，</w:t>
            </w:r>
            <w:r>
              <w:rPr>
                <w:rFonts w:hint="default" w:ascii="Times New Roman" w:hAnsi="Times New Roman" w:cs="Times New Roman" w:eastAsiaTheme="minorEastAsia"/>
                <w:bCs/>
                <w:sz w:val="24"/>
              </w:rPr>
              <w:t>监测时间为</w:t>
            </w:r>
            <w:r>
              <w:rPr>
                <w:rFonts w:hint="default" w:ascii="Times New Roman" w:hAnsi="Times New Roman" w:cs="Times New Roman" w:eastAsiaTheme="minorEastAsia"/>
                <w:bCs/>
                <w:sz w:val="24"/>
                <w:lang w:eastAsia="zh-CN"/>
              </w:rPr>
              <w:t>：</w:t>
            </w:r>
            <w:r>
              <w:rPr>
                <w:rFonts w:hint="default" w:ascii="Times New Roman" w:hAnsi="Times New Roman" w:cs="Times New Roman" w:eastAsiaTheme="minorEastAsia"/>
                <w:bCs/>
                <w:sz w:val="24"/>
                <w:lang w:val="en-US" w:eastAsia="zh-CN"/>
              </w:rPr>
              <w:t>2024年11月13日至2024年11月14日。</w:t>
            </w:r>
            <w:r>
              <w:rPr>
                <w:rFonts w:hint="default" w:ascii="Times New Roman" w:hAnsi="Times New Roman" w:cs="Times New Roman" w:eastAsiaTheme="minorEastAsia"/>
                <w:sz w:val="24"/>
                <w:szCs w:val="24"/>
                <w:highlight w:val="none"/>
              </w:rPr>
              <w:t>监测单位所有项目参加人员均持证上岗，所有监测仪器设备都经过计量部门检定，并在检定有效期内，大气测定前仪器全部经过校正。</w:t>
            </w:r>
          </w:p>
          <w:p w14:paraId="13B5A278">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验收监测期间，根据《污染影响类建设项目重大变动清单（试行）》的通知环办环评函〔2020〕688号的相关要求，本项目的性质、规模、地点、生产工艺和环境保护措施五个因素未发生重大变动，因此本工程无重大变动。</w:t>
            </w:r>
          </w:p>
          <w:p w14:paraId="3A2693B6">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3、公众反馈意见及处理情况</w:t>
            </w:r>
          </w:p>
          <w:p w14:paraId="74FD76D8">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项目设计、施工和验收监测期间均未收到公众反馈意见或投诉、反馈。</w:t>
            </w:r>
          </w:p>
          <w:p w14:paraId="3A2E75D2">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二、其他环境保护措施的落实情况</w:t>
            </w:r>
          </w:p>
          <w:p w14:paraId="236ACAAA">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本项目验收监测期间，已完成应急预案备案工作。</w:t>
            </w:r>
          </w:p>
          <w:p w14:paraId="001DF125">
            <w:pPr>
              <w:pStyle w:val="29"/>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Theme="minorEastAsia"/>
                <w:color w:val="FF0000"/>
                <w:sz w:val="24"/>
                <w:szCs w:val="24"/>
              </w:rPr>
            </w:pPr>
            <w:r>
              <w:rPr>
                <w:rFonts w:hint="default" w:ascii="Times New Roman" w:hAnsi="Times New Roman" w:cs="Times New Roman" w:eastAsiaTheme="minorEastAsia"/>
                <w:sz w:val="24"/>
                <w:szCs w:val="24"/>
                <w:highlight w:val="none"/>
              </w:rPr>
              <w:t>本项目配备日常监测负责人，负责聘请有资质单位对本项目噪声和废气污染物进行监测。</w:t>
            </w:r>
          </w:p>
        </w:tc>
      </w:tr>
    </w:tbl>
    <w:p w14:paraId="251DE2F2">
      <w:pPr>
        <w:pStyle w:val="26"/>
        <w:rPr>
          <w:rFonts w:ascii="Times New Roman" w:hAnsi="Times New Roman" w:eastAsiaTheme="minorEastAsia"/>
          <w:color w:val="FF0000"/>
        </w:rPr>
      </w:pPr>
    </w:p>
    <w:p w14:paraId="28AB8969">
      <w:pPr>
        <w:spacing w:line="300" w:lineRule="exact"/>
        <w:jc w:val="center"/>
        <w:outlineLvl w:val="0"/>
        <w:rPr>
          <w:rFonts w:ascii="Times New Roman" w:hAnsi="Times New Roman" w:eastAsiaTheme="minorEastAsia"/>
          <w:b/>
          <w:color w:val="FF0000"/>
          <w:sz w:val="24"/>
        </w:rPr>
        <w:sectPr>
          <w:pgSz w:w="11907" w:h="16840"/>
          <w:pgMar w:top="1304" w:right="1531" w:bottom="1304" w:left="1531" w:header="284" w:footer="851" w:gutter="0"/>
          <w:cols w:space="720" w:num="1"/>
          <w:docGrid w:linePitch="286" w:charSpace="0"/>
        </w:sectPr>
      </w:pPr>
    </w:p>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14:paraId="6EA16862">
      <w:pPr>
        <w:pStyle w:val="26"/>
        <w:outlineLvl w:val="0"/>
        <w:rPr>
          <w:rFonts w:ascii="Times New Roman" w:hAnsi="Times New Roman" w:eastAsiaTheme="minorEastAsia"/>
          <w:b/>
          <w:bCs/>
          <w:color w:val="auto"/>
        </w:rPr>
      </w:pPr>
      <w:bookmarkStart w:id="85" w:name="_Toc32112"/>
      <w:bookmarkStart w:id="86" w:name="_Toc5542"/>
      <w:bookmarkStart w:id="87" w:name="_Toc18269"/>
      <w:r>
        <w:rPr>
          <w:rFonts w:ascii="Times New Roman" w:hAnsi="Times New Roman" w:eastAsiaTheme="minorEastAsia"/>
          <w:b/>
          <w:bCs/>
          <w:color w:val="auto"/>
        </w:rPr>
        <w:t>附图1 本项目地理位置图</w:t>
      </w:r>
      <w:bookmarkEnd w:id="85"/>
      <w:bookmarkEnd w:id="86"/>
      <w:bookmarkEnd w:id="87"/>
    </w:p>
    <w:p w14:paraId="412E660C">
      <w:pPr>
        <w:jc w:val="center"/>
        <w:rPr>
          <w:rFonts w:ascii="Times New Roman" w:hAnsi="Times New Roman" w:eastAsiaTheme="minorEastAsia"/>
          <w:color w:val="FF0000"/>
        </w:rPr>
      </w:pPr>
      <w:r>
        <w:drawing>
          <wp:inline distT="0" distB="0" distL="114300" distR="114300">
            <wp:extent cx="5737225" cy="3818890"/>
            <wp:effectExtent l="0" t="0" r="15875" b="1016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13"/>
                    <a:stretch>
                      <a:fillRect/>
                    </a:stretch>
                  </pic:blipFill>
                  <pic:spPr>
                    <a:xfrm>
                      <a:off x="0" y="0"/>
                      <a:ext cx="5737225" cy="3818890"/>
                    </a:xfrm>
                    <a:prstGeom prst="rect">
                      <a:avLst/>
                    </a:prstGeom>
                    <a:noFill/>
                    <a:ln>
                      <a:noFill/>
                    </a:ln>
                  </pic:spPr>
                </pic:pic>
              </a:graphicData>
            </a:graphic>
          </wp:inline>
        </w:drawing>
      </w:r>
    </w:p>
    <w:p w14:paraId="2C0DAA4F">
      <w:pPr>
        <w:pStyle w:val="26"/>
        <w:spacing w:line="360" w:lineRule="auto"/>
        <w:ind w:firstLine="482" w:firstLineChars="200"/>
        <w:jc w:val="both"/>
        <w:rPr>
          <w:rFonts w:ascii="Times New Roman" w:hAnsi="Times New Roman" w:eastAsiaTheme="minorEastAsia"/>
          <w:b/>
          <w:bCs/>
          <w:color w:val="FF0000"/>
        </w:rPr>
      </w:pPr>
      <w:bookmarkStart w:id="88" w:name="_Toc21977"/>
    </w:p>
    <w:bookmarkEnd w:id="88"/>
    <w:p w14:paraId="5F46D080">
      <w:pPr>
        <w:jc w:val="center"/>
        <w:rPr>
          <w:rFonts w:ascii="Times New Roman" w:hAnsi="Times New Roman" w:eastAsiaTheme="minorEastAsia"/>
          <w:color w:val="FF0000"/>
        </w:rPr>
        <w:sectPr>
          <w:pgSz w:w="11906" w:h="16838"/>
          <w:pgMar w:top="1440" w:right="1800" w:bottom="1440" w:left="1800" w:header="851" w:footer="992" w:gutter="0"/>
          <w:cols w:space="720" w:num="1"/>
          <w:docGrid w:type="lines" w:linePitch="312" w:charSpace="0"/>
        </w:sectPr>
      </w:pPr>
    </w:p>
    <w:p w14:paraId="1F5F165A">
      <w:pPr>
        <w:pStyle w:val="26"/>
        <w:outlineLvl w:val="0"/>
        <w:rPr>
          <w:rFonts w:ascii="Times New Roman" w:hAnsi="Times New Roman" w:eastAsiaTheme="minorEastAsia"/>
          <w:b/>
          <w:bCs/>
          <w:color w:val="auto"/>
          <w:highlight w:val="yellow"/>
        </w:rPr>
      </w:pPr>
      <w:bookmarkStart w:id="89" w:name="_Toc14558"/>
      <w:bookmarkStart w:id="90" w:name="_Toc16924"/>
      <w:r>
        <w:rPr>
          <w:rFonts w:ascii="Times New Roman" w:hAnsi="Times New Roman" w:eastAsiaTheme="minorEastAsia"/>
          <w:b/>
          <w:bCs/>
          <w:color w:val="auto"/>
          <w:highlight w:val="none"/>
        </w:rPr>
        <w:t>附图2 本项目平面图</w:t>
      </w:r>
      <w:bookmarkEnd w:id="89"/>
      <w:bookmarkEnd w:id="90"/>
    </w:p>
    <w:p w14:paraId="1DE93DD5">
      <w:pPr>
        <w:adjustRightInd w:val="0"/>
        <w:snapToGrid w:val="0"/>
        <w:spacing w:line="360" w:lineRule="auto"/>
        <w:rPr>
          <w:rFonts w:ascii="Times New Roman" w:hAnsi="Times New Roman" w:eastAsiaTheme="minorEastAsia"/>
          <w:b/>
          <w:bCs/>
          <w:color w:val="FF0000"/>
        </w:rPr>
      </w:pPr>
    </w:p>
    <w:p w14:paraId="56A2CFD8">
      <w:pPr>
        <w:adjustRightInd w:val="0"/>
        <w:snapToGrid w:val="0"/>
        <w:spacing w:line="360" w:lineRule="auto"/>
        <w:jc w:val="center"/>
        <w:rPr>
          <w:rFonts w:ascii="Times New Roman" w:hAnsi="Times New Roman" w:eastAsiaTheme="minorEastAsia"/>
          <w:snapToGrid w:val="0"/>
          <w:color w:val="FF0000"/>
          <w:kern w:val="0"/>
        </w:rPr>
        <w:sectPr>
          <w:footerReference r:id="rId6" w:type="default"/>
          <w:pgSz w:w="11906" w:h="16838"/>
          <w:pgMar w:top="1440" w:right="1800" w:bottom="1440" w:left="1800" w:header="851" w:footer="992" w:gutter="0"/>
          <w:cols w:space="720" w:num="1"/>
          <w:docGrid w:type="lines" w:linePitch="312" w:charSpace="0"/>
        </w:sectPr>
      </w:pPr>
      <w:r>
        <w:drawing>
          <wp:inline distT="0" distB="0" distL="114300" distR="114300">
            <wp:extent cx="5273040" cy="2997200"/>
            <wp:effectExtent l="0" t="0" r="3810" b="1270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4"/>
                    <a:stretch>
                      <a:fillRect/>
                    </a:stretch>
                  </pic:blipFill>
                  <pic:spPr>
                    <a:xfrm>
                      <a:off x="0" y="0"/>
                      <a:ext cx="5273040" cy="2997200"/>
                    </a:xfrm>
                    <a:prstGeom prst="rect">
                      <a:avLst/>
                    </a:prstGeom>
                    <a:noFill/>
                    <a:ln>
                      <a:noFill/>
                    </a:ln>
                  </pic:spPr>
                </pic:pic>
              </a:graphicData>
            </a:graphic>
          </wp:inline>
        </w:drawing>
      </w:r>
    </w:p>
    <w:p w14:paraId="4F50BC92">
      <w:pPr>
        <w:pStyle w:val="26"/>
        <w:outlineLvl w:val="0"/>
        <w:rPr>
          <w:rFonts w:ascii="Times New Roman" w:hAnsi="Times New Roman" w:eastAsiaTheme="minorEastAsia"/>
          <w:b/>
          <w:bCs/>
          <w:color w:val="FF0000"/>
          <w:highlight w:val="none"/>
        </w:rPr>
      </w:pPr>
      <w:bookmarkStart w:id="91" w:name="_Toc12443"/>
      <w:r>
        <w:rPr>
          <w:rFonts w:ascii="Times New Roman" w:hAnsi="Times New Roman" w:eastAsiaTheme="minorEastAsia"/>
          <w:b/>
          <w:bCs/>
          <w:color w:val="auto"/>
          <w:highlight w:val="none"/>
        </w:rPr>
        <w:t>附图3 本项目现场图片</w:t>
      </w:r>
      <w:bookmarkEnd w:id="91"/>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3"/>
        <w:gridCol w:w="4289"/>
      </w:tblGrid>
      <w:tr w14:paraId="15E92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1" w:type="dxa"/>
          </w:tcPr>
          <w:p w14:paraId="421688BD">
            <w:pPr>
              <w:pStyle w:val="26"/>
              <w:spacing w:line="360" w:lineRule="auto"/>
              <w:jc w:val="center"/>
              <w:rPr>
                <w:rFonts w:ascii="Times New Roman" w:hAnsi="Times New Roman" w:eastAsiaTheme="minorEastAsia"/>
                <w:b/>
                <w:bCs/>
                <w:color w:val="FF0000"/>
              </w:rPr>
            </w:pPr>
            <w:r>
              <w:rPr>
                <w:rFonts w:ascii="Times New Roman" w:hAnsi="Times New Roman"/>
                <w:color w:val="auto"/>
              </w:rPr>
              <w:drawing>
                <wp:inline distT="0" distB="0" distL="114300" distR="114300">
                  <wp:extent cx="2364105" cy="4131310"/>
                  <wp:effectExtent l="0" t="0" r="0" b="2540"/>
                  <wp:docPr id="1" name="图片 1" descr="daa9655a23f4d3c521dfb19c3bd75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aa9655a23f4d3c521dfb19c3bd759d"/>
                          <pic:cNvPicPr>
                            <a:picLocks noChangeAspect="1"/>
                          </pic:cNvPicPr>
                        </pic:nvPicPr>
                        <pic:blipFill>
                          <a:blip r:embed="rId15"/>
                          <a:srcRect r="-4706" b="21114"/>
                          <a:stretch>
                            <a:fillRect/>
                          </a:stretch>
                        </pic:blipFill>
                        <pic:spPr>
                          <a:xfrm>
                            <a:off x="0" y="0"/>
                            <a:ext cx="2364105" cy="4131310"/>
                          </a:xfrm>
                          <a:prstGeom prst="rect">
                            <a:avLst/>
                          </a:prstGeom>
                        </pic:spPr>
                      </pic:pic>
                    </a:graphicData>
                  </a:graphic>
                </wp:inline>
              </w:drawing>
            </w:r>
          </w:p>
        </w:tc>
        <w:tc>
          <w:tcPr>
            <w:tcW w:w="4145" w:type="dxa"/>
          </w:tcPr>
          <w:p w14:paraId="7588A32F">
            <w:pPr>
              <w:pStyle w:val="26"/>
              <w:spacing w:line="360" w:lineRule="auto"/>
              <w:jc w:val="left"/>
              <w:rPr>
                <w:rFonts w:ascii="Times New Roman" w:hAnsi="Times New Roman" w:eastAsiaTheme="minorEastAsia"/>
                <w:b/>
                <w:bCs/>
                <w:color w:val="FF0000"/>
              </w:rPr>
            </w:pPr>
            <w:r>
              <w:rPr>
                <w:rFonts w:ascii="Times New Roman" w:hAnsi="Times New Roman" w:eastAsiaTheme="minorEastAsia"/>
                <w:b/>
                <w:bCs/>
                <w:color w:val="FF0000"/>
              </w:rPr>
              <w:drawing>
                <wp:inline distT="0" distB="0" distL="114300" distR="114300">
                  <wp:extent cx="2169160" cy="4031615"/>
                  <wp:effectExtent l="0" t="0" r="2540" b="6985"/>
                  <wp:docPr id="2" name="图片 2" descr="6eef4f595bdbd00f2a7953ed03f9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eef4f595bdbd00f2a7953ed03f9dac"/>
                          <pic:cNvPicPr>
                            <a:picLocks noChangeAspect="1"/>
                          </pic:cNvPicPr>
                        </pic:nvPicPr>
                        <pic:blipFill>
                          <a:blip r:embed="rId16"/>
                          <a:srcRect r="1698" b="21209"/>
                          <a:stretch>
                            <a:fillRect/>
                          </a:stretch>
                        </pic:blipFill>
                        <pic:spPr>
                          <a:xfrm>
                            <a:off x="0" y="0"/>
                            <a:ext cx="2169160" cy="4031615"/>
                          </a:xfrm>
                          <a:prstGeom prst="rect">
                            <a:avLst/>
                          </a:prstGeom>
                        </pic:spPr>
                      </pic:pic>
                    </a:graphicData>
                  </a:graphic>
                </wp:inline>
              </w:drawing>
            </w:r>
          </w:p>
        </w:tc>
      </w:tr>
      <w:tr w14:paraId="4846C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1" w:type="dxa"/>
          </w:tcPr>
          <w:p w14:paraId="2D1CB818">
            <w:pPr>
              <w:pStyle w:val="26"/>
              <w:spacing w:line="360" w:lineRule="auto"/>
              <w:jc w:val="center"/>
              <w:rPr>
                <w:rFonts w:ascii="Times New Roman" w:hAnsi="Times New Roman" w:eastAsiaTheme="minorEastAsia"/>
                <w:b/>
                <w:bCs/>
                <w:color w:val="auto"/>
              </w:rPr>
            </w:pPr>
            <w:r>
              <w:rPr>
                <w:rFonts w:ascii="Times New Roman" w:hAnsi="Times New Roman" w:eastAsiaTheme="minorEastAsia"/>
                <w:b/>
                <w:bCs/>
                <w:color w:val="auto"/>
              </w:rPr>
              <w:t>15m高排气筒</w:t>
            </w:r>
          </w:p>
        </w:tc>
        <w:tc>
          <w:tcPr>
            <w:tcW w:w="4145" w:type="dxa"/>
          </w:tcPr>
          <w:p w14:paraId="41CF4995">
            <w:pPr>
              <w:pStyle w:val="26"/>
              <w:spacing w:line="360" w:lineRule="auto"/>
              <w:jc w:val="center"/>
              <w:rPr>
                <w:rFonts w:ascii="Times New Roman" w:hAnsi="Times New Roman" w:eastAsiaTheme="minorEastAsia"/>
                <w:b/>
                <w:bCs/>
                <w:color w:val="auto"/>
              </w:rPr>
            </w:pPr>
            <w:r>
              <w:rPr>
                <w:rFonts w:ascii="Times New Roman" w:hAnsi="Times New Roman" w:eastAsiaTheme="minorEastAsia"/>
                <w:b/>
                <w:bCs/>
                <w:color w:val="auto"/>
              </w:rPr>
              <w:t>布袋除尘器</w:t>
            </w:r>
          </w:p>
        </w:tc>
      </w:tr>
      <w:tr w14:paraId="6CC4C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1" w:type="dxa"/>
          </w:tcPr>
          <w:p w14:paraId="5DBF4992">
            <w:pPr>
              <w:pStyle w:val="26"/>
              <w:spacing w:line="360" w:lineRule="auto"/>
              <w:jc w:val="center"/>
              <w:rPr>
                <w:rFonts w:ascii="Times New Roman" w:hAnsi="Times New Roman" w:eastAsiaTheme="minorEastAsia"/>
                <w:b/>
                <w:bCs/>
                <w:color w:val="auto"/>
              </w:rPr>
            </w:pPr>
            <w:r>
              <w:drawing>
                <wp:inline distT="0" distB="0" distL="114300" distR="114300">
                  <wp:extent cx="2682875" cy="3693160"/>
                  <wp:effectExtent l="0" t="0" r="3175" b="25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7"/>
                          <a:stretch>
                            <a:fillRect/>
                          </a:stretch>
                        </pic:blipFill>
                        <pic:spPr>
                          <a:xfrm>
                            <a:off x="0" y="0"/>
                            <a:ext cx="2682875" cy="3693160"/>
                          </a:xfrm>
                          <a:prstGeom prst="rect">
                            <a:avLst/>
                          </a:prstGeom>
                          <a:noFill/>
                          <a:ln>
                            <a:noFill/>
                          </a:ln>
                        </pic:spPr>
                      </pic:pic>
                    </a:graphicData>
                  </a:graphic>
                </wp:inline>
              </w:drawing>
            </w:r>
          </w:p>
        </w:tc>
        <w:tc>
          <w:tcPr>
            <w:tcW w:w="4145" w:type="dxa"/>
          </w:tcPr>
          <w:p w14:paraId="0E7655C3">
            <w:pPr>
              <w:pStyle w:val="26"/>
              <w:spacing w:line="360" w:lineRule="auto"/>
              <w:jc w:val="center"/>
              <w:rPr>
                <w:rFonts w:ascii="Times New Roman" w:hAnsi="Times New Roman" w:eastAsiaTheme="minorEastAsia"/>
                <w:b/>
                <w:bCs/>
                <w:color w:val="auto"/>
              </w:rPr>
            </w:pPr>
            <w:r>
              <w:drawing>
                <wp:inline distT="0" distB="0" distL="114300" distR="114300">
                  <wp:extent cx="2712720" cy="3661410"/>
                  <wp:effectExtent l="0" t="0" r="11430" b="1524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8"/>
                          <a:stretch>
                            <a:fillRect/>
                          </a:stretch>
                        </pic:blipFill>
                        <pic:spPr>
                          <a:xfrm>
                            <a:off x="0" y="0"/>
                            <a:ext cx="2712720" cy="3661410"/>
                          </a:xfrm>
                          <a:prstGeom prst="rect">
                            <a:avLst/>
                          </a:prstGeom>
                          <a:noFill/>
                          <a:ln>
                            <a:noFill/>
                          </a:ln>
                        </pic:spPr>
                      </pic:pic>
                    </a:graphicData>
                  </a:graphic>
                </wp:inline>
              </w:drawing>
            </w:r>
          </w:p>
        </w:tc>
      </w:tr>
      <w:tr w14:paraId="16AA8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1" w:type="dxa"/>
            <w:vAlign w:val="center"/>
          </w:tcPr>
          <w:p w14:paraId="5405999B">
            <w:pPr>
              <w:pStyle w:val="26"/>
              <w:spacing w:line="360" w:lineRule="auto"/>
              <w:jc w:val="center"/>
              <w:rPr>
                <w:rFonts w:ascii="Times New Roman" w:hAnsi="Times New Roman" w:eastAsiaTheme="minorEastAsia"/>
                <w:b/>
                <w:bCs/>
                <w:color w:val="auto"/>
              </w:rPr>
            </w:pPr>
            <w:r>
              <w:rPr>
                <w:rFonts w:ascii="Times New Roman" w:hAnsi="Times New Roman" w:eastAsiaTheme="minorEastAsia"/>
                <w:b/>
                <w:bCs/>
                <w:color w:val="auto"/>
              </w:rPr>
              <w:t>危险废物暂存间</w:t>
            </w:r>
          </w:p>
        </w:tc>
        <w:tc>
          <w:tcPr>
            <w:tcW w:w="4145" w:type="dxa"/>
            <w:vAlign w:val="center"/>
          </w:tcPr>
          <w:p w14:paraId="75E2BE46">
            <w:pPr>
              <w:pStyle w:val="26"/>
              <w:spacing w:line="360" w:lineRule="auto"/>
              <w:jc w:val="center"/>
              <w:rPr>
                <w:rFonts w:ascii="Times New Roman" w:hAnsi="Times New Roman" w:eastAsiaTheme="minorEastAsia"/>
                <w:b/>
                <w:bCs/>
                <w:color w:val="auto"/>
              </w:rPr>
            </w:pPr>
            <w:r>
              <w:rPr>
                <w:rFonts w:ascii="Times New Roman" w:hAnsi="Times New Roman" w:eastAsiaTheme="minorEastAsia"/>
                <w:b/>
                <w:bCs/>
                <w:color w:val="auto"/>
              </w:rPr>
              <w:t>危险废物暂存间防渗地面</w:t>
            </w:r>
          </w:p>
        </w:tc>
      </w:tr>
      <w:tr w14:paraId="19EBE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3" w:hRule="atLeast"/>
        </w:trPr>
        <w:tc>
          <w:tcPr>
            <w:tcW w:w="4151" w:type="dxa"/>
            <w:vAlign w:val="center"/>
          </w:tcPr>
          <w:p w14:paraId="740E15CE">
            <w:pPr>
              <w:pStyle w:val="26"/>
              <w:spacing w:line="360" w:lineRule="auto"/>
              <w:jc w:val="center"/>
              <w:rPr>
                <w:rFonts w:ascii="Times New Roman" w:hAnsi="Times New Roman" w:eastAsiaTheme="minorEastAsia"/>
                <w:b/>
                <w:bCs/>
                <w:color w:val="auto"/>
              </w:rPr>
            </w:pPr>
            <w:r>
              <w:drawing>
                <wp:inline distT="0" distB="0" distL="114300" distR="114300">
                  <wp:extent cx="2649220" cy="3173730"/>
                  <wp:effectExtent l="0" t="0" r="17780" b="762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9"/>
                          <a:stretch>
                            <a:fillRect/>
                          </a:stretch>
                        </pic:blipFill>
                        <pic:spPr>
                          <a:xfrm>
                            <a:off x="0" y="0"/>
                            <a:ext cx="2649220" cy="3173730"/>
                          </a:xfrm>
                          <a:prstGeom prst="rect">
                            <a:avLst/>
                          </a:prstGeom>
                          <a:noFill/>
                          <a:ln>
                            <a:noFill/>
                          </a:ln>
                        </pic:spPr>
                      </pic:pic>
                    </a:graphicData>
                  </a:graphic>
                </wp:inline>
              </w:drawing>
            </w:r>
          </w:p>
        </w:tc>
        <w:tc>
          <w:tcPr>
            <w:tcW w:w="4145" w:type="dxa"/>
            <w:vAlign w:val="center"/>
          </w:tcPr>
          <w:p w14:paraId="0A175A79">
            <w:pPr>
              <w:pStyle w:val="26"/>
              <w:spacing w:line="360" w:lineRule="auto"/>
              <w:jc w:val="center"/>
              <w:rPr>
                <w:rFonts w:ascii="Times New Roman" w:hAnsi="Times New Roman" w:eastAsiaTheme="minorEastAsia"/>
                <w:b/>
                <w:bCs/>
                <w:color w:val="auto"/>
              </w:rPr>
            </w:pPr>
            <w:r>
              <w:drawing>
                <wp:inline distT="0" distB="0" distL="114300" distR="114300">
                  <wp:extent cx="2493010" cy="3119120"/>
                  <wp:effectExtent l="0" t="0" r="2540" b="50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0"/>
                          <a:stretch>
                            <a:fillRect/>
                          </a:stretch>
                        </pic:blipFill>
                        <pic:spPr>
                          <a:xfrm>
                            <a:off x="0" y="0"/>
                            <a:ext cx="2493010" cy="3119120"/>
                          </a:xfrm>
                          <a:prstGeom prst="rect">
                            <a:avLst/>
                          </a:prstGeom>
                          <a:noFill/>
                          <a:ln>
                            <a:noFill/>
                          </a:ln>
                        </pic:spPr>
                      </pic:pic>
                    </a:graphicData>
                  </a:graphic>
                </wp:inline>
              </w:drawing>
            </w:r>
          </w:p>
        </w:tc>
      </w:tr>
      <w:tr w14:paraId="32D3A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1" w:type="dxa"/>
            <w:vAlign w:val="center"/>
          </w:tcPr>
          <w:p w14:paraId="7852EA8B">
            <w:pPr>
              <w:pStyle w:val="26"/>
              <w:spacing w:line="360" w:lineRule="auto"/>
              <w:jc w:val="center"/>
              <w:rPr>
                <w:rFonts w:hint="default" w:ascii="Times New Roman" w:hAnsi="Times New Roman" w:eastAsiaTheme="minorEastAsia"/>
                <w:b/>
                <w:bCs/>
                <w:color w:val="auto"/>
                <w:lang w:val="en-US" w:eastAsia="zh-CN"/>
              </w:rPr>
            </w:pPr>
            <w:r>
              <w:rPr>
                <w:rFonts w:hint="eastAsia" w:ascii="Times New Roman" w:hAnsi="Times New Roman" w:eastAsiaTheme="minorEastAsia"/>
                <w:b/>
                <w:bCs/>
                <w:color w:val="auto"/>
                <w:lang w:val="en-US" w:eastAsia="zh-CN"/>
              </w:rPr>
              <w:t>废机油贮存间</w:t>
            </w:r>
          </w:p>
        </w:tc>
        <w:tc>
          <w:tcPr>
            <w:tcW w:w="4145" w:type="dxa"/>
            <w:vAlign w:val="center"/>
          </w:tcPr>
          <w:p w14:paraId="3DFF0E8A">
            <w:pPr>
              <w:pStyle w:val="26"/>
              <w:spacing w:line="360" w:lineRule="auto"/>
              <w:jc w:val="center"/>
              <w:rPr>
                <w:rFonts w:hint="eastAsia" w:ascii="Times New Roman" w:hAnsi="Times New Roman" w:eastAsiaTheme="minorEastAsia"/>
                <w:b/>
                <w:bCs/>
                <w:color w:val="auto"/>
                <w:lang w:val="en-US" w:eastAsia="zh-CN"/>
              </w:rPr>
            </w:pPr>
            <w:r>
              <w:rPr>
                <w:rFonts w:hint="eastAsia" w:ascii="Times New Roman" w:hAnsi="Times New Roman" w:eastAsiaTheme="minorEastAsia"/>
                <w:b/>
                <w:bCs/>
                <w:color w:val="auto"/>
                <w:highlight w:val="none"/>
                <w:lang w:val="en-US" w:eastAsia="zh-CN"/>
              </w:rPr>
              <w:t>油水分离器</w:t>
            </w:r>
          </w:p>
        </w:tc>
      </w:tr>
    </w:tbl>
    <w:p w14:paraId="1802C9AE">
      <w:pPr>
        <w:rPr>
          <w:rFonts w:ascii="Times New Roman" w:hAnsi="Times New Roman" w:eastAsiaTheme="minorEastAsia"/>
          <w:color w:val="FF0000"/>
        </w:rPr>
      </w:pPr>
    </w:p>
    <w:p w14:paraId="1BA58255">
      <w:pPr>
        <w:pStyle w:val="26"/>
        <w:rPr>
          <w:rFonts w:ascii="Times New Roman" w:hAnsi="Times New Roman" w:eastAsiaTheme="minorEastAsia"/>
          <w:color w:val="FF0000"/>
        </w:rPr>
      </w:pPr>
    </w:p>
    <w:p w14:paraId="3785B8F7">
      <w:pPr>
        <w:rPr>
          <w:rFonts w:ascii="Times New Roman" w:hAnsi="Times New Roman" w:eastAsiaTheme="minorEastAsia"/>
          <w:color w:val="FF0000"/>
        </w:rPr>
      </w:pPr>
    </w:p>
    <w:p w14:paraId="75E4067B">
      <w:pPr>
        <w:rPr>
          <w:rFonts w:ascii="Times New Roman" w:hAnsi="Times New Roman" w:eastAsiaTheme="minorEastAsia"/>
          <w:color w:val="FF0000"/>
        </w:rPr>
        <w:sectPr>
          <w:pgSz w:w="11906" w:h="16838"/>
          <w:pgMar w:top="1440" w:right="1800" w:bottom="1440" w:left="1800" w:header="851" w:footer="992" w:gutter="0"/>
          <w:cols w:space="720" w:num="1"/>
          <w:docGrid w:type="lines" w:linePitch="312" w:charSpace="0"/>
        </w:sectPr>
      </w:pPr>
    </w:p>
    <w:p w14:paraId="7D142600">
      <w:pPr>
        <w:pStyle w:val="26"/>
        <w:outlineLvl w:val="0"/>
        <w:rPr>
          <w:rFonts w:ascii="Times New Roman" w:hAnsi="Times New Roman" w:eastAsiaTheme="minorEastAsia"/>
          <w:b/>
          <w:bCs/>
          <w:color w:val="auto"/>
        </w:rPr>
      </w:pPr>
      <w:r>
        <w:rPr>
          <w:rFonts w:ascii="Times New Roman" w:hAnsi="Times New Roman" w:eastAsiaTheme="minorEastAsia"/>
          <w:b/>
          <w:bCs/>
          <w:color w:val="auto"/>
        </w:rPr>
        <w:t>附件1 本项目环评批复</w:t>
      </w:r>
    </w:p>
    <w:p w14:paraId="0902BEEC">
      <w:pPr>
        <w:jc w:val="center"/>
        <w:rPr>
          <w:rFonts w:ascii="Times New Roman" w:hAnsi="Times New Roman" w:eastAsiaTheme="minorEastAsia"/>
          <w:color w:val="FF0000"/>
        </w:rPr>
      </w:pPr>
      <w:r>
        <w:drawing>
          <wp:inline distT="0" distB="0" distL="114300" distR="114300">
            <wp:extent cx="5153025" cy="7248525"/>
            <wp:effectExtent l="0" t="0" r="13335" b="5715"/>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21"/>
                    <a:stretch>
                      <a:fillRect/>
                    </a:stretch>
                  </pic:blipFill>
                  <pic:spPr>
                    <a:xfrm>
                      <a:off x="0" y="0"/>
                      <a:ext cx="5153025" cy="7248525"/>
                    </a:xfrm>
                    <a:prstGeom prst="rect">
                      <a:avLst/>
                    </a:prstGeom>
                    <a:noFill/>
                    <a:ln>
                      <a:noFill/>
                    </a:ln>
                  </pic:spPr>
                </pic:pic>
              </a:graphicData>
            </a:graphic>
          </wp:inline>
        </w:drawing>
      </w:r>
    </w:p>
    <w:p w14:paraId="49630D05">
      <w:pPr>
        <w:pStyle w:val="26"/>
        <w:spacing w:line="360" w:lineRule="auto"/>
        <w:rPr>
          <w:rFonts w:ascii="Times New Roman" w:hAnsi="Times New Roman" w:eastAsiaTheme="minorEastAsia"/>
          <w:b/>
          <w:bCs/>
          <w:color w:val="FF0000"/>
        </w:rPr>
      </w:pPr>
      <w:r>
        <w:drawing>
          <wp:inline distT="0" distB="0" distL="114300" distR="114300">
            <wp:extent cx="5143500" cy="7324725"/>
            <wp:effectExtent l="0" t="0" r="7620" b="5715"/>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22"/>
                    <a:stretch>
                      <a:fillRect/>
                    </a:stretch>
                  </pic:blipFill>
                  <pic:spPr>
                    <a:xfrm>
                      <a:off x="0" y="0"/>
                      <a:ext cx="5143500" cy="7324725"/>
                    </a:xfrm>
                    <a:prstGeom prst="rect">
                      <a:avLst/>
                    </a:prstGeom>
                    <a:noFill/>
                    <a:ln>
                      <a:noFill/>
                    </a:ln>
                  </pic:spPr>
                </pic:pic>
              </a:graphicData>
            </a:graphic>
          </wp:inline>
        </w:drawing>
      </w:r>
    </w:p>
    <w:p w14:paraId="77F755E0">
      <w:pPr>
        <w:rPr>
          <w:rFonts w:ascii="Times New Roman" w:hAnsi="Times New Roman" w:eastAsiaTheme="minorEastAsia"/>
          <w:color w:val="FF0000"/>
        </w:rPr>
      </w:pPr>
      <w:r>
        <w:drawing>
          <wp:inline distT="0" distB="0" distL="114300" distR="114300">
            <wp:extent cx="5114925" cy="7086600"/>
            <wp:effectExtent l="0" t="0" r="5715" b="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23"/>
                    <a:stretch>
                      <a:fillRect/>
                    </a:stretch>
                  </pic:blipFill>
                  <pic:spPr>
                    <a:xfrm>
                      <a:off x="0" y="0"/>
                      <a:ext cx="5114925" cy="7086600"/>
                    </a:xfrm>
                    <a:prstGeom prst="rect">
                      <a:avLst/>
                    </a:prstGeom>
                    <a:noFill/>
                    <a:ln>
                      <a:noFill/>
                    </a:ln>
                  </pic:spPr>
                </pic:pic>
              </a:graphicData>
            </a:graphic>
          </wp:inline>
        </w:drawing>
      </w:r>
    </w:p>
    <w:p w14:paraId="66A66324">
      <w:pPr>
        <w:pStyle w:val="26"/>
        <w:rPr>
          <w:rFonts w:ascii="Times New Roman" w:hAnsi="Times New Roman" w:eastAsiaTheme="minorEastAsia"/>
          <w:color w:val="FF0000"/>
        </w:rPr>
      </w:pPr>
      <w:r>
        <w:drawing>
          <wp:inline distT="0" distB="0" distL="114300" distR="114300">
            <wp:extent cx="5143500" cy="7258050"/>
            <wp:effectExtent l="0" t="0" r="7620" b="1143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24"/>
                    <a:stretch>
                      <a:fillRect/>
                    </a:stretch>
                  </pic:blipFill>
                  <pic:spPr>
                    <a:xfrm>
                      <a:off x="0" y="0"/>
                      <a:ext cx="5143500" cy="7258050"/>
                    </a:xfrm>
                    <a:prstGeom prst="rect">
                      <a:avLst/>
                    </a:prstGeom>
                    <a:noFill/>
                    <a:ln>
                      <a:noFill/>
                    </a:ln>
                  </pic:spPr>
                </pic:pic>
              </a:graphicData>
            </a:graphic>
          </wp:inline>
        </w:drawing>
      </w:r>
    </w:p>
    <w:p w14:paraId="18364428">
      <w:pPr>
        <w:rPr>
          <w:rFonts w:ascii="Times New Roman" w:hAnsi="Times New Roman" w:eastAsiaTheme="minorEastAsia"/>
          <w:color w:val="FF0000"/>
        </w:rPr>
      </w:pPr>
    </w:p>
    <w:p w14:paraId="74E17178">
      <w:pPr>
        <w:pStyle w:val="26"/>
        <w:rPr>
          <w:rFonts w:ascii="Times New Roman" w:hAnsi="Times New Roman" w:eastAsiaTheme="minorEastAsia"/>
          <w:color w:val="FF0000"/>
        </w:rPr>
      </w:pPr>
    </w:p>
    <w:p w14:paraId="07CAF89E">
      <w:pPr>
        <w:rPr>
          <w:rFonts w:ascii="Times New Roman" w:hAnsi="Times New Roman" w:eastAsiaTheme="minorEastAsia"/>
          <w:color w:val="FF0000"/>
        </w:rPr>
      </w:pPr>
    </w:p>
    <w:p w14:paraId="10B067CB">
      <w:pPr>
        <w:pStyle w:val="26"/>
        <w:rPr>
          <w:rFonts w:ascii="Times New Roman" w:hAnsi="Times New Roman" w:eastAsiaTheme="minorEastAsia"/>
          <w:color w:val="FF0000"/>
        </w:rPr>
      </w:pPr>
    </w:p>
    <w:p w14:paraId="2D5F0C7A">
      <w:pPr>
        <w:pStyle w:val="26"/>
        <w:rPr>
          <w:rFonts w:ascii="Times New Roman" w:hAnsi="Times New Roman" w:eastAsiaTheme="minorEastAsia"/>
          <w:color w:val="FF0000"/>
        </w:rPr>
        <w:sectPr>
          <w:pgSz w:w="11906" w:h="16838"/>
          <w:pgMar w:top="1440" w:right="1800" w:bottom="1440" w:left="1800" w:header="851" w:footer="992" w:gutter="0"/>
          <w:cols w:space="720" w:num="1"/>
          <w:docGrid w:type="lines" w:linePitch="312" w:charSpace="0"/>
        </w:sectPr>
      </w:pPr>
    </w:p>
    <w:p w14:paraId="34153CB2">
      <w:pPr>
        <w:pStyle w:val="26"/>
        <w:outlineLvl w:val="0"/>
        <w:rPr>
          <w:rFonts w:ascii="Times New Roman" w:hAnsi="Times New Roman" w:eastAsiaTheme="minorEastAsia"/>
          <w:b/>
          <w:bCs/>
          <w:color w:val="auto"/>
        </w:rPr>
      </w:pPr>
      <w:r>
        <w:rPr>
          <w:rFonts w:ascii="Times New Roman" w:hAnsi="Times New Roman" w:eastAsiaTheme="minorEastAsia"/>
          <w:b/>
          <w:bCs/>
          <w:color w:val="auto"/>
        </w:rPr>
        <w:t>附件2 监测报告</w:t>
      </w:r>
    </w:p>
    <w:p w14:paraId="6EBA76DD">
      <w:pPr>
        <w:pStyle w:val="26"/>
        <w:outlineLvl w:val="0"/>
        <w:rPr>
          <w:rFonts w:ascii="Times New Roman" w:hAnsi="Times New Roman" w:eastAsiaTheme="minorEastAsia"/>
          <w:b/>
          <w:bCs/>
          <w:color w:val="FF0000"/>
        </w:rPr>
        <w:sectPr>
          <w:pgSz w:w="11906" w:h="16838"/>
          <w:pgMar w:top="1440" w:right="1800" w:bottom="1440" w:left="1800" w:header="851" w:footer="992" w:gutter="0"/>
          <w:cols w:space="720" w:num="1"/>
          <w:docGrid w:type="lines" w:linePitch="312" w:charSpace="0"/>
        </w:sectPr>
      </w:pPr>
      <w:r>
        <w:drawing>
          <wp:inline distT="0" distB="0" distL="114300" distR="114300">
            <wp:extent cx="4862830" cy="6920865"/>
            <wp:effectExtent l="0" t="0" r="13970"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5"/>
                    <a:stretch>
                      <a:fillRect/>
                    </a:stretch>
                  </pic:blipFill>
                  <pic:spPr>
                    <a:xfrm>
                      <a:off x="0" y="0"/>
                      <a:ext cx="4862830" cy="6920865"/>
                    </a:xfrm>
                    <a:prstGeom prst="rect">
                      <a:avLst/>
                    </a:prstGeom>
                    <a:noFill/>
                    <a:ln>
                      <a:noFill/>
                    </a:ln>
                  </pic:spPr>
                </pic:pic>
              </a:graphicData>
            </a:graphic>
          </wp:inline>
        </w:drawing>
      </w:r>
      <w:r>
        <w:drawing>
          <wp:inline distT="0" distB="0" distL="114300" distR="114300">
            <wp:extent cx="5547360" cy="7912100"/>
            <wp:effectExtent l="0" t="0" r="15240" b="1270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6"/>
                    <a:stretch>
                      <a:fillRect/>
                    </a:stretch>
                  </pic:blipFill>
                  <pic:spPr>
                    <a:xfrm>
                      <a:off x="0" y="0"/>
                      <a:ext cx="5547360" cy="7912100"/>
                    </a:xfrm>
                    <a:prstGeom prst="rect">
                      <a:avLst/>
                    </a:prstGeom>
                    <a:noFill/>
                    <a:ln>
                      <a:noFill/>
                    </a:ln>
                  </pic:spPr>
                </pic:pic>
              </a:graphicData>
            </a:graphic>
          </wp:inline>
        </w:drawing>
      </w:r>
      <w:r>
        <w:drawing>
          <wp:inline distT="0" distB="0" distL="114300" distR="114300">
            <wp:extent cx="5188585" cy="7378065"/>
            <wp:effectExtent l="0" t="0" r="12065" b="1333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7"/>
                    <a:stretch>
                      <a:fillRect/>
                    </a:stretch>
                  </pic:blipFill>
                  <pic:spPr>
                    <a:xfrm>
                      <a:off x="0" y="0"/>
                      <a:ext cx="5188585" cy="7378065"/>
                    </a:xfrm>
                    <a:prstGeom prst="rect">
                      <a:avLst/>
                    </a:prstGeom>
                    <a:noFill/>
                    <a:ln>
                      <a:noFill/>
                    </a:ln>
                  </pic:spPr>
                </pic:pic>
              </a:graphicData>
            </a:graphic>
          </wp:inline>
        </w:drawing>
      </w:r>
      <w:r>
        <w:drawing>
          <wp:inline distT="0" distB="0" distL="114300" distR="114300">
            <wp:extent cx="5310505" cy="7569200"/>
            <wp:effectExtent l="0" t="0" r="4445" b="1270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8"/>
                    <a:stretch>
                      <a:fillRect/>
                    </a:stretch>
                  </pic:blipFill>
                  <pic:spPr>
                    <a:xfrm>
                      <a:off x="0" y="0"/>
                      <a:ext cx="5310505" cy="7569200"/>
                    </a:xfrm>
                    <a:prstGeom prst="rect">
                      <a:avLst/>
                    </a:prstGeom>
                    <a:noFill/>
                    <a:ln>
                      <a:noFill/>
                    </a:ln>
                  </pic:spPr>
                </pic:pic>
              </a:graphicData>
            </a:graphic>
          </wp:inline>
        </w:drawing>
      </w:r>
      <w:r>
        <w:drawing>
          <wp:inline distT="0" distB="0" distL="114300" distR="114300">
            <wp:extent cx="5266055" cy="7458075"/>
            <wp:effectExtent l="0" t="0" r="10795" b="952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29"/>
                    <a:stretch>
                      <a:fillRect/>
                    </a:stretch>
                  </pic:blipFill>
                  <pic:spPr>
                    <a:xfrm>
                      <a:off x="0" y="0"/>
                      <a:ext cx="5266055" cy="7458075"/>
                    </a:xfrm>
                    <a:prstGeom prst="rect">
                      <a:avLst/>
                    </a:prstGeom>
                    <a:noFill/>
                    <a:ln>
                      <a:noFill/>
                    </a:ln>
                  </pic:spPr>
                </pic:pic>
              </a:graphicData>
            </a:graphic>
          </wp:inline>
        </w:drawing>
      </w:r>
      <w:r>
        <w:drawing>
          <wp:inline distT="0" distB="0" distL="114300" distR="114300">
            <wp:extent cx="5335905" cy="7556500"/>
            <wp:effectExtent l="0" t="0" r="17145" b="635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30"/>
                    <a:stretch>
                      <a:fillRect/>
                    </a:stretch>
                  </pic:blipFill>
                  <pic:spPr>
                    <a:xfrm>
                      <a:off x="0" y="0"/>
                      <a:ext cx="5335905" cy="7556500"/>
                    </a:xfrm>
                    <a:prstGeom prst="rect">
                      <a:avLst/>
                    </a:prstGeom>
                    <a:noFill/>
                    <a:ln>
                      <a:noFill/>
                    </a:ln>
                  </pic:spPr>
                </pic:pic>
              </a:graphicData>
            </a:graphic>
          </wp:inline>
        </w:drawing>
      </w:r>
      <w:r>
        <w:drawing>
          <wp:inline distT="0" distB="0" distL="114300" distR="114300">
            <wp:extent cx="5547360" cy="7359650"/>
            <wp:effectExtent l="0" t="0" r="15240" b="1270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31"/>
                    <a:stretch>
                      <a:fillRect/>
                    </a:stretch>
                  </pic:blipFill>
                  <pic:spPr>
                    <a:xfrm>
                      <a:off x="0" y="0"/>
                      <a:ext cx="5547360" cy="7359650"/>
                    </a:xfrm>
                    <a:prstGeom prst="rect">
                      <a:avLst/>
                    </a:prstGeom>
                    <a:noFill/>
                    <a:ln>
                      <a:noFill/>
                    </a:ln>
                  </pic:spPr>
                </pic:pic>
              </a:graphicData>
            </a:graphic>
          </wp:inline>
        </w:drawing>
      </w:r>
      <w:bookmarkStart w:id="92" w:name="_GoBack"/>
      <w:bookmarkEnd w:id="92"/>
    </w:p>
    <w:p w14:paraId="0AE9CC5A">
      <w:pPr>
        <w:pStyle w:val="26"/>
        <w:outlineLvl w:val="0"/>
        <w:rPr>
          <w:rFonts w:ascii="Times New Roman" w:hAnsi="Times New Roman" w:eastAsiaTheme="minorEastAsia"/>
          <w:b/>
          <w:bCs/>
          <w:color w:val="auto"/>
        </w:rPr>
      </w:pPr>
      <w:r>
        <w:rPr>
          <w:rFonts w:ascii="Times New Roman" w:hAnsi="Times New Roman" w:eastAsiaTheme="minorEastAsia"/>
          <w:b/>
          <w:bCs/>
          <w:color w:val="auto"/>
        </w:rPr>
        <w:t>附件3 危废委托协议</w:t>
      </w:r>
    </w:p>
    <w:p w14:paraId="1CFFB979">
      <w:r>
        <w:t xml:space="preserve">    </w:t>
      </w:r>
    </w:p>
    <w:p w14:paraId="00524896">
      <w:pPr>
        <w:pStyle w:val="26"/>
      </w:pPr>
    </w:p>
    <w:p w14:paraId="22B257B3">
      <w:pPr>
        <w:pStyle w:val="26"/>
        <w:outlineLvl w:val="0"/>
        <w:rPr>
          <w:rFonts w:ascii="Times New Roman" w:hAnsi="Times New Roman" w:eastAsiaTheme="minorEastAsia"/>
          <w:b/>
          <w:bCs/>
          <w:color w:val="FF0000"/>
        </w:rPr>
        <w:sectPr>
          <w:pgSz w:w="11906" w:h="16838"/>
          <w:pgMar w:top="1440" w:right="1800" w:bottom="1440" w:left="1800" w:header="851" w:footer="992" w:gutter="0"/>
          <w:cols w:space="720" w:num="1"/>
          <w:docGrid w:type="lines" w:linePitch="312" w:charSpace="0"/>
        </w:sectPr>
      </w:pPr>
      <w:r>
        <w:drawing>
          <wp:inline distT="0" distB="0" distL="114300" distR="114300">
            <wp:extent cx="5105400" cy="62865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2"/>
                    <a:stretch>
                      <a:fillRect/>
                    </a:stretch>
                  </pic:blipFill>
                  <pic:spPr>
                    <a:xfrm>
                      <a:off x="0" y="0"/>
                      <a:ext cx="5105400" cy="6286500"/>
                    </a:xfrm>
                    <a:prstGeom prst="rect">
                      <a:avLst/>
                    </a:prstGeom>
                    <a:noFill/>
                    <a:ln>
                      <a:noFill/>
                    </a:ln>
                  </pic:spPr>
                </pic:pic>
              </a:graphicData>
            </a:graphic>
          </wp:inline>
        </w:drawing>
      </w:r>
      <w:r>
        <w:drawing>
          <wp:inline distT="0" distB="0" distL="114300" distR="114300">
            <wp:extent cx="4829175" cy="6848475"/>
            <wp:effectExtent l="0" t="0" r="9525" b="952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3"/>
                    <a:stretch>
                      <a:fillRect/>
                    </a:stretch>
                  </pic:blipFill>
                  <pic:spPr>
                    <a:xfrm>
                      <a:off x="0" y="0"/>
                      <a:ext cx="4829175" cy="6848475"/>
                    </a:xfrm>
                    <a:prstGeom prst="rect">
                      <a:avLst/>
                    </a:prstGeom>
                    <a:noFill/>
                    <a:ln>
                      <a:noFill/>
                    </a:ln>
                  </pic:spPr>
                </pic:pic>
              </a:graphicData>
            </a:graphic>
          </wp:inline>
        </w:drawing>
      </w:r>
      <w:r>
        <w:drawing>
          <wp:inline distT="0" distB="0" distL="114300" distR="114300">
            <wp:extent cx="5273675" cy="6840220"/>
            <wp:effectExtent l="0" t="0" r="3175" b="177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4"/>
                    <a:stretch>
                      <a:fillRect/>
                    </a:stretch>
                  </pic:blipFill>
                  <pic:spPr>
                    <a:xfrm>
                      <a:off x="0" y="0"/>
                      <a:ext cx="5273675" cy="6840220"/>
                    </a:xfrm>
                    <a:prstGeom prst="rect">
                      <a:avLst/>
                    </a:prstGeom>
                    <a:noFill/>
                    <a:ln>
                      <a:noFill/>
                    </a:ln>
                  </pic:spPr>
                </pic:pic>
              </a:graphicData>
            </a:graphic>
          </wp:inline>
        </w:drawing>
      </w:r>
      <w:r>
        <w:drawing>
          <wp:inline distT="0" distB="0" distL="114300" distR="114300">
            <wp:extent cx="5269230" cy="6753225"/>
            <wp:effectExtent l="0" t="0" r="7620"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35"/>
                    <a:stretch>
                      <a:fillRect/>
                    </a:stretch>
                  </pic:blipFill>
                  <pic:spPr>
                    <a:xfrm>
                      <a:off x="0" y="0"/>
                      <a:ext cx="5269230" cy="6753225"/>
                    </a:xfrm>
                    <a:prstGeom prst="rect">
                      <a:avLst/>
                    </a:prstGeom>
                    <a:noFill/>
                    <a:ln>
                      <a:noFill/>
                    </a:ln>
                  </pic:spPr>
                </pic:pic>
              </a:graphicData>
            </a:graphic>
          </wp:inline>
        </w:drawing>
      </w:r>
    </w:p>
    <w:p w14:paraId="41D621F2">
      <w:pPr>
        <w:pStyle w:val="26"/>
        <w:outlineLvl w:val="0"/>
        <w:rPr>
          <w:rFonts w:hint="default" w:ascii="Times New Roman" w:hAnsi="Times New Roman" w:eastAsiaTheme="minorEastAsia"/>
          <w:b/>
          <w:bCs/>
          <w:color w:val="auto"/>
          <w:lang w:val="en-US" w:eastAsia="zh-CN"/>
        </w:rPr>
      </w:pPr>
      <w:r>
        <w:rPr>
          <w:rFonts w:ascii="Times New Roman" w:hAnsi="Times New Roman" w:eastAsiaTheme="minorEastAsia"/>
          <w:b/>
          <w:bCs/>
          <w:color w:val="auto"/>
        </w:rPr>
        <w:t xml:space="preserve">附件4 </w:t>
      </w:r>
      <w:r>
        <w:rPr>
          <w:rFonts w:hint="eastAsia" w:ascii="Times New Roman" w:hAnsi="Times New Roman" w:eastAsiaTheme="minorEastAsia"/>
          <w:b/>
          <w:bCs/>
          <w:color w:val="auto"/>
          <w:lang w:val="en-US" w:eastAsia="zh-CN"/>
        </w:rPr>
        <w:t xml:space="preserve"> 突发环境事件应急预案备案表</w:t>
      </w:r>
    </w:p>
    <w:p w14:paraId="1A735031">
      <w:r>
        <w:t xml:space="preserve"> </w:t>
      </w:r>
    </w:p>
    <w:p w14:paraId="79E2A8C5">
      <w:pPr>
        <w:pStyle w:val="26"/>
        <w:outlineLvl w:val="0"/>
        <w:rPr>
          <w:rFonts w:ascii="Times New Roman" w:hAnsi="Times New Roman" w:eastAsiaTheme="minorEastAsia"/>
          <w:b/>
          <w:bCs/>
          <w:color w:val="FF0000"/>
        </w:rPr>
        <w:sectPr>
          <w:pgSz w:w="11906" w:h="16838"/>
          <w:pgMar w:top="1440" w:right="1800" w:bottom="1440" w:left="1800" w:header="851" w:footer="992" w:gutter="0"/>
          <w:cols w:space="720" w:num="1"/>
          <w:docGrid w:type="lines" w:linePitch="312" w:charSpace="0"/>
        </w:sectPr>
      </w:pPr>
      <w:r>
        <w:drawing>
          <wp:inline distT="0" distB="0" distL="114300" distR="114300">
            <wp:extent cx="5271135" cy="7350125"/>
            <wp:effectExtent l="0" t="0" r="5715" b="317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36"/>
                    <a:stretch>
                      <a:fillRect/>
                    </a:stretch>
                  </pic:blipFill>
                  <pic:spPr>
                    <a:xfrm>
                      <a:off x="0" y="0"/>
                      <a:ext cx="5271135" cy="7350125"/>
                    </a:xfrm>
                    <a:prstGeom prst="rect">
                      <a:avLst/>
                    </a:prstGeom>
                    <a:noFill/>
                    <a:ln>
                      <a:noFill/>
                    </a:ln>
                  </pic:spPr>
                </pic:pic>
              </a:graphicData>
            </a:graphic>
          </wp:inline>
        </w:drawing>
      </w:r>
      <w:r>
        <w:drawing>
          <wp:inline distT="0" distB="0" distL="114300" distR="114300">
            <wp:extent cx="5273040" cy="7033260"/>
            <wp:effectExtent l="0" t="0" r="3810" b="1524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7"/>
                    <a:stretch>
                      <a:fillRect/>
                    </a:stretch>
                  </pic:blipFill>
                  <pic:spPr>
                    <a:xfrm>
                      <a:off x="0" y="0"/>
                      <a:ext cx="5273040" cy="7033260"/>
                    </a:xfrm>
                    <a:prstGeom prst="rect">
                      <a:avLst/>
                    </a:prstGeom>
                    <a:noFill/>
                    <a:ln>
                      <a:noFill/>
                    </a:ln>
                  </pic:spPr>
                </pic:pic>
              </a:graphicData>
            </a:graphic>
          </wp:inline>
        </w:drawing>
      </w:r>
    </w:p>
    <w:p w14:paraId="4004C7ED">
      <w:pPr>
        <w:pStyle w:val="26"/>
        <w:outlineLvl w:val="0"/>
        <w:rPr>
          <w:rFonts w:ascii="Times New Roman" w:hAnsi="Times New Roman" w:eastAsiaTheme="minorEastAsia"/>
          <w:b/>
          <w:bCs/>
          <w:color w:val="auto"/>
        </w:rPr>
      </w:pPr>
      <w:r>
        <w:rPr>
          <w:rFonts w:ascii="Times New Roman" w:hAnsi="Times New Roman" w:eastAsiaTheme="minorEastAsia"/>
          <w:b/>
          <w:bCs/>
          <w:color w:val="auto"/>
        </w:rPr>
        <w:t xml:space="preserve">附件5 </w:t>
      </w:r>
      <w:r>
        <w:rPr>
          <w:rFonts w:hint="eastAsia" w:ascii="Times New Roman" w:hAnsi="Times New Roman" w:eastAsiaTheme="minorEastAsia"/>
          <w:b/>
          <w:bCs/>
          <w:color w:val="auto"/>
        </w:rPr>
        <w:t>排污许可</w:t>
      </w:r>
    </w:p>
    <w:p w14:paraId="79635468">
      <w:pPr>
        <w:jc w:val="both"/>
      </w:pPr>
      <w:r>
        <w:drawing>
          <wp:inline distT="0" distB="0" distL="114300" distR="114300">
            <wp:extent cx="3694430" cy="5418455"/>
            <wp:effectExtent l="0" t="0" r="10795" b="127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8"/>
                    <a:stretch>
                      <a:fillRect/>
                    </a:stretch>
                  </pic:blipFill>
                  <pic:spPr>
                    <a:xfrm rot="16200000">
                      <a:off x="0" y="0"/>
                      <a:ext cx="3694430" cy="5418455"/>
                    </a:xfrm>
                    <a:prstGeom prst="rect">
                      <a:avLst/>
                    </a:prstGeom>
                    <a:noFill/>
                    <a:ln>
                      <a:noFill/>
                    </a:ln>
                  </pic:spPr>
                </pic:pic>
              </a:graphicData>
            </a:graphic>
          </wp:inline>
        </w:drawing>
      </w:r>
    </w:p>
    <w:p w14:paraId="348430B4">
      <w:pPr>
        <w:sectPr>
          <w:pgSz w:w="11906" w:h="16838"/>
          <w:pgMar w:top="1440" w:right="1800" w:bottom="1440" w:left="1800" w:header="851" w:footer="992" w:gutter="0"/>
          <w:cols w:space="720" w:num="1"/>
          <w:docGrid w:type="lines" w:linePitch="312" w:charSpace="0"/>
        </w:sectPr>
      </w:pPr>
      <w:r>
        <w:br w:type="page"/>
      </w:r>
    </w:p>
    <w:p w14:paraId="48601695">
      <w:pPr>
        <w:rPr>
          <w:rFonts w:ascii="Times New Roman" w:hAnsi="Times New Roman" w:eastAsiaTheme="minorEastAsia"/>
          <w:color w:val="FF0000"/>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ˎ̥">
    <w:altName w:val="Times New Roman"/>
    <w:panose1 w:val="00000000000000000000"/>
    <w:charset w:val="01"/>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4F18E">
    <w:pPr>
      <w:pStyle w:val="15"/>
      <w:tabs>
        <w:tab w:val="center" w:pos="4156"/>
        <w:tab w:val="right" w:pos="8432"/>
        <w:tab w:val="clear" w:pos="4153"/>
      </w:tabs>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60D7E">
    <w:pPr>
      <w:pStyle w:val="15"/>
      <w:tabs>
        <w:tab w:val="center" w:pos="4156"/>
        <w:tab w:val="right" w:pos="8432"/>
        <w:tab w:val="clear" w:pos="4153"/>
      </w:tabs>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AC862FC">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QXlk8MBAACP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9TYnjFid+/vnj/OvP+fd3&#10;gj4UqA9QY959wMw0vPMDrs3sB3Rm3oOKNn+REcE4ynu6yCuHRER+tFquVhWGBMbmC+Kzh+chQnov&#10;vSXZaGjE+RVZ+fEjpDF1TsnVnL/TxpQZGvePAzGzh+Xexx6zlYbdMBHa+faEfHocfUMdbjol5oND&#10;ZfOWzEacjd1k5BoQbg8JC5d+MuoINRXDORVG007lRXh8L1kP/9Hm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ABBeWTwwEAAI8DAAAOAAAAAAAAAAEAIAAAAB4BAABkcnMvZTJvRG9jLnhtbFBL&#10;BQYAAAAABgAGAFkBAABTBQAAAAA=&#10;">
              <v:fill on="f" focussize="0,0"/>
              <v:stroke on="f"/>
              <v:imagedata o:title=""/>
              <o:lock v:ext="edit" aspectratio="f"/>
              <v:textbox inset="0mm,0mm,0mm,0mm" style="mso-fit-shape-to-text:t;">
                <w:txbxContent>
                  <w:p w14:paraId="3AC862FC">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A0478">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4A6DD1">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32</w:t>
                          </w:r>
                          <w:r>
                            <w:rPr>
                              <w:rFonts w:ascii="Times New Roman" w:hAnsi="Times New Roman"/>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6HyKsIBAACP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EtbsJbShy3OPHzzx/nX4/nh+8E&#10;fShQH6DGvLuAmWl47wdMnv2Azsx7UNHmLzIiGEd5Txd55ZCIyI9Wy9WqwpDA2HxBfPb0PERIH6S3&#10;JBsNjTi/Iis/foI0ps4puZrzt9qYMkPj/nIgZvaw3PvYY7bSsBsmQjvfnpBPj6NvqMNNp8R8dKhs&#10;3pLZiLOxm4xcA8K7Q8LCpZ+MOkJNxXBOhdG0U3kR/ryXrKf/aPM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H+h8irCAQAAjwMAAA4AAAAAAAAAAQAgAAAAHgEAAGRycy9lMm9Eb2MueG1sUEsF&#10;BgAAAAAGAAYAWQEAAFIFAAAAAA==&#10;">
              <v:fill on="f" focussize="0,0"/>
              <v:stroke on="f"/>
              <v:imagedata o:title=""/>
              <o:lock v:ext="edit" aspectratio="f"/>
              <v:textbox inset="0mm,0mm,0mm,0mm" style="mso-fit-shape-to-text:t;">
                <w:txbxContent>
                  <w:p w14:paraId="374A6DD1">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32</w:t>
                    </w:r>
                    <w:r>
                      <w:rPr>
                        <w:rFonts w:ascii="Times New Roman" w:hAnsi="Times New Roma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E5E80">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5BD192E">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55</w:t>
                          </w:r>
                          <w:r>
                            <w:rPr>
                              <w:rFonts w:ascii="Times New Roman" w:hAnsi="Times New Roman"/>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FXv/MMBAACP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9TYnjFid+/vnj/OvP+fd3&#10;gj4UqA9QY959wMw0vPMDrs3sB3Rm3oOKNn+REcE4ynu6yCuHRER+tFquVhWGBMbmC+Kzh+chQnov&#10;vSXZaGjE+RVZ+fEjpDF1TsnVnL/TxpQZGvePAzGzh+Xexx6zlYbdMBHa+faEfHocfUMdbjol5oND&#10;ZfOWzEacjd1k5BoQbg8JC5d+MuoINRXDORVG007lRXh8L1kP/9Hm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oVe/8wwEAAI8DAAAOAAAAAAAAAAEAIAAAAB4BAABkcnMvZTJvRG9jLnhtbFBL&#10;BQYAAAAABgAGAFkBAABTBQAAAAA=&#10;">
              <v:fill on="f" focussize="0,0"/>
              <v:stroke on="f"/>
              <v:imagedata o:title=""/>
              <o:lock v:ext="edit" aspectratio="f"/>
              <v:textbox inset="0mm,0mm,0mm,0mm" style="mso-fit-shape-to-text:t;">
                <w:txbxContent>
                  <w:p w14:paraId="35BD192E">
                    <w:pPr>
                      <w:pStyle w:val="15"/>
                      <w:rPr>
                        <w:rFonts w:ascii="Times New Roman" w:hAnsi="Times New Roman"/>
                      </w:rP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55</w:t>
                    </w:r>
                    <w:r>
                      <w:rPr>
                        <w:rFonts w:ascii="Times New Roman" w:hAnsi="Times New Roma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61457C"/>
    <w:multiLevelType w:val="singleLevel"/>
    <w:tmpl w:val="0861457C"/>
    <w:lvl w:ilvl="0" w:tentative="0">
      <w:start w:val="1"/>
      <w:numFmt w:val="chineseCounting"/>
      <w:suff w:val="nothing"/>
      <w:lvlText w:val="%1、"/>
      <w:lvlJc w:val="left"/>
      <w:rPr>
        <w:rFonts w:hint="eastAsia"/>
      </w:rPr>
    </w:lvl>
  </w:abstractNum>
  <w:abstractNum w:abstractNumId="1">
    <w:nsid w:val="6A9B34D4"/>
    <w:multiLevelType w:val="singleLevel"/>
    <w:tmpl w:val="6A9B34D4"/>
    <w:lvl w:ilvl="0" w:tentative="0">
      <w:start w:val="6"/>
      <w:numFmt w:val="decimal"/>
      <w:lvlText w:val="%1."/>
      <w:lvlJc w:val="left"/>
      <w:pPr>
        <w:tabs>
          <w:tab w:val="left" w:pos="312"/>
        </w:tabs>
      </w:pPr>
    </w:lvl>
  </w:abstractNum>
  <w:abstractNum w:abstractNumId="2">
    <w:nsid w:val="76B92163"/>
    <w:multiLevelType w:val="singleLevel"/>
    <w:tmpl w:val="76B92163"/>
    <w:lvl w:ilvl="0" w:tentative="0">
      <w:start w:val="2"/>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hideSpellingErrors/>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MzZDBjMWM4MDhmZjAwZjcwZWY1ZGQ5YWY0ZTZjZDcifQ=="/>
  </w:docVars>
  <w:rsids>
    <w:rsidRoot w:val="004F6473"/>
    <w:rsid w:val="000010F2"/>
    <w:rsid w:val="00006559"/>
    <w:rsid w:val="0000751A"/>
    <w:rsid w:val="00020F4C"/>
    <w:rsid w:val="0003154D"/>
    <w:rsid w:val="000701D1"/>
    <w:rsid w:val="0009678E"/>
    <w:rsid w:val="000A3105"/>
    <w:rsid w:val="000A6FC3"/>
    <w:rsid w:val="000C6CCF"/>
    <w:rsid w:val="000D082D"/>
    <w:rsid w:val="000D5E3A"/>
    <w:rsid w:val="000E01BD"/>
    <w:rsid w:val="00101961"/>
    <w:rsid w:val="001060AA"/>
    <w:rsid w:val="00123C36"/>
    <w:rsid w:val="00135622"/>
    <w:rsid w:val="001442A8"/>
    <w:rsid w:val="0014641A"/>
    <w:rsid w:val="00162823"/>
    <w:rsid w:val="00172A22"/>
    <w:rsid w:val="0017450A"/>
    <w:rsid w:val="001754B7"/>
    <w:rsid w:val="001803D2"/>
    <w:rsid w:val="0018533E"/>
    <w:rsid w:val="001A12F7"/>
    <w:rsid w:val="001C2970"/>
    <w:rsid w:val="001C5468"/>
    <w:rsid w:val="001C5F5E"/>
    <w:rsid w:val="001C7A69"/>
    <w:rsid w:val="001D2A01"/>
    <w:rsid w:val="001E3F53"/>
    <w:rsid w:val="001E76BA"/>
    <w:rsid w:val="00202480"/>
    <w:rsid w:val="00202DE5"/>
    <w:rsid w:val="00204AFB"/>
    <w:rsid w:val="00206AEF"/>
    <w:rsid w:val="00210FA6"/>
    <w:rsid w:val="002116C8"/>
    <w:rsid w:val="00212203"/>
    <w:rsid w:val="00214987"/>
    <w:rsid w:val="00220FA6"/>
    <w:rsid w:val="00222DEF"/>
    <w:rsid w:val="002300BD"/>
    <w:rsid w:val="00231FE7"/>
    <w:rsid w:val="00234673"/>
    <w:rsid w:val="00253260"/>
    <w:rsid w:val="002561D6"/>
    <w:rsid w:val="00256F35"/>
    <w:rsid w:val="0026072E"/>
    <w:rsid w:val="00260AC6"/>
    <w:rsid w:val="00287060"/>
    <w:rsid w:val="002A13A6"/>
    <w:rsid w:val="002B5D80"/>
    <w:rsid w:val="002B6BF3"/>
    <w:rsid w:val="002B7B61"/>
    <w:rsid w:val="002C02C2"/>
    <w:rsid w:val="002E62A1"/>
    <w:rsid w:val="002F2809"/>
    <w:rsid w:val="002F378F"/>
    <w:rsid w:val="002F37AA"/>
    <w:rsid w:val="00313D32"/>
    <w:rsid w:val="00315310"/>
    <w:rsid w:val="0032675D"/>
    <w:rsid w:val="00333AE5"/>
    <w:rsid w:val="00342837"/>
    <w:rsid w:val="00346A32"/>
    <w:rsid w:val="00354A5D"/>
    <w:rsid w:val="0036709C"/>
    <w:rsid w:val="003738DB"/>
    <w:rsid w:val="00383478"/>
    <w:rsid w:val="003B7382"/>
    <w:rsid w:val="003C3B91"/>
    <w:rsid w:val="003C4F71"/>
    <w:rsid w:val="003C76A0"/>
    <w:rsid w:val="003D19B4"/>
    <w:rsid w:val="003D4925"/>
    <w:rsid w:val="003D4B5E"/>
    <w:rsid w:val="003E001A"/>
    <w:rsid w:val="003E1555"/>
    <w:rsid w:val="003F0AAD"/>
    <w:rsid w:val="003F229E"/>
    <w:rsid w:val="003F6A7E"/>
    <w:rsid w:val="00402B2E"/>
    <w:rsid w:val="004069F5"/>
    <w:rsid w:val="00407C84"/>
    <w:rsid w:val="00421638"/>
    <w:rsid w:val="004229A5"/>
    <w:rsid w:val="0044174B"/>
    <w:rsid w:val="00452D53"/>
    <w:rsid w:val="0045409B"/>
    <w:rsid w:val="004576F2"/>
    <w:rsid w:val="00474C56"/>
    <w:rsid w:val="00476475"/>
    <w:rsid w:val="00481728"/>
    <w:rsid w:val="004844A3"/>
    <w:rsid w:val="004A2C04"/>
    <w:rsid w:val="004C546B"/>
    <w:rsid w:val="004C6401"/>
    <w:rsid w:val="004C79E4"/>
    <w:rsid w:val="004E2181"/>
    <w:rsid w:val="004E3A02"/>
    <w:rsid w:val="004F43EF"/>
    <w:rsid w:val="004F6473"/>
    <w:rsid w:val="0050418E"/>
    <w:rsid w:val="00504509"/>
    <w:rsid w:val="00522386"/>
    <w:rsid w:val="00531D52"/>
    <w:rsid w:val="00537449"/>
    <w:rsid w:val="00555425"/>
    <w:rsid w:val="00563952"/>
    <w:rsid w:val="0056661A"/>
    <w:rsid w:val="00571499"/>
    <w:rsid w:val="00574E9F"/>
    <w:rsid w:val="005A5164"/>
    <w:rsid w:val="005A6A03"/>
    <w:rsid w:val="005B1BC5"/>
    <w:rsid w:val="005B5CC8"/>
    <w:rsid w:val="005C7CFC"/>
    <w:rsid w:val="005F6D6B"/>
    <w:rsid w:val="0060679A"/>
    <w:rsid w:val="006130AE"/>
    <w:rsid w:val="00616FF3"/>
    <w:rsid w:val="0062328B"/>
    <w:rsid w:val="00630C18"/>
    <w:rsid w:val="00631E4A"/>
    <w:rsid w:val="006375EC"/>
    <w:rsid w:val="0063783F"/>
    <w:rsid w:val="00644058"/>
    <w:rsid w:val="00646307"/>
    <w:rsid w:val="00653AD1"/>
    <w:rsid w:val="006602AA"/>
    <w:rsid w:val="006627D0"/>
    <w:rsid w:val="00674AF1"/>
    <w:rsid w:val="006803B8"/>
    <w:rsid w:val="006845A0"/>
    <w:rsid w:val="00687F6E"/>
    <w:rsid w:val="006921FD"/>
    <w:rsid w:val="00693A70"/>
    <w:rsid w:val="00694B56"/>
    <w:rsid w:val="006979EF"/>
    <w:rsid w:val="006A2EAC"/>
    <w:rsid w:val="006A3A77"/>
    <w:rsid w:val="006A7E3E"/>
    <w:rsid w:val="006C3FB0"/>
    <w:rsid w:val="006D13F0"/>
    <w:rsid w:val="006D7B08"/>
    <w:rsid w:val="006D7BD8"/>
    <w:rsid w:val="006E7104"/>
    <w:rsid w:val="006F0BDF"/>
    <w:rsid w:val="006F3274"/>
    <w:rsid w:val="00700CA9"/>
    <w:rsid w:val="00704F06"/>
    <w:rsid w:val="00713859"/>
    <w:rsid w:val="00713FE9"/>
    <w:rsid w:val="00726098"/>
    <w:rsid w:val="00730727"/>
    <w:rsid w:val="00775724"/>
    <w:rsid w:val="00776247"/>
    <w:rsid w:val="00776863"/>
    <w:rsid w:val="00780B2B"/>
    <w:rsid w:val="00795516"/>
    <w:rsid w:val="007973A3"/>
    <w:rsid w:val="007A6315"/>
    <w:rsid w:val="007A789F"/>
    <w:rsid w:val="007A7998"/>
    <w:rsid w:val="007A7C35"/>
    <w:rsid w:val="007B71EF"/>
    <w:rsid w:val="007C5229"/>
    <w:rsid w:val="007D1E5A"/>
    <w:rsid w:val="007D5498"/>
    <w:rsid w:val="007E43DA"/>
    <w:rsid w:val="007F6F7A"/>
    <w:rsid w:val="00804DFB"/>
    <w:rsid w:val="00804E22"/>
    <w:rsid w:val="0082055D"/>
    <w:rsid w:val="008510C0"/>
    <w:rsid w:val="008574C3"/>
    <w:rsid w:val="00860BB8"/>
    <w:rsid w:val="00860D32"/>
    <w:rsid w:val="00861C8D"/>
    <w:rsid w:val="00861F6F"/>
    <w:rsid w:val="00863A7F"/>
    <w:rsid w:val="008662B1"/>
    <w:rsid w:val="008762A8"/>
    <w:rsid w:val="00881C93"/>
    <w:rsid w:val="00881D00"/>
    <w:rsid w:val="008827D0"/>
    <w:rsid w:val="00884476"/>
    <w:rsid w:val="00886839"/>
    <w:rsid w:val="00887CFA"/>
    <w:rsid w:val="00890D8B"/>
    <w:rsid w:val="00894487"/>
    <w:rsid w:val="00896CEC"/>
    <w:rsid w:val="00897389"/>
    <w:rsid w:val="00897932"/>
    <w:rsid w:val="008B088B"/>
    <w:rsid w:val="008D47BE"/>
    <w:rsid w:val="008F42DA"/>
    <w:rsid w:val="009134F1"/>
    <w:rsid w:val="009140DB"/>
    <w:rsid w:val="0093570E"/>
    <w:rsid w:val="009432CA"/>
    <w:rsid w:val="009467BD"/>
    <w:rsid w:val="00954CE0"/>
    <w:rsid w:val="00962A55"/>
    <w:rsid w:val="00967E49"/>
    <w:rsid w:val="009740BF"/>
    <w:rsid w:val="00984930"/>
    <w:rsid w:val="00984BE7"/>
    <w:rsid w:val="009A2E39"/>
    <w:rsid w:val="009A669E"/>
    <w:rsid w:val="009A71DD"/>
    <w:rsid w:val="009B7CD3"/>
    <w:rsid w:val="009E0D38"/>
    <w:rsid w:val="009E3501"/>
    <w:rsid w:val="009E62AD"/>
    <w:rsid w:val="009E630F"/>
    <w:rsid w:val="00A132A4"/>
    <w:rsid w:val="00A22D7C"/>
    <w:rsid w:val="00A2393E"/>
    <w:rsid w:val="00A37E72"/>
    <w:rsid w:val="00A56AF7"/>
    <w:rsid w:val="00A576B4"/>
    <w:rsid w:val="00A72E98"/>
    <w:rsid w:val="00A83B0B"/>
    <w:rsid w:val="00A87265"/>
    <w:rsid w:val="00A872C0"/>
    <w:rsid w:val="00A87AC8"/>
    <w:rsid w:val="00AA1083"/>
    <w:rsid w:val="00AA27DC"/>
    <w:rsid w:val="00AA7D70"/>
    <w:rsid w:val="00AD282E"/>
    <w:rsid w:val="00AD47E5"/>
    <w:rsid w:val="00AE1EAA"/>
    <w:rsid w:val="00AE287D"/>
    <w:rsid w:val="00AF1C06"/>
    <w:rsid w:val="00AF2A89"/>
    <w:rsid w:val="00B02B60"/>
    <w:rsid w:val="00B1150A"/>
    <w:rsid w:val="00B1549A"/>
    <w:rsid w:val="00B26249"/>
    <w:rsid w:val="00B32002"/>
    <w:rsid w:val="00B3301C"/>
    <w:rsid w:val="00B377BD"/>
    <w:rsid w:val="00B474CF"/>
    <w:rsid w:val="00B5192F"/>
    <w:rsid w:val="00B721E0"/>
    <w:rsid w:val="00B77958"/>
    <w:rsid w:val="00B83115"/>
    <w:rsid w:val="00B863FD"/>
    <w:rsid w:val="00B94E37"/>
    <w:rsid w:val="00B9540A"/>
    <w:rsid w:val="00BA2340"/>
    <w:rsid w:val="00BA2C8B"/>
    <w:rsid w:val="00BA62F2"/>
    <w:rsid w:val="00BA7CEE"/>
    <w:rsid w:val="00BB1FCE"/>
    <w:rsid w:val="00BB3BA3"/>
    <w:rsid w:val="00BB5E3F"/>
    <w:rsid w:val="00BC0653"/>
    <w:rsid w:val="00BD1652"/>
    <w:rsid w:val="00BE343A"/>
    <w:rsid w:val="00BF4CA8"/>
    <w:rsid w:val="00C150B5"/>
    <w:rsid w:val="00C178ED"/>
    <w:rsid w:val="00C31EC9"/>
    <w:rsid w:val="00C3449C"/>
    <w:rsid w:val="00C36861"/>
    <w:rsid w:val="00C42BA2"/>
    <w:rsid w:val="00C44BD7"/>
    <w:rsid w:val="00C4565A"/>
    <w:rsid w:val="00C501FC"/>
    <w:rsid w:val="00C519C8"/>
    <w:rsid w:val="00C56812"/>
    <w:rsid w:val="00C66E33"/>
    <w:rsid w:val="00C710D2"/>
    <w:rsid w:val="00C71CAC"/>
    <w:rsid w:val="00C74FAC"/>
    <w:rsid w:val="00C906D8"/>
    <w:rsid w:val="00CA0C00"/>
    <w:rsid w:val="00CA1A42"/>
    <w:rsid w:val="00CA7863"/>
    <w:rsid w:val="00CA7CB9"/>
    <w:rsid w:val="00CA7FB1"/>
    <w:rsid w:val="00CB0C30"/>
    <w:rsid w:val="00CB4FAF"/>
    <w:rsid w:val="00CB5656"/>
    <w:rsid w:val="00CB64A0"/>
    <w:rsid w:val="00CE4202"/>
    <w:rsid w:val="00D17FB9"/>
    <w:rsid w:val="00D26234"/>
    <w:rsid w:val="00D355A4"/>
    <w:rsid w:val="00D36BBA"/>
    <w:rsid w:val="00D40B84"/>
    <w:rsid w:val="00D43925"/>
    <w:rsid w:val="00D5015B"/>
    <w:rsid w:val="00D5589C"/>
    <w:rsid w:val="00D564C0"/>
    <w:rsid w:val="00D60BA6"/>
    <w:rsid w:val="00D70FF4"/>
    <w:rsid w:val="00D7168C"/>
    <w:rsid w:val="00D7270E"/>
    <w:rsid w:val="00D72933"/>
    <w:rsid w:val="00D7672F"/>
    <w:rsid w:val="00D95207"/>
    <w:rsid w:val="00DA1D0A"/>
    <w:rsid w:val="00DA2441"/>
    <w:rsid w:val="00DB227E"/>
    <w:rsid w:val="00DB35B2"/>
    <w:rsid w:val="00DE49F3"/>
    <w:rsid w:val="00DF245A"/>
    <w:rsid w:val="00DF26B0"/>
    <w:rsid w:val="00DF6AA7"/>
    <w:rsid w:val="00E04D3A"/>
    <w:rsid w:val="00E102FC"/>
    <w:rsid w:val="00E11231"/>
    <w:rsid w:val="00E145BD"/>
    <w:rsid w:val="00E14C3D"/>
    <w:rsid w:val="00E30ADF"/>
    <w:rsid w:val="00E45423"/>
    <w:rsid w:val="00E54DF4"/>
    <w:rsid w:val="00E5529D"/>
    <w:rsid w:val="00E56772"/>
    <w:rsid w:val="00E73504"/>
    <w:rsid w:val="00E83AEE"/>
    <w:rsid w:val="00E872E8"/>
    <w:rsid w:val="00EA2197"/>
    <w:rsid w:val="00EA71B8"/>
    <w:rsid w:val="00ED018D"/>
    <w:rsid w:val="00ED48EB"/>
    <w:rsid w:val="00ED549A"/>
    <w:rsid w:val="00EF07F9"/>
    <w:rsid w:val="00EF1C01"/>
    <w:rsid w:val="00F0371E"/>
    <w:rsid w:val="00F1693E"/>
    <w:rsid w:val="00F3048C"/>
    <w:rsid w:val="00F30962"/>
    <w:rsid w:val="00F430D2"/>
    <w:rsid w:val="00F553DB"/>
    <w:rsid w:val="00F623AE"/>
    <w:rsid w:val="00F66A1F"/>
    <w:rsid w:val="00F711F0"/>
    <w:rsid w:val="00F77FEE"/>
    <w:rsid w:val="00F80606"/>
    <w:rsid w:val="00F9293D"/>
    <w:rsid w:val="00F93FF1"/>
    <w:rsid w:val="00F969DE"/>
    <w:rsid w:val="00FA2E80"/>
    <w:rsid w:val="00FB2327"/>
    <w:rsid w:val="00FB3848"/>
    <w:rsid w:val="00FB4255"/>
    <w:rsid w:val="00FB595A"/>
    <w:rsid w:val="00FC67AB"/>
    <w:rsid w:val="00FD0905"/>
    <w:rsid w:val="00FD2992"/>
    <w:rsid w:val="00FE07DD"/>
    <w:rsid w:val="00FE12DC"/>
    <w:rsid w:val="00FE4D69"/>
    <w:rsid w:val="01073AB0"/>
    <w:rsid w:val="01187125"/>
    <w:rsid w:val="01191CCC"/>
    <w:rsid w:val="01194C06"/>
    <w:rsid w:val="011B2BE4"/>
    <w:rsid w:val="013514CE"/>
    <w:rsid w:val="014A44CB"/>
    <w:rsid w:val="01552FCC"/>
    <w:rsid w:val="01554340"/>
    <w:rsid w:val="01557B14"/>
    <w:rsid w:val="0157177D"/>
    <w:rsid w:val="015B60F2"/>
    <w:rsid w:val="01687D3B"/>
    <w:rsid w:val="018960DB"/>
    <w:rsid w:val="019D2D40"/>
    <w:rsid w:val="019F4B48"/>
    <w:rsid w:val="01A32EC8"/>
    <w:rsid w:val="01AB7081"/>
    <w:rsid w:val="01AD6C68"/>
    <w:rsid w:val="01B403CB"/>
    <w:rsid w:val="01B46DCD"/>
    <w:rsid w:val="01B47943"/>
    <w:rsid w:val="01B613F5"/>
    <w:rsid w:val="01B94C83"/>
    <w:rsid w:val="01C22C34"/>
    <w:rsid w:val="01CB676F"/>
    <w:rsid w:val="01D533BA"/>
    <w:rsid w:val="01EF5043"/>
    <w:rsid w:val="01F52416"/>
    <w:rsid w:val="02073168"/>
    <w:rsid w:val="020E5D69"/>
    <w:rsid w:val="021A167E"/>
    <w:rsid w:val="021C3378"/>
    <w:rsid w:val="022401D7"/>
    <w:rsid w:val="02303A41"/>
    <w:rsid w:val="023546A5"/>
    <w:rsid w:val="023D0095"/>
    <w:rsid w:val="02431EC5"/>
    <w:rsid w:val="02483A89"/>
    <w:rsid w:val="02576D9F"/>
    <w:rsid w:val="025813B6"/>
    <w:rsid w:val="0267187F"/>
    <w:rsid w:val="027814ED"/>
    <w:rsid w:val="02897298"/>
    <w:rsid w:val="028E1A56"/>
    <w:rsid w:val="0293544E"/>
    <w:rsid w:val="02990BD3"/>
    <w:rsid w:val="02A31D59"/>
    <w:rsid w:val="02A44054"/>
    <w:rsid w:val="02A76933"/>
    <w:rsid w:val="02CD1A3A"/>
    <w:rsid w:val="02E85E93"/>
    <w:rsid w:val="02E95E7F"/>
    <w:rsid w:val="02F74C17"/>
    <w:rsid w:val="030067E8"/>
    <w:rsid w:val="030804F2"/>
    <w:rsid w:val="03086E7F"/>
    <w:rsid w:val="030A0849"/>
    <w:rsid w:val="030C7293"/>
    <w:rsid w:val="030F2328"/>
    <w:rsid w:val="031D4427"/>
    <w:rsid w:val="03325AE1"/>
    <w:rsid w:val="03344733"/>
    <w:rsid w:val="03392280"/>
    <w:rsid w:val="034A7EA9"/>
    <w:rsid w:val="034D2A4D"/>
    <w:rsid w:val="035B5C93"/>
    <w:rsid w:val="035C4B88"/>
    <w:rsid w:val="03624907"/>
    <w:rsid w:val="036B241B"/>
    <w:rsid w:val="036C198C"/>
    <w:rsid w:val="037A06EC"/>
    <w:rsid w:val="03837EC7"/>
    <w:rsid w:val="0391689B"/>
    <w:rsid w:val="039A7CB2"/>
    <w:rsid w:val="03A718DB"/>
    <w:rsid w:val="03A776B6"/>
    <w:rsid w:val="03B961A6"/>
    <w:rsid w:val="03C01CD2"/>
    <w:rsid w:val="03C30BDF"/>
    <w:rsid w:val="03D96319"/>
    <w:rsid w:val="03E137B9"/>
    <w:rsid w:val="03F7611B"/>
    <w:rsid w:val="040434E4"/>
    <w:rsid w:val="04137A53"/>
    <w:rsid w:val="04205348"/>
    <w:rsid w:val="042D6370"/>
    <w:rsid w:val="043615E5"/>
    <w:rsid w:val="0438385A"/>
    <w:rsid w:val="043A3E2F"/>
    <w:rsid w:val="043E6147"/>
    <w:rsid w:val="04417A84"/>
    <w:rsid w:val="04434ED5"/>
    <w:rsid w:val="04454344"/>
    <w:rsid w:val="0450316A"/>
    <w:rsid w:val="04553135"/>
    <w:rsid w:val="045B2DDC"/>
    <w:rsid w:val="045C0C37"/>
    <w:rsid w:val="045C5AE7"/>
    <w:rsid w:val="045C5E58"/>
    <w:rsid w:val="0465514F"/>
    <w:rsid w:val="046956D1"/>
    <w:rsid w:val="0469638A"/>
    <w:rsid w:val="046C750D"/>
    <w:rsid w:val="0472428E"/>
    <w:rsid w:val="047A0A89"/>
    <w:rsid w:val="047B4BC9"/>
    <w:rsid w:val="047D147E"/>
    <w:rsid w:val="04AE6B89"/>
    <w:rsid w:val="04BD581A"/>
    <w:rsid w:val="04BE68E9"/>
    <w:rsid w:val="04C50B4B"/>
    <w:rsid w:val="04CE35CF"/>
    <w:rsid w:val="04CE5E4E"/>
    <w:rsid w:val="04F1328F"/>
    <w:rsid w:val="04F66BF7"/>
    <w:rsid w:val="04FB6089"/>
    <w:rsid w:val="04FC7DE0"/>
    <w:rsid w:val="05023C57"/>
    <w:rsid w:val="05067B56"/>
    <w:rsid w:val="050E2D23"/>
    <w:rsid w:val="050F26DC"/>
    <w:rsid w:val="05180FA9"/>
    <w:rsid w:val="05212151"/>
    <w:rsid w:val="052D717C"/>
    <w:rsid w:val="0534135E"/>
    <w:rsid w:val="054168BE"/>
    <w:rsid w:val="054C00F9"/>
    <w:rsid w:val="0550141B"/>
    <w:rsid w:val="055D7B23"/>
    <w:rsid w:val="05632109"/>
    <w:rsid w:val="056B2BBA"/>
    <w:rsid w:val="056C40F6"/>
    <w:rsid w:val="058556A9"/>
    <w:rsid w:val="05855734"/>
    <w:rsid w:val="058778A8"/>
    <w:rsid w:val="058E39E8"/>
    <w:rsid w:val="05927B31"/>
    <w:rsid w:val="05992BA8"/>
    <w:rsid w:val="05993D91"/>
    <w:rsid w:val="05997A1D"/>
    <w:rsid w:val="05A75505"/>
    <w:rsid w:val="05A92092"/>
    <w:rsid w:val="05B72DC0"/>
    <w:rsid w:val="05BC716C"/>
    <w:rsid w:val="05BF7F54"/>
    <w:rsid w:val="05C00B74"/>
    <w:rsid w:val="05C861F4"/>
    <w:rsid w:val="05CA7796"/>
    <w:rsid w:val="05CD231A"/>
    <w:rsid w:val="05D76DEC"/>
    <w:rsid w:val="05DD5C05"/>
    <w:rsid w:val="05E26A69"/>
    <w:rsid w:val="05E354AD"/>
    <w:rsid w:val="05EA64C7"/>
    <w:rsid w:val="05EE6FCE"/>
    <w:rsid w:val="05F1531D"/>
    <w:rsid w:val="05F374A2"/>
    <w:rsid w:val="05F41FE7"/>
    <w:rsid w:val="05FE6856"/>
    <w:rsid w:val="05FF539E"/>
    <w:rsid w:val="060D7038"/>
    <w:rsid w:val="06142BA7"/>
    <w:rsid w:val="06142F19"/>
    <w:rsid w:val="06280607"/>
    <w:rsid w:val="062B26ED"/>
    <w:rsid w:val="062D4788"/>
    <w:rsid w:val="06340D98"/>
    <w:rsid w:val="06352F43"/>
    <w:rsid w:val="063B7AB1"/>
    <w:rsid w:val="063D0284"/>
    <w:rsid w:val="06450ABD"/>
    <w:rsid w:val="065418C8"/>
    <w:rsid w:val="06557E52"/>
    <w:rsid w:val="065A4F1A"/>
    <w:rsid w:val="065B1EDC"/>
    <w:rsid w:val="06627D35"/>
    <w:rsid w:val="06632D01"/>
    <w:rsid w:val="06647B78"/>
    <w:rsid w:val="066636CB"/>
    <w:rsid w:val="06675F97"/>
    <w:rsid w:val="066953D7"/>
    <w:rsid w:val="066C0E8A"/>
    <w:rsid w:val="066F2CCB"/>
    <w:rsid w:val="06745D56"/>
    <w:rsid w:val="067A04D9"/>
    <w:rsid w:val="0682323D"/>
    <w:rsid w:val="06867A11"/>
    <w:rsid w:val="068E1C7E"/>
    <w:rsid w:val="069074E1"/>
    <w:rsid w:val="069E4CBD"/>
    <w:rsid w:val="06AC4759"/>
    <w:rsid w:val="06B30B9D"/>
    <w:rsid w:val="06B726F6"/>
    <w:rsid w:val="06B76E06"/>
    <w:rsid w:val="06D001AB"/>
    <w:rsid w:val="06D55D2D"/>
    <w:rsid w:val="06DF46E1"/>
    <w:rsid w:val="06E56D93"/>
    <w:rsid w:val="06E80D7D"/>
    <w:rsid w:val="06F07EBA"/>
    <w:rsid w:val="06F50141"/>
    <w:rsid w:val="06F72F45"/>
    <w:rsid w:val="070825D5"/>
    <w:rsid w:val="070F73B3"/>
    <w:rsid w:val="071A4FFB"/>
    <w:rsid w:val="07442415"/>
    <w:rsid w:val="0749706E"/>
    <w:rsid w:val="07507FCE"/>
    <w:rsid w:val="07524A05"/>
    <w:rsid w:val="07544777"/>
    <w:rsid w:val="07575432"/>
    <w:rsid w:val="07667579"/>
    <w:rsid w:val="076857D8"/>
    <w:rsid w:val="076C28D9"/>
    <w:rsid w:val="077A65E7"/>
    <w:rsid w:val="077E7BBE"/>
    <w:rsid w:val="0782381E"/>
    <w:rsid w:val="07882A21"/>
    <w:rsid w:val="079330D0"/>
    <w:rsid w:val="079B11B4"/>
    <w:rsid w:val="079F2EE2"/>
    <w:rsid w:val="07A669A0"/>
    <w:rsid w:val="07AB0CC1"/>
    <w:rsid w:val="07AF53A9"/>
    <w:rsid w:val="07B70C2A"/>
    <w:rsid w:val="07C96CC3"/>
    <w:rsid w:val="07E167CE"/>
    <w:rsid w:val="07EA0942"/>
    <w:rsid w:val="07F66782"/>
    <w:rsid w:val="07F77889"/>
    <w:rsid w:val="07F86B46"/>
    <w:rsid w:val="07FE1A95"/>
    <w:rsid w:val="08051E0C"/>
    <w:rsid w:val="08073162"/>
    <w:rsid w:val="080E3EC3"/>
    <w:rsid w:val="08107A25"/>
    <w:rsid w:val="08131F04"/>
    <w:rsid w:val="08220647"/>
    <w:rsid w:val="082F33F8"/>
    <w:rsid w:val="08381D90"/>
    <w:rsid w:val="08433586"/>
    <w:rsid w:val="084768A8"/>
    <w:rsid w:val="084E44E4"/>
    <w:rsid w:val="08551CB8"/>
    <w:rsid w:val="085630AB"/>
    <w:rsid w:val="085C5EF1"/>
    <w:rsid w:val="085F2E01"/>
    <w:rsid w:val="086A1DF8"/>
    <w:rsid w:val="08707E34"/>
    <w:rsid w:val="087A64BB"/>
    <w:rsid w:val="087D3529"/>
    <w:rsid w:val="087E1794"/>
    <w:rsid w:val="087F0F8A"/>
    <w:rsid w:val="08816865"/>
    <w:rsid w:val="08865CB4"/>
    <w:rsid w:val="08951721"/>
    <w:rsid w:val="08B123B3"/>
    <w:rsid w:val="08B94BF1"/>
    <w:rsid w:val="08D60D06"/>
    <w:rsid w:val="08DD1B29"/>
    <w:rsid w:val="08E050CD"/>
    <w:rsid w:val="08E33FF4"/>
    <w:rsid w:val="08E73240"/>
    <w:rsid w:val="08F72F17"/>
    <w:rsid w:val="09055CFD"/>
    <w:rsid w:val="09085A4B"/>
    <w:rsid w:val="090B2D28"/>
    <w:rsid w:val="09164F9E"/>
    <w:rsid w:val="091A5286"/>
    <w:rsid w:val="091D24E1"/>
    <w:rsid w:val="092A6B1D"/>
    <w:rsid w:val="09317896"/>
    <w:rsid w:val="093969C0"/>
    <w:rsid w:val="0941202C"/>
    <w:rsid w:val="09436C96"/>
    <w:rsid w:val="09442A86"/>
    <w:rsid w:val="094C7573"/>
    <w:rsid w:val="095613DC"/>
    <w:rsid w:val="09610434"/>
    <w:rsid w:val="09622A32"/>
    <w:rsid w:val="096E40F9"/>
    <w:rsid w:val="096F3F46"/>
    <w:rsid w:val="0976670E"/>
    <w:rsid w:val="09855739"/>
    <w:rsid w:val="098A2349"/>
    <w:rsid w:val="09927AE4"/>
    <w:rsid w:val="09A37BA5"/>
    <w:rsid w:val="09DB46AA"/>
    <w:rsid w:val="09DD50C3"/>
    <w:rsid w:val="09F43F56"/>
    <w:rsid w:val="0A010515"/>
    <w:rsid w:val="0A2C2790"/>
    <w:rsid w:val="0A2E447B"/>
    <w:rsid w:val="0A35074E"/>
    <w:rsid w:val="0A3967BF"/>
    <w:rsid w:val="0A3C7A47"/>
    <w:rsid w:val="0A3E08A4"/>
    <w:rsid w:val="0A3F4E5A"/>
    <w:rsid w:val="0A40447F"/>
    <w:rsid w:val="0A477BA3"/>
    <w:rsid w:val="0A5D6906"/>
    <w:rsid w:val="0A682327"/>
    <w:rsid w:val="0A774278"/>
    <w:rsid w:val="0A776A1F"/>
    <w:rsid w:val="0A7D45C0"/>
    <w:rsid w:val="0A865471"/>
    <w:rsid w:val="0A8E4B31"/>
    <w:rsid w:val="0A9F1A27"/>
    <w:rsid w:val="0AA94475"/>
    <w:rsid w:val="0AAD5479"/>
    <w:rsid w:val="0AB177B8"/>
    <w:rsid w:val="0AB22477"/>
    <w:rsid w:val="0AC15B95"/>
    <w:rsid w:val="0ACF7736"/>
    <w:rsid w:val="0AE6028C"/>
    <w:rsid w:val="0AE75332"/>
    <w:rsid w:val="0AEB5C04"/>
    <w:rsid w:val="0AF76ACB"/>
    <w:rsid w:val="0AF83D3D"/>
    <w:rsid w:val="0B0401B2"/>
    <w:rsid w:val="0B0479DE"/>
    <w:rsid w:val="0B0C4D08"/>
    <w:rsid w:val="0B2123D9"/>
    <w:rsid w:val="0B23671C"/>
    <w:rsid w:val="0B324ACE"/>
    <w:rsid w:val="0B325D24"/>
    <w:rsid w:val="0B450720"/>
    <w:rsid w:val="0B474E70"/>
    <w:rsid w:val="0B4D012D"/>
    <w:rsid w:val="0B5E32E2"/>
    <w:rsid w:val="0B6472AE"/>
    <w:rsid w:val="0B712160"/>
    <w:rsid w:val="0B716FF9"/>
    <w:rsid w:val="0B771635"/>
    <w:rsid w:val="0B8A1065"/>
    <w:rsid w:val="0B8C6AE1"/>
    <w:rsid w:val="0B8D79BA"/>
    <w:rsid w:val="0B8D7D60"/>
    <w:rsid w:val="0B903BE2"/>
    <w:rsid w:val="0B986A68"/>
    <w:rsid w:val="0B9D390E"/>
    <w:rsid w:val="0B9D3C59"/>
    <w:rsid w:val="0BA05E68"/>
    <w:rsid w:val="0BAB170A"/>
    <w:rsid w:val="0BB97D04"/>
    <w:rsid w:val="0BD219E3"/>
    <w:rsid w:val="0BD610B3"/>
    <w:rsid w:val="0BDA4963"/>
    <w:rsid w:val="0BF12202"/>
    <w:rsid w:val="0BF33A80"/>
    <w:rsid w:val="0BF720DE"/>
    <w:rsid w:val="0C056179"/>
    <w:rsid w:val="0C09548B"/>
    <w:rsid w:val="0C0C5FB3"/>
    <w:rsid w:val="0C1E3B7D"/>
    <w:rsid w:val="0C226EDE"/>
    <w:rsid w:val="0C241BDF"/>
    <w:rsid w:val="0C2709E3"/>
    <w:rsid w:val="0C293A4E"/>
    <w:rsid w:val="0C395C2E"/>
    <w:rsid w:val="0C3D786A"/>
    <w:rsid w:val="0C3E79C3"/>
    <w:rsid w:val="0C4D23F9"/>
    <w:rsid w:val="0C515EB4"/>
    <w:rsid w:val="0C667F31"/>
    <w:rsid w:val="0C7121C6"/>
    <w:rsid w:val="0C7C0B3F"/>
    <w:rsid w:val="0C830B90"/>
    <w:rsid w:val="0C955363"/>
    <w:rsid w:val="0C985D46"/>
    <w:rsid w:val="0CA042E5"/>
    <w:rsid w:val="0CAA3750"/>
    <w:rsid w:val="0CAC42A9"/>
    <w:rsid w:val="0CB11AA2"/>
    <w:rsid w:val="0CB511B1"/>
    <w:rsid w:val="0CB5476B"/>
    <w:rsid w:val="0CB8455E"/>
    <w:rsid w:val="0CBD3F71"/>
    <w:rsid w:val="0CBE3144"/>
    <w:rsid w:val="0CC14D44"/>
    <w:rsid w:val="0CC347A9"/>
    <w:rsid w:val="0CD50791"/>
    <w:rsid w:val="0CE50E00"/>
    <w:rsid w:val="0CE701BA"/>
    <w:rsid w:val="0CF15A26"/>
    <w:rsid w:val="0CF45CE9"/>
    <w:rsid w:val="0CFD1B16"/>
    <w:rsid w:val="0D06214D"/>
    <w:rsid w:val="0D095D8D"/>
    <w:rsid w:val="0D0D48C3"/>
    <w:rsid w:val="0D255568"/>
    <w:rsid w:val="0D287D7E"/>
    <w:rsid w:val="0D320B4C"/>
    <w:rsid w:val="0D4672F7"/>
    <w:rsid w:val="0D470B3A"/>
    <w:rsid w:val="0D4B3609"/>
    <w:rsid w:val="0D5D4604"/>
    <w:rsid w:val="0D6E2B4F"/>
    <w:rsid w:val="0D6F33CE"/>
    <w:rsid w:val="0D727321"/>
    <w:rsid w:val="0D8C065E"/>
    <w:rsid w:val="0D8D4F8A"/>
    <w:rsid w:val="0D9326E1"/>
    <w:rsid w:val="0D936CE3"/>
    <w:rsid w:val="0D967962"/>
    <w:rsid w:val="0D9A0351"/>
    <w:rsid w:val="0D9C742C"/>
    <w:rsid w:val="0D9F634B"/>
    <w:rsid w:val="0DA553F4"/>
    <w:rsid w:val="0DA931D1"/>
    <w:rsid w:val="0DB73925"/>
    <w:rsid w:val="0DC12DB6"/>
    <w:rsid w:val="0DC87456"/>
    <w:rsid w:val="0DCD2703"/>
    <w:rsid w:val="0DD049D4"/>
    <w:rsid w:val="0DDD4334"/>
    <w:rsid w:val="0DDF6B6C"/>
    <w:rsid w:val="0DE77CA1"/>
    <w:rsid w:val="0DEC2445"/>
    <w:rsid w:val="0DF11B29"/>
    <w:rsid w:val="0DF425E3"/>
    <w:rsid w:val="0DF52AF7"/>
    <w:rsid w:val="0DF80E82"/>
    <w:rsid w:val="0DF95ABD"/>
    <w:rsid w:val="0E087ED4"/>
    <w:rsid w:val="0E0A659D"/>
    <w:rsid w:val="0E0B0643"/>
    <w:rsid w:val="0E0D0030"/>
    <w:rsid w:val="0E172A49"/>
    <w:rsid w:val="0E1A13C7"/>
    <w:rsid w:val="0E1E6ADA"/>
    <w:rsid w:val="0E20683E"/>
    <w:rsid w:val="0E3003E7"/>
    <w:rsid w:val="0E303346"/>
    <w:rsid w:val="0E313327"/>
    <w:rsid w:val="0E396776"/>
    <w:rsid w:val="0E3B3348"/>
    <w:rsid w:val="0E4A5031"/>
    <w:rsid w:val="0E5051AB"/>
    <w:rsid w:val="0E522792"/>
    <w:rsid w:val="0E56590A"/>
    <w:rsid w:val="0E5B4F97"/>
    <w:rsid w:val="0E7E5117"/>
    <w:rsid w:val="0E822BC0"/>
    <w:rsid w:val="0E8D3DF7"/>
    <w:rsid w:val="0EA07A9A"/>
    <w:rsid w:val="0EA25A19"/>
    <w:rsid w:val="0EA26347"/>
    <w:rsid w:val="0EA3490D"/>
    <w:rsid w:val="0EC14DAD"/>
    <w:rsid w:val="0EC87483"/>
    <w:rsid w:val="0ECA7D0C"/>
    <w:rsid w:val="0ED3329B"/>
    <w:rsid w:val="0ED93F94"/>
    <w:rsid w:val="0ED9684B"/>
    <w:rsid w:val="0EDC35C5"/>
    <w:rsid w:val="0EF35844"/>
    <w:rsid w:val="0EF53767"/>
    <w:rsid w:val="0EF916EA"/>
    <w:rsid w:val="0EFA3C52"/>
    <w:rsid w:val="0EFB1B1E"/>
    <w:rsid w:val="0EFD7ECA"/>
    <w:rsid w:val="0EFF5939"/>
    <w:rsid w:val="0F060CED"/>
    <w:rsid w:val="0F175D57"/>
    <w:rsid w:val="0F220D97"/>
    <w:rsid w:val="0F29727F"/>
    <w:rsid w:val="0F3D042B"/>
    <w:rsid w:val="0F5604AF"/>
    <w:rsid w:val="0F563202"/>
    <w:rsid w:val="0F623BA1"/>
    <w:rsid w:val="0F630C9B"/>
    <w:rsid w:val="0F6A7843"/>
    <w:rsid w:val="0F6C2FB3"/>
    <w:rsid w:val="0F7C770D"/>
    <w:rsid w:val="0F8E3BBF"/>
    <w:rsid w:val="0F9025EB"/>
    <w:rsid w:val="0F967681"/>
    <w:rsid w:val="0F980D74"/>
    <w:rsid w:val="0F9F39A6"/>
    <w:rsid w:val="0FA37599"/>
    <w:rsid w:val="0FAD7DA6"/>
    <w:rsid w:val="0FAF362C"/>
    <w:rsid w:val="0FB059AD"/>
    <w:rsid w:val="0FB66A21"/>
    <w:rsid w:val="0FB706CF"/>
    <w:rsid w:val="0FC03978"/>
    <w:rsid w:val="0FC04256"/>
    <w:rsid w:val="0FCB13E4"/>
    <w:rsid w:val="0FCF75C2"/>
    <w:rsid w:val="0FD00D8C"/>
    <w:rsid w:val="0FDF3724"/>
    <w:rsid w:val="0FEA4082"/>
    <w:rsid w:val="0FFF1CC4"/>
    <w:rsid w:val="10017C52"/>
    <w:rsid w:val="10063D2A"/>
    <w:rsid w:val="100C23CC"/>
    <w:rsid w:val="100E50A2"/>
    <w:rsid w:val="10130CDF"/>
    <w:rsid w:val="101340A9"/>
    <w:rsid w:val="10150758"/>
    <w:rsid w:val="102434B1"/>
    <w:rsid w:val="10343325"/>
    <w:rsid w:val="103E0159"/>
    <w:rsid w:val="103E7CDC"/>
    <w:rsid w:val="103F134B"/>
    <w:rsid w:val="104847B2"/>
    <w:rsid w:val="104B0C36"/>
    <w:rsid w:val="104F3586"/>
    <w:rsid w:val="106033C8"/>
    <w:rsid w:val="1066633A"/>
    <w:rsid w:val="106804D6"/>
    <w:rsid w:val="106C2F38"/>
    <w:rsid w:val="1071496E"/>
    <w:rsid w:val="10827036"/>
    <w:rsid w:val="108F4843"/>
    <w:rsid w:val="10915F77"/>
    <w:rsid w:val="109D71AE"/>
    <w:rsid w:val="109F0BEB"/>
    <w:rsid w:val="109F1FF0"/>
    <w:rsid w:val="10A20336"/>
    <w:rsid w:val="10B16860"/>
    <w:rsid w:val="10B60404"/>
    <w:rsid w:val="10B80B5D"/>
    <w:rsid w:val="10BC54AA"/>
    <w:rsid w:val="10D70344"/>
    <w:rsid w:val="10D803EB"/>
    <w:rsid w:val="10E43677"/>
    <w:rsid w:val="10F070E2"/>
    <w:rsid w:val="10F33BC6"/>
    <w:rsid w:val="10F51B18"/>
    <w:rsid w:val="10FC079C"/>
    <w:rsid w:val="10FF79D1"/>
    <w:rsid w:val="110049C8"/>
    <w:rsid w:val="1106548E"/>
    <w:rsid w:val="110A277C"/>
    <w:rsid w:val="110F1D79"/>
    <w:rsid w:val="1119559E"/>
    <w:rsid w:val="111C3F0A"/>
    <w:rsid w:val="1123556D"/>
    <w:rsid w:val="11452F29"/>
    <w:rsid w:val="114A6D45"/>
    <w:rsid w:val="115C52AD"/>
    <w:rsid w:val="11611A2F"/>
    <w:rsid w:val="11630C86"/>
    <w:rsid w:val="117102EE"/>
    <w:rsid w:val="1171426A"/>
    <w:rsid w:val="11717837"/>
    <w:rsid w:val="11745151"/>
    <w:rsid w:val="11747213"/>
    <w:rsid w:val="11915BF1"/>
    <w:rsid w:val="11A52C87"/>
    <w:rsid w:val="11A70F7D"/>
    <w:rsid w:val="11B054F8"/>
    <w:rsid w:val="11C8798A"/>
    <w:rsid w:val="11D63F8A"/>
    <w:rsid w:val="11D86033"/>
    <w:rsid w:val="11DC119F"/>
    <w:rsid w:val="11F424A5"/>
    <w:rsid w:val="12013100"/>
    <w:rsid w:val="12024D7A"/>
    <w:rsid w:val="120520BF"/>
    <w:rsid w:val="120C3B3A"/>
    <w:rsid w:val="121242A7"/>
    <w:rsid w:val="121E43F7"/>
    <w:rsid w:val="121F268C"/>
    <w:rsid w:val="12207E22"/>
    <w:rsid w:val="12257051"/>
    <w:rsid w:val="12296E8C"/>
    <w:rsid w:val="122C3A81"/>
    <w:rsid w:val="1234717C"/>
    <w:rsid w:val="124E3679"/>
    <w:rsid w:val="12545797"/>
    <w:rsid w:val="12573F4C"/>
    <w:rsid w:val="12683BB7"/>
    <w:rsid w:val="127706D3"/>
    <w:rsid w:val="127D6B53"/>
    <w:rsid w:val="127F7141"/>
    <w:rsid w:val="1285353F"/>
    <w:rsid w:val="12884511"/>
    <w:rsid w:val="1292612A"/>
    <w:rsid w:val="1298260C"/>
    <w:rsid w:val="12C02032"/>
    <w:rsid w:val="12C85484"/>
    <w:rsid w:val="12D02407"/>
    <w:rsid w:val="12D15EE6"/>
    <w:rsid w:val="12D535EC"/>
    <w:rsid w:val="12E24210"/>
    <w:rsid w:val="12E9281E"/>
    <w:rsid w:val="12F745CA"/>
    <w:rsid w:val="130D681F"/>
    <w:rsid w:val="131F0000"/>
    <w:rsid w:val="132A35CA"/>
    <w:rsid w:val="132B594A"/>
    <w:rsid w:val="132F5F22"/>
    <w:rsid w:val="133C5966"/>
    <w:rsid w:val="13570503"/>
    <w:rsid w:val="135D415E"/>
    <w:rsid w:val="136108C7"/>
    <w:rsid w:val="13821454"/>
    <w:rsid w:val="1382693C"/>
    <w:rsid w:val="13843EA1"/>
    <w:rsid w:val="1386181C"/>
    <w:rsid w:val="138F4121"/>
    <w:rsid w:val="13953186"/>
    <w:rsid w:val="139D5CB8"/>
    <w:rsid w:val="13B32540"/>
    <w:rsid w:val="13B377BC"/>
    <w:rsid w:val="13BB40D6"/>
    <w:rsid w:val="13C678A7"/>
    <w:rsid w:val="13CD2FC3"/>
    <w:rsid w:val="13CD7383"/>
    <w:rsid w:val="13DB5828"/>
    <w:rsid w:val="13DD4DBC"/>
    <w:rsid w:val="13E53B4D"/>
    <w:rsid w:val="13EA1F83"/>
    <w:rsid w:val="13EB0B77"/>
    <w:rsid w:val="13EF7EB5"/>
    <w:rsid w:val="13F5174D"/>
    <w:rsid w:val="13FC1A63"/>
    <w:rsid w:val="13FD6D46"/>
    <w:rsid w:val="13FE432D"/>
    <w:rsid w:val="140F7197"/>
    <w:rsid w:val="14113572"/>
    <w:rsid w:val="141A597F"/>
    <w:rsid w:val="14331039"/>
    <w:rsid w:val="14400EB9"/>
    <w:rsid w:val="144112D5"/>
    <w:rsid w:val="1445749C"/>
    <w:rsid w:val="144F29AB"/>
    <w:rsid w:val="14597107"/>
    <w:rsid w:val="1462054C"/>
    <w:rsid w:val="14685D0B"/>
    <w:rsid w:val="14725B01"/>
    <w:rsid w:val="14755420"/>
    <w:rsid w:val="14795985"/>
    <w:rsid w:val="1491733A"/>
    <w:rsid w:val="149F6E22"/>
    <w:rsid w:val="14A16483"/>
    <w:rsid w:val="14A365D3"/>
    <w:rsid w:val="14B35F40"/>
    <w:rsid w:val="14BB4421"/>
    <w:rsid w:val="14BC3BE8"/>
    <w:rsid w:val="14C17028"/>
    <w:rsid w:val="14CA12CB"/>
    <w:rsid w:val="14CC235F"/>
    <w:rsid w:val="14CF0087"/>
    <w:rsid w:val="14DA0F7F"/>
    <w:rsid w:val="14DC7F2C"/>
    <w:rsid w:val="14E36F8D"/>
    <w:rsid w:val="14E969D4"/>
    <w:rsid w:val="15067A6F"/>
    <w:rsid w:val="15076611"/>
    <w:rsid w:val="151B407E"/>
    <w:rsid w:val="1521195F"/>
    <w:rsid w:val="152474F0"/>
    <w:rsid w:val="1528308E"/>
    <w:rsid w:val="154504AF"/>
    <w:rsid w:val="15495925"/>
    <w:rsid w:val="15532E92"/>
    <w:rsid w:val="155567A2"/>
    <w:rsid w:val="155810B0"/>
    <w:rsid w:val="155D3842"/>
    <w:rsid w:val="155E27FA"/>
    <w:rsid w:val="1566317E"/>
    <w:rsid w:val="156E0849"/>
    <w:rsid w:val="15762E38"/>
    <w:rsid w:val="15771574"/>
    <w:rsid w:val="157A39FB"/>
    <w:rsid w:val="157B2D79"/>
    <w:rsid w:val="15830FDD"/>
    <w:rsid w:val="158354A3"/>
    <w:rsid w:val="158C5BCC"/>
    <w:rsid w:val="15911B91"/>
    <w:rsid w:val="15914B45"/>
    <w:rsid w:val="159760A5"/>
    <w:rsid w:val="159D4EAE"/>
    <w:rsid w:val="159F090F"/>
    <w:rsid w:val="15C6314B"/>
    <w:rsid w:val="15CF35F3"/>
    <w:rsid w:val="15EB0538"/>
    <w:rsid w:val="15ED50C7"/>
    <w:rsid w:val="15F10A40"/>
    <w:rsid w:val="16077A86"/>
    <w:rsid w:val="161847FF"/>
    <w:rsid w:val="161E3C21"/>
    <w:rsid w:val="16275B0E"/>
    <w:rsid w:val="162E1B45"/>
    <w:rsid w:val="163D77D0"/>
    <w:rsid w:val="16600714"/>
    <w:rsid w:val="16752E1A"/>
    <w:rsid w:val="167F0548"/>
    <w:rsid w:val="16867B01"/>
    <w:rsid w:val="169263CE"/>
    <w:rsid w:val="16932384"/>
    <w:rsid w:val="169C5285"/>
    <w:rsid w:val="16A17C6F"/>
    <w:rsid w:val="16A7296D"/>
    <w:rsid w:val="16A95FE8"/>
    <w:rsid w:val="16BC51E2"/>
    <w:rsid w:val="16C03DEA"/>
    <w:rsid w:val="16C051F7"/>
    <w:rsid w:val="16CF1562"/>
    <w:rsid w:val="16DA4243"/>
    <w:rsid w:val="16E15119"/>
    <w:rsid w:val="16F75884"/>
    <w:rsid w:val="16F843B8"/>
    <w:rsid w:val="17082446"/>
    <w:rsid w:val="170870A2"/>
    <w:rsid w:val="17091282"/>
    <w:rsid w:val="171C417D"/>
    <w:rsid w:val="17223C65"/>
    <w:rsid w:val="1729667A"/>
    <w:rsid w:val="172C0F47"/>
    <w:rsid w:val="172D61FC"/>
    <w:rsid w:val="172F64EE"/>
    <w:rsid w:val="17396AF7"/>
    <w:rsid w:val="173F56B8"/>
    <w:rsid w:val="17451909"/>
    <w:rsid w:val="174D675A"/>
    <w:rsid w:val="176C10F1"/>
    <w:rsid w:val="17735A7D"/>
    <w:rsid w:val="17785B16"/>
    <w:rsid w:val="178A02D9"/>
    <w:rsid w:val="178D75CB"/>
    <w:rsid w:val="17A70234"/>
    <w:rsid w:val="17AA5AD6"/>
    <w:rsid w:val="17B10098"/>
    <w:rsid w:val="17B35A74"/>
    <w:rsid w:val="17C922D8"/>
    <w:rsid w:val="17D64B8D"/>
    <w:rsid w:val="17DB5D6E"/>
    <w:rsid w:val="17DD3822"/>
    <w:rsid w:val="17E409A9"/>
    <w:rsid w:val="17EB23D9"/>
    <w:rsid w:val="17EF7607"/>
    <w:rsid w:val="181507FE"/>
    <w:rsid w:val="18245067"/>
    <w:rsid w:val="18265321"/>
    <w:rsid w:val="18285753"/>
    <w:rsid w:val="18515CA7"/>
    <w:rsid w:val="185436A2"/>
    <w:rsid w:val="18600652"/>
    <w:rsid w:val="186A5B11"/>
    <w:rsid w:val="187133EF"/>
    <w:rsid w:val="187353B3"/>
    <w:rsid w:val="187D20D4"/>
    <w:rsid w:val="187E4C8A"/>
    <w:rsid w:val="188136DE"/>
    <w:rsid w:val="18831AC4"/>
    <w:rsid w:val="18882AAB"/>
    <w:rsid w:val="188A2723"/>
    <w:rsid w:val="189926A8"/>
    <w:rsid w:val="18AF49BA"/>
    <w:rsid w:val="18B73A82"/>
    <w:rsid w:val="18BB47E1"/>
    <w:rsid w:val="18C62455"/>
    <w:rsid w:val="18F37671"/>
    <w:rsid w:val="18FA6204"/>
    <w:rsid w:val="18FF7114"/>
    <w:rsid w:val="19047155"/>
    <w:rsid w:val="190B79EC"/>
    <w:rsid w:val="19107B45"/>
    <w:rsid w:val="192901B5"/>
    <w:rsid w:val="19320459"/>
    <w:rsid w:val="19366780"/>
    <w:rsid w:val="1937250D"/>
    <w:rsid w:val="19423E29"/>
    <w:rsid w:val="19461313"/>
    <w:rsid w:val="1947051A"/>
    <w:rsid w:val="194C5A69"/>
    <w:rsid w:val="194F01EB"/>
    <w:rsid w:val="19554CBA"/>
    <w:rsid w:val="195A21A9"/>
    <w:rsid w:val="19772F33"/>
    <w:rsid w:val="1979667C"/>
    <w:rsid w:val="198114AA"/>
    <w:rsid w:val="1985259F"/>
    <w:rsid w:val="198648C5"/>
    <w:rsid w:val="198950D8"/>
    <w:rsid w:val="198F5F56"/>
    <w:rsid w:val="19955C28"/>
    <w:rsid w:val="19A27B6D"/>
    <w:rsid w:val="19A566F3"/>
    <w:rsid w:val="19B318E0"/>
    <w:rsid w:val="19B6466B"/>
    <w:rsid w:val="19B66026"/>
    <w:rsid w:val="19B839C8"/>
    <w:rsid w:val="19BC0D62"/>
    <w:rsid w:val="19CE4EAC"/>
    <w:rsid w:val="19DC2158"/>
    <w:rsid w:val="19DF7945"/>
    <w:rsid w:val="19ED6C9E"/>
    <w:rsid w:val="1A0748D8"/>
    <w:rsid w:val="1A2F15D4"/>
    <w:rsid w:val="1A38675C"/>
    <w:rsid w:val="1A3A0F73"/>
    <w:rsid w:val="1A3F0D02"/>
    <w:rsid w:val="1A427199"/>
    <w:rsid w:val="1A4761FF"/>
    <w:rsid w:val="1A4B6184"/>
    <w:rsid w:val="1A5C5612"/>
    <w:rsid w:val="1A642BEA"/>
    <w:rsid w:val="1A693AF3"/>
    <w:rsid w:val="1A6C5B1B"/>
    <w:rsid w:val="1A6D6AA8"/>
    <w:rsid w:val="1A6F771F"/>
    <w:rsid w:val="1A703B69"/>
    <w:rsid w:val="1A871036"/>
    <w:rsid w:val="1A8D6794"/>
    <w:rsid w:val="1A94254D"/>
    <w:rsid w:val="1A9A435C"/>
    <w:rsid w:val="1A9D1DC5"/>
    <w:rsid w:val="1AAB545B"/>
    <w:rsid w:val="1AB158FF"/>
    <w:rsid w:val="1AB63900"/>
    <w:rsid w:val="1ABC6BBD"/>
    <w:rsid w:val="1AC07B27"/>
    <w:rsid w:val="1AC33BFD"/>
    <w:rsid w:val="1AC55F99"/>
    <w:rsid w:val="1AC57328"/>
    <w:rsid w:val="1ACA29C7"/>
    <w:rsid w:val="1ACB5C3E"/>
    <w:rsid w:val="1ACE4DFA"/>
    <w:rsid w:val="1AD37D49"/>
    <w:rsid w:val="1ADE7B10"/>
    <w:rsid w:val="1AE37CB9"/>
    <w:rsid w:val="1AEA5306"/>
    <w:rsid w:val="1AEB57A4"/>
    <w:rsid w:val="1AF53A3A"/>
    <w:rsid w:val="1AF54F54"/>
    <w:rsid w:val="1AF87006"/>
    <w:rsid w:val="1AFB3689"/>
    <w:rsid w:val="1AFD4DE4"/>
    <w:rsid w:val="1B012B07"/>
    <w:rsid w:val="1B070167"/>
    <w:rsid w:val="1B0E37C8"/>
    <w:rsid w:val="1B0E655F"/>
    <w:rsid w:val="1B1B32FB"/>
    <w:rsid w:val="1B2B18F1"/>
    <w:rsid w:val="1B360B09"/>
    <w:rsid w:val="1B576A1E"/>
    <w:rsid w:val="1B5E01AF"/>
    <w:rsid w:val="1B5F1363"/>
    <w:rsid w:val="1B6C0EEB"/>
    <w:rsid w:val="1B6C3BDB"/>
    <w:rsid w:val="1B7D294E"/>
    <w:rsid w:val="1B8E1C5F"/>
    <w:rsid w:val="1B926FBC"/>
    <w:rsid w:val="1B9D4F16"/>
    <w:rsid w:val="1BA613C6"/>
    <w:rsid w:val="1BA71E68"/>
    <w:rsid w:val="1BB005C9"/>
    <w:rsid w:val="1BB41E26"/>
    <w:rsid w:val="1BBC4B29"/>
    <w:rsid w:val="1BDE6C41"/>
    <w:rsid w:val="1BDF3C43"/>
    <w:rsid w:val="1BE339A1"/>
    <w:rsid w:val="1BE50058"/>
    <w:rsid w:val="1BF407C9"/>
    <w:rsid w:val="1BF77458"/>
    <w:rsid w:val="1C031272"/>
    <w:rsid w:val="1C235EB5"/>
    <w:rsid w:val="1C2431C3"/>
    <w:rsid w:val="1C39314E"/>
    <w:rsid w:val="1C436E9E"/>
    <w:rsid w:val="1C4D1E60"/>
    <w:rsid w:val="1C562A84"/>
    <w:rsid w:val="1C587CB4"/>
    <w:rsid w:val="1C591FCF"/>
    <w:rsid w:val="1C6D0ADD"/>
    <w:rsid w:val="1C7658F8"/>
    <w:rsid w:val="1C803AAB"/>
    <w:rsid w:val="1C86070D"/>
    <w:rsid w:val="1C8A41C4"/>
    <w:rsid w:val="1C902C94"/>
    <w:rsid w:val="1C944EEB"/>
    <w:rsid w:val="1CA358E9"/>
    <w:rsid w:val="1CA66F0D"/>
    <w:rsid w:val="1CA86367"/>
    <w:rsid w:val="1CA96049"/>
    <w:rsid w:val="1CAB3676"/>
    <w:rsid w:val="1CAD69E5"/>
    <w:rsid w:val="1CB9055D"/>
    <w:rsid w:val="1CC51192"/>
    <w:rsid w:val="1CCC75A3"/>
    <w:rsid w:val="1CEE31C6"/>
    <w:rsid w:val="1CF57D97"/>
    <w:rsid w:val="1CFE64AD"/>
    <w:rsid w:val="1D0125C2"/>
    <w:rsid w:val="1D0F5CE6"/>
    <w:rsid w:val="1D101744"/>
    <w:rsid w:val="1D173F10"/>
    <w:rsid w:val="1D197D68"/>
    <w:rsid w:val="1D202746"/>
    <w:rsid w:val="1D231C02"/>
    <w:rsid w:val="1D265960"/>
    <w:rsid w:val="1D2966F3"/>
    <w:rsid w:val="1D5424E7"/>
    <w:rsid w:val="1D5622A0"/>
    <w:rsid w:val="1D572ABE"/>
    <w:rsid w:val="1D693D52"/>
    <w:rsid w:val="1D693E52"/>
    <w:rsid w:val="1D6E019C"/>
    <w:rsid w:val="1D6E079E"/>
    <w:rsid w:val="1D7D6584"/>
    <w:rsid w:val="1D846D6C"/>
    <w:rsid w:val="1D96490D"/>
    <w:rsid w:val="1D967203"/>
    <w:rsid w:val="1DA5447C"/>
    <w:rsid w:val="1DB5610D"/>
    <w:rsid w:val="1DB61D10"/>
    <w:rsid w:val="1DB9632C"/>
    <w:rsid w:val="1DC111DC"/>
    <w:rsid w:val="1DC81D82"/>
    <w:rsid w:val="1DC87A13"/>
    <w:rsid w:val="1DCB335D"/>
    <w:rsid w:val="1DCF151A"/>
    <w:rsid w:val="1DDE5CF1"/>
    <w:rsid w:val="1DDF573C"/>
    <w:rsid w:val="1DE70BF1"/>
    <w:rsid w:val="1DE71423"/>
    <w:rsid w:val="1DEA512F"/>
    <w:rsid w:val="1DF01C49"/>
    <w:rsid w:val="1DF04981"/>
    <w:rsid w:val="1DF85193"/>
    <w:rsid w:val="1E0016FF"/>
    <w:rsid w:val="1E016972"/>
    <w:rsid w:val="1E045489"/>
    <w:rsid w:val="1E0726D6"/>
    <w:rsid w:val="1E1468A7"/>
    <w:rsid w:val="1E1736B5"/>
    <w:rsid w:val="1E192202"/>
    <w:rsid w:val="1E1C684D"/>
    <w:rsid w:val="1E3E6961"/>
    <w:rsid w:val="1E491996"/>
    <w:rsid w:val="1E4D1A80"/>
    <w:rsid w:val="1E647BF9"/>
    <w:rsid w:val="1E692DE1"/>
    <w:rsid w:val="1E6C26FD"/>
    <w:rsid w:val="1E71093C"/>
    <w:rsid w:val="1E747713"/>
    <w:rsid w:val="1E7D50BD"/>
    <w:rsid w:val="1EA05C3D"/>
    <w:rsid w:val="1EA7632C"/>
    <w:rsid w:val="1EB14271"/>
    <w:rsid w:val="1EB245AF"/>
    <w:rsid w:val="1EB7552B"/>
    <w:rsid w:val="1ECE61E4"/>
    <w:rsid w:val="1ED04D68"/>
    <w:rsid w:val="1EE00A96"/>
    <w:rsid w:val="1EED69B4"/>
    <w:rsid w:val="1EEF6586"/>
    <w:rsid w:val="1EF52782"/>
    <w:rsid w:val="1EF77102"/>
    <w:rsid w:val="1EF85464"/>
    <w:rsid w:val="1EF941B5"/>
    <w:rsid w:val="1EFB7A8C"/>
    <w:rsid w:val="1F065062"/>
    <w:rsid w:val="1F1D7739"/>
    <w:rsid w:val="1F2125B8"/>
    <w:rsid w:val="1F350D3A"/>
    <w:rsid w:val="1F355B94"/>
    <w:rsid w:val="1F445F50"/>
    <w:rsid w:val="1F453247"/>
    <w:rsid w:val="1F4E31EC"/>
    <w:rsid w:val="1F6328ED"/>
    <w:rsid w:val="1F693DE8"/>
    <w:rsid w:val="1F773888"/>
    <w:rsid w:val="1F7B4305"/>
    <w:rsid w:val="1F7E4224"/>
    <w:rsid w:val="1F867A0E"/>
    <w:rsid w:val="1F8A7E20"/>
    <w:rsid w:val="1F90192C"/>
    <w:rsid w:val="1F93389F"/>
    <w:rsid w:val="1FB87097"/>
    <w:rsid w:val="1FCC10AD"/>
    <w:rsid w:val="1FDC5368"/>
    <w:rsid w:val="1FE55570"/>
    <w:rsid w:val="1FEC0467"/>
    <w:rsid w:val="1FEC39AC"/>
    <w:rsid w:val="1FF00E13"/>
    <w:rsid w:val="1FF05211"/>
    <w:rsid w:val="1FF65830"/>
    <w:rsid w:val="1FF74C50"/>
    <w:rsid w:val="1FF812CF"/>
    <w:rsid w:val="1FFA70B6"/>
    <w:rsid w:val="20042E0B"/>
    <w:rsid w:val="2005505E"/>
    <w:rsid w:val="20113C72"/>
    <w:rsid w:val="20152802"/>
    <w:rsid w:val="201F6BB6"/>
    <w:rsid w:val="20275978"/>
    <w:rsid w:val="20376D85"/>
    <w:rsid w:val="20445954"/>
    <w:rsid w:val="20516DF0"/>
    <w:rsid w:val="205348E2"/>
    <w:rsid w:val="205A5329"/>
    <w:rsid w:val="206F55CE"/>
    <w:rsid w:val="207A2146"/>
    <w:rsid w:val="20831E1B"/>
    <w:rsid w:val="20BE75F1"/>
    <w:rsid w:val="20C06FA4"/>
    <w:rsid w:val="20C64612"/>
    <w:rsid w:val="20CE6CE8"/>
    <w:rsid w:val="20D1067F"/>
    <w:rsid w:val="20D769C8"/>
    <w:rsid w:val="20E065FD"/>
    <w:rsid w:val="20EF1312"/>
    <w:rsid w:val="20FB03B7"/>
    <w:rsid w:val="21067F44"/>
    <w:rsid w:val="21125CFD"/>
    <w:rsid w:val="2117273B"/>
    <w:rsid w:val="211F10DF"/>
    <w:rsid w:val="211F3B93"/>
    <w:rsid w:val="21212144"/>
    <w:rsid w:val="212C5CA4"/>
    <w:rsid w:val="212C7675"/>
    <w:rsid w:val="21337A65"/>
    <w:rsid w:val="213F36B1"/>
    <w:rsid w:val="21443AD1"/>
    <w:rsid w:val="214B1ADE"/>
    <w:rsid w:val="21584A5D"/>
    <w:rsid w:val="21594277"/>
    <w:rsid w:val="215A5B20"/>
    <w:rsid w:val="215F09C8"/>
    <w:rsid w:val="216067A7"/>
    <w:rsid w:val="216648A3"/>
    <w:rsid w:val="21691D6A"/>
    <w:rsid w:val="21696F10"/>
    <w:rsid w:val="217533EE"/>
    <w:rsid w:val="217700F7"/>
    <w:rsid w:val="217E3974"/>
    <w:rsid w:val="218315E0"/>
    <w:rsid w:val="21963411"/>
    <w:rsid w:val="219C4F6B"/>
    <w:rsid w:val="21A40533"/>
    <w:rsid w:val="21AC0385"/>
    <w:rsid w:val="21AE5171"/>
    <w:rsid w:val="21B44517"/>
    <w:rsid w:val="21B562E7"/>
    <w:rsid w:val="21BC1F93"/>
    <w:rsid w:val="21C05892"/>
    <w:rsid w:val="21C91007"/>
    <w:rsid w:val="21CA4659"/>
    <w:rsid w:val="21CB5DD5"/>
    <w:rsid w:val="21E049EF"/>
    <w:rsid w:val="21E24E95"/>
    <w:rsid w:val="21E35E85"/>
    <w:rsid w:val="21E9247F"/>
    <w:rsid w:val="21EE2BA5"/>
    <w:rsid w:val="21F77C63"/>
    <w:rsid w:val="22135B19"/>
    <w:rsid w:val="221E4641"/>
    <w:rsid w:val="2230796F"/>
    <w:rsid w:val="223A10AB"/>
    <w:rsid w:val="2249300F"/>
    <w:rsid w:val="2251729A"/>
    <w:rsid w:val="22545602"/>
    <w:rsid w:val="22597432"/>
    <w:rsid w:val="22756D15"/>
    <w:rsid w:val="22820585"/>
    <w:rsid w:val="22821F52"/>
    <w:rsid w:val="228542EC"/>
    <w:rsid w:val="22911593"/>
    <w:rsid w:val="22996E3E"/>
    <w:rsid w:val="229E6821"/>
    <w:rsid w:val="22A45CD9"/>
    <w:rsid w:val="22B54AE1"/>
    <w:rsid w:val="22B6097B"/>
    <w:rsid w:val="22CE1BEB"/>
    <w:rsid w:val="22D8369A"/>
    <w:rsid w:val="22ED2F4E"/>
    <w:rsid w:val="22EE4ABE"/>
    <w:rsid w:val="22F20706"/>
    <w:rsid w:val="22F31F3D"/>
    <w:rsid w:val="22FA2B77"/>
    <w:rsid w:val="22FD6B86"/>
    <w:rsid w:val="23070743"/>
    <w:rsid w:val="230B0306"/>
    <w:rsid w:val="230C43BF"/>
    <w:rsid w:val="231264F5"/>
    <w:rsid w:val="231A20B0"/>
    <w:rsid w:val="231B523C"/>
    <w:rsid w:val="231E2DC5"/>
    <w:rsid w:val="233B1158"/>
    <w:rsid w:val="23460AE3"/>
    <w:rsid w:val="23463228"/>
    <w:rsid w:val="23466BF2"/>
    <w:rsid w:val="23482D2F"/>
    <w:rsid w:val="23527579"/>
    <w:rsid w:val="23531A93"/>
    <w:rsid w:val="23571F71"/>
    <w:rsid w:val="23574361"/>
    <w:rsid w:val="2378491C"/>
    <w:rsid w:val="237A5A13"/>
    <w:rsid w:val="237E4E4C"/>
    <w:rsid w:val="2385150C"/>
    <w:rsid w:val="2386154D"/>
    <w:rsid w:val="239251C5"/>
    <w:rsid w:val="239D35C3"/>
    <w:rsid w:val="23A542C6"/>
    <w:rsid w:val="23AB3703"/>
    <w:rsid w:val="23AB5790"/>
    <w:rsid w:val="23AF6163"/>
    <w:rsid w:val="23C70017"/>
    <w:rsid w:val="23C92C21"/>
    <w:rsid w:val="23CD693D"/>
    <w:rsid w:val="23D06F42"/>
    <w:rsid w:val="23D15AD2"/>
    <w:rsid w:val="23E26007"/>
    <w:rsid w:val="23EE38D4"/>
    <w:rsid w:val="23F04631"/>
    <w:rsid w:val="23FD5C82"/>
    <w:rsid w:val="23FE6AA7"/>
    <w:rsid w:val="24015A2B"/>
    <w:rsid w:val="24042456"/>
    <w:rsid w:val="240D650F"/>
    <w:rsid w:val="2411064F"/>
    <w:rsid w:val="241E577C"/>
    <w:rsid w:val="24247D27"/>
    <w:rsid w:val="24256F04"/>
    <w:rsid w:val="242761D3"/>
    <w:rsid w:val="2431651F"/>
    <w:rsid w:val="243A51BD"/>
    <w:rsid w:val="24560EA8"/>
    <w:rsid w:val="24566FAA"/>
    <w:rsid w:val="24580056"/>
    <w:rsid w:val="245E55B7"/>
    <w:rsid w:val="246130A6"/>
    <w:rsid w:val="24622B09"/>
    <w:rsid w:val="246310F2"/>
    <w:rsid w:val="24716501"/>
    <w:rsid w:val="247D19EF"/>
    <w:rsid w:val="247E776E"/>
    <w:rsid w:val="24861BF2"/>
    <w:rsid w:val="249312B4"/>
    <w:rsid w:val="249407BF"/>
    <w:rsid w:val="24953039"/>
    <w:rsid w:val="24BD67C3"/>
    <w:rsid w:val="24CA06E2"/>
    <w:rsid w:val="24E34376"/>
    <w:rsid w:val="24E67B45"/>
    <w:rsid w:val="24ED742A"/>
    <w:rsid w:val="250312B0"/>
    <w:rsid w:val="250C018A"/>
    <w:rsid w:val="25102626"/>
    <w:rsid w:val="251703F9"/>
    <w:rsid w:val="251A015E"/>
    <w:rsid w:val="251F5939"/>
    <w:rsid w:val="25203948"/>
    <w:rsid w:val="25294047"/>
    <w:rsid w:val="254B72EE"/>
    <w:rsid w:val="2566755A"/>
    <w:rsid w:val="256A347C"/>
    <w:rsid w:val="257A27F7"/>
    <w:rsid w:val="257F569E"/>
    <w:rsid w:val="258014AC"/>
    <w:rsid w:val="258B0E3A"/>
    <w:rsid w:val="259658F5"/>
    <w:rsid w:val="25A15C70"/>
    <w:rsid w:val="25A22E19"/>
    <w:rsid w:val="25A51430"/>
    <w:rsid w:val="25AF0517"/>
    <w:rsid w:val="25B41008"/>
    <w:rsid w:val="25BA75E9"/>
    <w:rsid w:val="25C55D46"/>
    <w:rsid w:val="25C7735C"/>
    <w:rsid w:val="25CA5B2A"/>
    <w:rsid w:val="25CD515B"/>
    <w:rsid w:val="25D01064"/>
    <w:rsid w:val="25D72677"/>
    <w:rsid w:val="25E32408"/>
    <w:rsid w:val="25EB7BDD"/>
    <w:rsid w:val="25F139E5"/>
    <w:rsid w:val="25F3060D"/>
    <w:rsid w:val="25F92B3B"/>
    <w:rsid w:val="260A2014"/>
    <w:rsid w:val="26101C69"/>
    <w:rsid w:val="261A5D6F"/>
    <w:rsid w:val="26222D28"/>
    <w:rsid w:val="262D2A62"/>
    <w:rsid w:val="26303B9B"/>
    <w:rsid w:val="26345AD1"/>
    <w:rsid w:val="26357AED"/>
    <w:rsid w:val="26382494"/>
    <w:rsid w:val="263C7502"/>
    <w:rsid w:val="26676128"/>
    <w:rsid w:val="266A1D2D"/>
    <w:rsid w:val="266A2BD0"/>
    <w:rsid w:val="266B3AE9"/>
    <w:rsid w:val="267656F0"/>
    <w:rsid w:val="26795A4B"/>
    <w:rsid w:val="267E38AC"/>
    <w:rsid w:val="267F04C7"/>
    <w:rsid w:val="26804DEA"/>
    <w:rsid w:val="26840A06"/>
    <w:rsid w:val="268B4B3E"/>
    <w:rsid w:val="269301AE"/>
    <w:rsid w:val="26931BCD"/>
    <w:rsid w:val="269E34ED"/>
    <w:rsid w:val="26B76AD7"/>
    <w:rsid w:val="26C13312"/>
    <w:rsid w:val="26C71BFC"/>
    <w:rsid w:val="26CB6804"/>
    <w:rsid w:val="26D30A3F"/>
    <w:rsid w:val="26D319F3"/>
    <w:rsid w:val="26DA1542"/>
    <w:rsid w:val="26DB7476"/>
    <w:rsid w:val="26DF6736"/>
    <w:rsid w:val="26E4313F"/>
    <w:rsid w:val="26EB090A"/>
    <w:rsid w:val="26F32C57"/>
    <w:rsid w:val="27040CCC"/>
    <w:rsid w:val="2710307D"/>
    <w:rsid w:val="27126C91"/>
    <w:rsid w:val="271A4E51"/>
    <w:rsid w:val="27210E29"/>
    <w:rsid w:val="27241EA8"/>
    <w:rsid w:val="272726F1"/>
    <w:rsid w:val="273557BE"/>
    <w:rsid w:val="273B690D"/>
    <w:rsid w:val="273D173E"/>
    <w:rsid w:val="27447331"/>
    <w:rsid w:val="27494E17"/>
    <w:rsid w:val="274F6B98"/>
    <w:rsid w:val="27565C9F"/>
    <w:rsid w:val="276844BF"/>
    <w:rsid w:val="2771066F"/>
    <w:rsid w:val="277B09B5"/>
    <w:rsid w:val="278A07CC"/>
    <w:rsid w:val="278E4B90"/>
    <w:rsid w:val="278F50DD"/>
    <w:rsid w:val="27986070"/>
    <w:rsid w:val="279D7B9A"/>
    <w:rsid w:val="27A46281"/>
    <w:rsid w:val="27AE2F95"/>
    <w:rsid w:val="27B00684"/>
    <w:rsid w:val="27B018D6"/>
    <w:rsid w:val="27BD28D7"/>
    <w:rsid w:val="27CD5B35"/>
    <w:rsid w:val="27D91C6F"/>
    <w:rsid w:val="27DA0195"/>
    <w:rsid w:val="27EF48CB"/>
    <w:rsid w:val="27F2473F"/>
    <w:rsid w:val="2812014B"/>
    <w:rsid w:val="281C1E36"/>
    <w:rsid w:val="281C4D50"/>
    <w:rsid w:val="28344588"/>
    <w:rsid w:val="28357044"/>
    <w:rsid w:val="28427F94"/>
    <w:rsid w:val="284566E9"/>
    <w:rsid w:val="2847165C"/>
    <w:rsid w:val="28473DE8"/>
    <w:rsid w:val="28553273"/>
    <w:rsid w:val="28573490"/>
    <w:rsid w:val="285D7187"/>
    <w:rsid w:val="28617B9D"/>
    <w:rsid w:val="286809D6"/>
    <w:rsid w:val="286878FB"/>
    <w:rsid w:val="286E362F"/>
    <w:rsid w:val="28741280"/>
    <w:rsid w:val="2878377B"/>
    <w:rsid w:val="2888248B"/>
    <w:rsid w:val="288B610C"/>
    <w:rsid w:val="28957596"/>
    <w:rsid w:val="28A55150"/>
    <w:rsid w:val="28A82E7B"/>
    <w:rsid w:val="28AE452D"/>
    <w:rsid w:val="28B23799"/>
    <w:rsid w:val="28B57581"/>
    <w:rsid w:val="28C27453"/>
    <w:rsid w:val="28CB4D17"/>
    <w:rsid w:val="28D0541E"/>
    <w:rsid w:val="28E501A9"/>
    <w:rsid w:val="28E62607"/>
    <w:rsid w:val="28E9281E"/>
    <w:rsid w:val="28FC6F70"/>
    <w:rsid w:val="2902652E"/>
    <w:rsid w:val="290B2388"/>
    <w:rsid w:val="290B7EFE"/>
    <w:rsid w:val="2918456B"/>
    <w:rsid w:val="29190719"/>
    <w:rsid w:val="292D0679"/>
    <w:rsid w:val="293C338D"/>
    <w:rsid w:val="294C4783"/>
    <w:rsid w:val="29510779"/>
    <w:rsid w:val="295A6E74"/>
    <w:rsid w:val="295D36F2"/>
    <w:rsid w:val="296066F3"/>
    <w:rsid w:val="29663015"/>
    <w:rsid w:val="296C1D69"/>
    <w:rsid w:val="297602A2"/>
    <w:rsid w:val="297A486B"/>
    <w:rsid w:val="298C60DE"/>
    <w:rsid w:val="29967B30"/>
    <w:rsid w:val="299C5873"/>
    <w:rsid w:val="29B032D7"/>
    <w:rsid w:val="29B60F86"/>
    <w:rsid w:val="29CC0B88"/>
    <w:rsid w:val="29E452E9"/>
    <w:rsid w:val="29EF1C62"/>
    <w:rsid w:val="29F07A56"/>
    <w:rsid w:val="2A010D17"/>
    <w:rsid w:val="2A072BCC"/>
    <w:rsid w:val="2A0D3B94"/>
    <w:rsid w:val="2A10137B"/>
    <w:rsid w:val="2A11774B"/>
    <w:rsid w:val="2A152AA1"/>
    <w:rsid w:val="2A164DB0"/>
    <w:rsid w:val="2A1768EA"/>
    <w:rsid w:val="2A2854EC"/>
    <w:rsid w:val="2A2F70B2"/>
    <w:rsid w:val="2A3130BB"/>
    <w:rsid w:val="2A3943AD"/>
    <w:rsid w:val="2A413308"/>
    <w:rsid w:val="2A42447C"/>
    <w:rsid w:val="2A425FDC"/>
    <w:rsid w:val="2A4B17D7"/>
    <w:rsid w:val="2A5D0B39"/>
    <w:rsid w:val="2A67008B"/>
    <w:rsid w:val="2A715B28"/>
    <w:rsid w:val="2A747E02"/>
    <w:rsid w:val="2A7D1740"/>
    <w:rsid w:val="2A943A22"/>
    <w:rsid w:val="2AA24456"/>
    <w:rsid w:val="2AAA4B27"/>
    <w:rsid w:val="2AB065A3"/>
    <w:rsid w:val="2AB645BF"/>
    <w:rsid w:val="2ABA09EC"/>
    <w:rsid w:val="2ABB3E92"/>
    <w:rsid w:val="2AC50E6C"/>
    <w:rsid w:val="2AC77E75"/>
    <w:rsid w:val="2ACB5257"/>
    <w:rsid w:val="2AD85978"/>
    <w:rsid w:val="2AE21B8B"/>
    <w:rsid w:val="2AEB610E"/>
    <w:rsid w:val="2AEE2793"/>
    <w:rsid w:val="2AF37955"/>
    <w:rsid w:val="2B086E4C"/>
    <w:rsid w:val="2B1E4A44"/>
    <w:rsid w:val="2B2F405A"/>
    <w:rsid w:val="2B441691"/>
    <w:rsid w:val="2B5A525D"/>
    <w:rsid w:val="2B5F4E8A"/>
    <w:rsid w:val="2B677F11"/>
    <w:rsid w:val="2B6E33EC"/>
    <w:rsid w:val="2B71533E"/>
    <w:rsid w:val="2B78128E"/>
    <w:rsid w:val="2B926C83"/>
    <w:rsid w:val="2B964ACE"/>
    <w:rsid w:val="2BA16A25"/>
    <w:rsid w:val="2BA27C18"/>
    <w:rsid w:val="2BA376DC"/>
    <w:rsid w:val="2BAA50C9"/>
    <w:rsid w:val="2BAC0E8B"/>
    <w:rsid w:val="2BBE70D6"/>
    <w:rsid w:val="2BC03B14"/>
    <w:rsid w:val="2BC55A8E"/>
    <w:rsid w:val="2BC752F7"/>
    <w:rsid w:val="2BD04FE3"/>
    <w:rsid w:val="2BDB2367"/>
    <w:rsid w:val="2BEE4ECB"/>
    <w:rsid w:val="2BF41278"/>
    <w:rsid w:val="2BF637C2"/>
    <w:rsid w:val="2BF970A9"/>
    <w:rsid w:val="2BFF47C0"/>
    <w:rsid w:val="2C000E8F"/>
    <w:rsid w:val="2C06373F"/>
    <w:rsid w:val="2C0A5890"/>
    <w:rsid w:val="2C0B3909"/>
    <w:rsid w:val="2C174F26"/>
    <w:rsid w:val="2C1A1741"/>
    <w:rsid w:val="2C1E2420"/>
    <w:rsid w:val="2C1F354C"/>
    <w:rsid w:val="2C224D44"/>
    <w:rsid w:val="2C2515BF"/>
    <w:rsid w:val="2C270610"/>
    <w:rsid w:val="2C2E42BF"/>
    <w:rsid w:val="2C336F06"/>
    <w:rsid w:val="2C343CEC"/>
    <w:rsid w:val="2C3606F4"/>
    <w:rsid w:val="2C3B7E59"/>
    <w:rsid w:val="2C4D1496"/>
    <w:rsid w:val="2C5524AE"/>
    <w:rsid w:val="2C5C10D5"/>
    <w:rsid w:val="2C5F3A1F"/>
    <w:rsid w:val="2C60204F"/>
    <w:rsid w:val="2C6179BC"/>
    <w:rsid w:val="2C633603"/>
    <w:rsid w:val="2C6C68D2"/>
    <w:rsid w:val="2C761C68"/>
    <w:rsid w:val="2C850682"/>
    <w:rsid w:val="2C850D2B"/>
    <w:rsid w:val="2C876CBD"/>
    <w:rsid w:val="2C89364C"/>
    <w:rsid w:val="2C8D37E0"/>
    <w:rsid w:val="2C934BD3"/>
    <w:rsid w:val="2C945FC1"/>
    <w:rsid w:val="2CA15023"/>
    <w:rsid w:val="2CAA050F"/>
    <w:rsid w:val="2CAD5368"/>
    <w:rsid w:val="2CB71A9C"/>
    <w:rsid w:val="2CB906E5"/>
    <w:rsid w:val="2CCB518F"/>
    <w:rsid w:val="2CCF3DD2"/>
    <w:rsid w:val="2CF03980"/>
    <w:rsid w:val="2CF76C46"/>
    <w:rsid w:val="2CF76CAB"/>
    <w:rsid w:val="2CFA2CD8"/>
    <w:rsid w:val="2CFD1FB2"/>
    <w:rsid w:val="2D074416"/>
    <w:rsid w:val="2D0A6B65"/>
    <w:rsid w:val="2D0B2D82"/>
    <w:rsid w:val="2D0B5176"/>
    <w:rsid w:val="2D0F4034"/>
    <w:rsid w:val="2D1E6AEC"/>
    <w:rsid w:val="2D25236D"/>
    <w:rsid w:val="2D305642"/>
    <w:rsid w:val="2D32515E"/>
    <w:rsid w:val="2D3523C7"/>
    <w:rsid w:val="2D3A0E78"/>
    <w:rsid w:val="2D3E2B1D"/>
    <w:rsid w:val="2D706632"/>
    <w:rsid w:val="2D724563"/>
    <w:rsid w:val="2D7254BD"/>
    <w:rsid w:val="2D82394C"/>
    <w:rsid w:val="2D827813"/>
    <w:rsid w:val="2D8F110B"/>
    <w:rsid w:val="2D914389"/>
    <w:rsid w:val="2D9C30C7"/>
    <w:rsid w:val="2D9E1B82"/>
    <w:rsid w:val="2DA55784"/>
    <w:rsid w:val="2DAC027C"/>
    <w:rsid w:val="2DB75278"/>
    <w:rsid w:val="2DBA79FD"/>
    <w:rsid w:val="2DBB0D39"/>
    <w:rsid w:val="2DBB322E"/>
    <w:rsid w:val="2DBC4E0C"/>
    <w:rsid w:val="2DDF28A1"/>
    <w:rsid w:val="2DE43C43"/>
    <w:rsid w:val="2DE4597B"/>
    <w:rsid w:val="2DE8207A"/>
    <w:rsid w:val="2DF24CC8"/>
    <w:rsid w:val="2DF74540"/>
    <w:rsid w:val="2DFC5BB7"/>
    <w:rsid w:val="2E0C6629"/>
    <w:rsid w:val="2E0E0260"/>
    <w:rsid w:val="2E18600A"/>
    <w:rsid w:val="2E196345"/>
    <w:rsid w:val="2E2B1802"/>
    <w:rsid w:val="2E3532C9"/>
    <w:rsid w:val="2E357644"/>
    <w:rsid w:val="2E403413"/>
    <w:rsid w:val="2E4375D6"/>
    <w:rsid w:val="2E463D05"/>
    <w:rsid w:val="2E5548A5"/>
    <w:rsid w:val="2E5F5E38"/>
    <w:rsid w:val="2E6923E5"/>
    <w:rsid w:val="2E88282E"/>
    <w:rsid w:val="2E8D7F93"/>
    <w:rsid w:val="2E8E7EB5"/>
    <w:rsid w:val="2E9859C4"/>
    <w:rsid w:val="2EA847DF"/>
    <w:rsid w:val="2EAA34A0"/>
    <w:rsid w:val="2EB54141"/>
    <w:rsid w:val="2EBA3E94"/>
    <w:rsid w:val="2EC72ACD"/>
    <w:rsid w:val="2EC8264A"/>
    <w:rsid w:val="2EC96FAB"/>
    <w:rsid w:val="2ECF38EE"/>
    <w:rsid w:val="2ED7770C"/>
    <w:rsid w:val="2EDD31BD"/>
    <w:rsid w:val="2EE20055"/>
    <w:rsid w:val="2EF85C97"/>
    <w:rsid w:val="2F0D2F9B"/>
    <w:rsid w:val="2F0D50D9"/>
    <w:rsid w:val="2F201FD8"/>
    <w:rsid w:val="2F31566A"/>
    <w:rsid w:val="2F350700"/>
    <w:rsid w:val="2F3D08A1"/>
    <w:rsid w:val="2F3D0CA4"/>
    <w:rsid w:val="2F426895"/>
    <w:rsid w:val="2F43593D"/>
    <w:rsid w:val="2F443E7A"/>
    <w:rsid w:val="2F4E5CC2"/>
    <w:rsid w:val="2F5436E3"/>
    <w:rsid w:val="2F5C5963"/>
    <w:rsid w:val="2F696D2D"/>
    <w:rsid w:val="2F6A6557"/>
    <w:rsid w:val="2F70310E"/>
    <w:rsid w:val="2F704507"/>
    <w:rsid w:val="2F7A61AC"/>
    <w:rsid w:val="2F82570B"/>
    <w:rsid w:val="2F904BF2"/>
    <w:rsid w:val="2F93778A"/>
    <w:rsid w:val="2F9B7248"/>
    <w:rsid w:val="2F9D3AF0"/>
    <w:rsid w:val="2FB94234"/>
    <w:rsid w:val="2FBA1A87"/>
    <w:rsid w:val="2FBE76BE"/>
    <w:rsid w:val="2FC53B3B"/>
    <w:rsid w:val="2FCA0182"/>
    <w:rsid w:val="2FF67351"/>
    <w:rsid w:val="300E0FE1"/>
    <w:rsid w:val="301852AC"/>
    <w:rsid w:val="301E574F"/>
    <w:rsid w:val="302A1F69"/>
    <w:rsid w:val="30307140"/>
    <w:rsid w:val="30405F1B"/>
    <w:rsid w:val="30432E7B"/>
    <w:rsid w:val="30442192"/>
    <w:rsid w:val="304456DA"/>
    <w:rsid w:val="30474310"/>
    <w:rsid w:val="30767B94"/>
    <w:rsid w:val="30884FD3"/>
    <w:rsid w:val="308F40E3"/>
    <w:rsid w:val="30A84A7C"/>
    <w:rsid w:val="30B6604E"/>
    <w:rsid w:val="30B8772F"/>
    <w:rsid w:val="30C067C1"/>
    <w:rsid w:val="30C517CA"/>
    <w:rsid w:val="30C63D12"/>
    <w:rsid w:val="30CA2F25"/>
    <w:rsid w:val="30CE1A0B"/>
    <w:rsid w:val="30D22160"/>
    <w:rsid w:val="30D60FF6"/>
    <w:rsid w:val="30D8433F"/>
    <w:rsid w:val="30DE1455"/>
    <w:rsid w:val="30E319A9"/>
    <w:rsid w:val="30F03B65"/>
    <w:rsid w:val="30F65C00"/>
    <w:rsid w:val="310F461D"/>
    <w:rsid w:val="311023F7"/>
    <w:rsid w:val="31167888"/>
    <w:rsid w:val="311F0078"/>
    <w:rsid w:val="312A6F17"/>
    <w:rsid w:val="313805CE"/>
    <w:rsid w:val="313F0A68"/>
    <w:rsid w:val="315A0C9A"/>
    <w:rsid w:val="316133B1"/>
    <w:rsid w:val="31643BC8"/>
    <w:rsid w:val="316B3EAB"/>
    <w:rsid w:val="317C584E"/>
    <w:rsid w:val="317D624D"/>
    <w:rsid w:val="31800DA4"/>
    <w:rsid w:val="319D0EFD"/>
    <w:rsid w:val="31A1406A"/>
    <w:rsid w:val="31A37274"/>
    <w:rsid w:val="31AA5068"/>
    <w:rsid w:val="31AF532D"/>
    <w:rsid w:val="31CA1784"/>
    <w:rsid w:val="31CE11B2"/>
    <w:rsid w:val="31D66EFC"/>
    <w:rsid w:val="31D811EA"/>
    <w:rsid w:val="31D85D0A"/>
    <w:rsid w:val="31EF00BA"/>
    <w:rsid w:val="31F14394"/>
    <w:rsid w:val="31FF4DC9"/>
    <w:rsid w:val="32040655"/>
    <w:rsid w:val="32092B66"/>
    <w:rsid w:val="321479FC"/>
    <w:rsid w:val="32153C2A"/>
    <w:rsid w:val="321D1828"/>
    <w:rsid w:val="32390089"/>
    <w:rsid w:val="323E34E6"/>
    <w:rsid w:val="324119E2"/>
    <w:rsid w:val="32437159"/>
    <w:rsid w:val="325C7B7A"/>
    <w:rsid w:val="32635711"/>
    <w:rsid w:val="326D1CB3"/>
    <w:rsid w:val="328D2B69"/>
    <w:rsid w:val="32992AB6"/>
    <w:rsid w:val="32A71CE9"/>
    <w:rsid w:val="32A9749A"/>
    <w:rsid w:val="32AB608F"/>
    <w:rsid w:val="32B91399"/>
    <w:rsid w:val="32BA0C0A"/>
    <w:rsid w:val="32BF13D0"/>
    <w:rsid w:val="32C73F46"/>
    <w:rsid w:val="32E43650"/>
    <w:rsid w:val="32E6271C"/>
    <w:rsid w:val="32EF5ABC"/>
    <w:rsid w:val="32F05B3A"/>
    <w:rsid w:val="32F57AE4"/>
    <w:rsid w:val="32F86E16"/>
    <w:rsid w:val="330051AD"/>
    <w:rsid w:val="33017A7A"/>
    <w:rsid w:val="3308018D"/>
    <w:rsid w:val="33114FF1"/>
    <w:rsid w:val="332723E5"/>
    <w:rsid w:val="33274EAD"/>
    <w:rsid w:val="33390A36"/>
    <w:rsid w:val="33396C6A"/>
    <w:rsid w:val="33454950"/>
    <w:rsid w:val="334D5F81"/>
    <w:rsid w:val="334F75F4"/>
    <w:rsid w:val="336A3986"/>
    <w:rsid w:val="337B5ABE"/>
    <w:rsid w:val="337E6B77"/>
    <w:rsid w:val="3395328D"/>
    <w:rsid w:val="33A87A84"/>
    <w:rsid w:val="33C81479"/>
    <w:rsid w:val="33E47529"/>
    <w:rsid w:val="33E704AD"/>
    <w:rsid w:val="33EA4B52"/>
    <w:rsid w:val="33FE2871"/>
    <w:rsid w:val="33FE4C18"/>
    <w:rsid w:val="341435D5"/>
    <w:rsid w:val="34153802"/>
    <w:rsid w:val="34184FEB"/>
    <w:rsid w:val="3423081F"/>
    <w:rsid w:val="342351F1"/>
    <w:rsid w:val="342417CB"/>
    <w:rsid w:val="344027C4"/>
    <w:rsid w:val="34513149"/>
    <w:rsid w:val="34513F10"/>
    <w:rsid w:val="34521E5C"/>
    <w:rsid w:val="345D644B"/>
    <w:rsid w:val="346C4EA4"/>
    <w:rsid w:val="347B5C76"/>
    <w:rsid w:val="347E47FE"/>
    <w:rsid w:val="348026E7"/>
    <w:rsid w:val="34825A83"/>
    <w:rsid w:val="34850B6C"/>
    <w:rsid w:val="34874311"/>
    <w:rsid w:val="34967016"/>
    <w:rsid w:val="34985D63"/>
    <w:rsid w:val="34A452BE"/>
    <w:rsid w:val="34AC4012"/>
    <w:rsid w:val="34B02503"/>
    <w:rsid w:val="34B275D2"/>
    <w:rsid w:val="34B9103E"/>
    <w:rsid w:val="34B966FD"/>
    <w:rsid w:val="34C52B7A"/>
    <w:rsid w:val="34DC1739"/>
    <w:rsid w:val="34F550B8"/>
    <w:rsid w:val="3512788A"/>
    <w:rsid w:val="351573BC"/>
    <w:rsid w:val="352D24BB"/>
    <w:rsid w:val="35390D9C"/>
    <w:rsid w:val="3543093C"/>
    <w:rsid w:val="35453479"/>
    <w:rsid w:val="354B1DF0"/>
    <w:rsid w:val="355B3679"/>
    <w:rsid w:val="355D6FDC"/>
    <w:rsid w:val="35600547"/>
    <w:rsid w:val="35635491"/>
    <w:rsid w:val="35637F08"/>
    <w:rsid w:val="356F1C97"/>
    <w:rsid w:val="3575773C"/>
    <w:rsid w:val="3578493D"/>
    <w:rsid w:val="357916CA"/>
    <w:rsid w:val="358D22B4"/>
    <w:rsid w:val="35980DF9"/>
    <w:rsid w:val="3599113E"/>
    <w:rsid w:val="359D6138"/>
    <w:rsid w:val="359E2088"/>
    <w:rsid w:val="35A4009C"/>
    <w:rsid w:val="35A81B7F"/>
    <w:rsid w:val="35B54C02"/>
    <w:rsid w:val="35B9585C"/>
    <w:rsid w:val="35BB4A75"/>
    <w:rsid w:val="35C64229"/>
    <w:rsid w:val="35C82E3C"/>
    <w:rsid w:val="35D354C7"/>
    <w:rsid w:val="35DC1028"/>
    <w:rsid w:val="35ED4AB8"/>
    <w:rsid w:val="35F32BCF"/>
    <w:rsid w:val="35F41DAF"/>
    <w:rsid w:val="35F4738C"/>
    <w:rsid w:val="35FF2EBE"/>
    <w:rsid w:val="36035F4F"/>
    <w:rsid w:val="36036B3E"/>
    <w:rsid w:val="36051710"/>
    <w:rsid w:val="360E3237"/>
    <w:rsid w:val="361218E3"/>
    <w:rsid w:val="36151507"/>
    <w:rsid w:val="36166285"/>
    <w:rsid w:val="36187DBA"/>
    <w:rsid w:val="362511BB"/>
    <w:rsid w:val="362D3CA1"/>
    <w:rsid w:val="363856B9"/>
    <w:rsid w:val="36401A07"/>
    <w:rsid w:val="364277A5"/>
    <w:rsid w:val="36463282"/>
    <w:rsid w:val="364A4122"/>
    <w:rsid w:val="364E4B56"/>
    <w:rsid w:val="36525A8C"/>
    <w:rsid w:val="365F5942"/>
    <w:rsid w:val="3663000A"/>
    <w:rsid w:val="366661CB"/>
    <w:rsid w:val="366E354B"/>
    <w:rsid w:val="36702175"/>
    <w:rsid w:val="36781CB0"/>
    <w:rsid w:val="3687624C"/>
    <w:rsid w:val="36891D4D"/>
    <w:rsid w:val="368F733D"/>
    <w:rsid w:val="369A0290"/>
    <w:rsid w:val="36A94194"/>
    <w:rsid w:val="36AF2EB1"/>
    <w:rsid w:val="36AF5735"/>
    <w:rsid w:val="36C1622A"/>
    <w:rsid w:val="36C90479"/>
    <w:rsid w:val="36DC46E4"/>
    <w:rsid w:val="36E33B8E"/>
    <w:rsid w:val="36E85DD9"/>
    <w:rsid w:val="36E86452"/>
    <w:rsid w:val="36FF50D7"/>
    <w:rsid w:val="37070455"/>
    <w:rsid w:val="370B38DB"/>
    <w:rsid w:val="370E7DC8"/>
    <w:rsid w:val="371643A6"/>
    <w:rsid w:val="372B0368"/>
    <w:rsid w:val="374E2BA8"/>
    <w:rsid w:val="375261C5"/>
    <w:rsid w:val="37571209"/>
    <w:rsid w:val="37584224"/>
    <w:rsid w:val="375E64F0"/>
    <w:rsid w:val="376315D0"/>
    <w:rsid w:val="37641B71"/>
    <w:rsid w:val="37646CB9"/>
    <w:rsid w:val="3766317C"/>
    <w:rsid w:val="377E0B77"/>
    <w:rsid w:val="378750EF"/>
    <w:rsid w:val="37C214CE"/>
    <w:rsid w:val="37C879C2"/>
    <w:rsid w:val="37CC7D94"/>
    <w:rsid w:val="37CE4405"/>
    <w:rsid w:val="37CF317D"/>
    <w:rsid w:val="37CF4935"/>
    <w:rsid w:val="37E24C1C"/>
    <w:rsid w:val="37E85E6A"/>
    <w:rsid w:val="37E94EEA"/>
    <w:rsid w:val="37EB148D"/>
    <w:rsid w:val="37EE0639"/>
    <w:rsid w:val="37EF398B"/>
    <w:rsid w:val="37FD0EF1"/>
    <w:rsid w:val="38034400"/>
    <w:rsid w:val="380B3202"/>
    <w:rsid w:val="380D268D"/>
    <w:rsid w:val="380F10E8"/>
    <w:rsid w:val="38127BB4"/>
    <w:rsid w:val="38141937"/>
    <w:rsid w:val="3815643E"/>
    <w:rsid w:val="381D1790"/>
    <w:rsid w:val="38231B9C"/>
    <w:rsid w:val="38256756"/>
    <w:rsid w:val="383A21FD"/>
    <w:rsid w:val="383A6EC3"/>
    <w:rsid w:val="38414B37"/>
    <w:rsid w:val="3849292B"/>
    <w:rsid w:val="3850449D"/>
    <w:rsid w:val="385E4468"/>
    <w:rsid w:val="386D13E6"/>
    <w:rsid w:val="38752E0D"/>
    <w:rsid w:val="38815A12"/>
    <w:rsid w:val="38856C9E"/>
    <w:rsid w:val="388716FF"/>
    <w:rsid w:val="388A3A2B"/>
    <w:rsid w:val="388A6682"/>
    <w:rsid w:val="389E3550"/>
    <w:rsid w:val="38A64F73"/>
    <w:rsid w:val="38A93FAC"/>
    <w:rsid w:val="38BD689C"/>
    <w:rsid w:val="38C456F3"/>
    <w:rsid w:val="38C516DC"/>
    <w:rsid w:val="38CC1B03"/>
    <w:rsid w:val="38CC1DCB"/>
    <w:rsid w:val="38D70BF2"/>
    <w:rsid w:val="38D72E5D"/>
    <w:rsid w:val="38D82FC5"/>
    <w:rsid w:val="38EC72EF"/>
    <w:rsid w:val="38EF2FB7"/>
    <w:rsid w:val="38EF7060"/>
    <w:rsid w:val="38F454E5"/>
    <w:rsid w:val="38F8456E"/>
    <w:rsid w:val="39131A45"/>
    <w:rsid w:val="39187A68"/>
    <w:rsid w:val="391B290C"/>
    <w:rsid w:val="391B2F04"/>
    <w:rsid w:val="391D5920"/>
    <w:rsid w:val="39217664"/>
    <w:rsid w:val="392434DC"/>
    <w:rsid w:val="393E568A"/>
    <w:rsid w:val="393E5D1F"/>
    <w:rsid w:val="394A3FB3"/>
    <w:rsid w:val="395157F3"/>
    <w:rsid w:val="395553A9"/>
    <w:rsid w:val="39661BCB"/>
    <w:rsid w:val="397D3CB6"/>
    <w:rsid w:val="39820136"/>
    <w:rsid w:val="398F41D2"/>
    <w:rsid w:val="399259D9"/>
    <w:rsid w:val="39A03A02"/>
    <w:rsid w:val="39AE1274"/>
    <w:rsid w:val="39BA3701"/>
    <w:rsid w:val="39C774FE"/>
    <w:rsid w:val="39C934F7"/>
    <w:rsid w:val="39D24749"/>
    <w:rsid w:val="39D41D3E"/>
    <w:rsid w:val="39D56673"/>
    <w:rsid w:val="39DE60A2"/>
    <w:rsid w:val="39DE7C9A"/>
    <w:rsid w:val="39E97338"/>
    <w:rsid w:val="39F0728A"/>
    <w:rsid w:val="39F3691E"/>
    <w:rsid w:val="39F57983"/>
    <w:rsid w:val="39F87713"/>
    <w:rsid w:val="39FC2C42"/>
    <w:rsid w:val="3A052780"/>
    <w:rsid w:val="3A057A12"/>
    <w:rsid w:val="3A0C0DF8"/>
    <w:rsid w:val="3A15081E"/>
    <w:rsid w:val="3A192D6D"/>
    <w:rsid w:val="3A297F26"/>
    <w:rsid w:val="3A2F0BF4"/>
    <w:rsid w:val="3A382CA5"/>
    <w:rsid w:val="3A39308E"/>
    <w:rsid w:val="3A4204D3"/>
    <w:rsid w:val="3A560111"/>
    <w:rsid w:val="3A58452D"/>
    <w:rsid w:val="3A5A471F"/>
    <w:rsid w:val="3A5E0F7D"/>
    <w:rsid w:val="3A6B51BC"/>
    <w:rsid w:val="3A6C0C9C"/>
    <w:rsid w:val="3A7B476A"/>
    <w:rsid w:val="3A8310A6"/>
    <w:rsid w:val="3A8316D0"/>
    <w:rsid w:val="3A895E62"/>
    <w:rsid w:val="3A8968E7"/>
    <w:rsid w:val="3A923651"/>
    <w:rsid w:val="3A946221"/>
    <w:rsid w:val="3A980608"/>
    <w:rsid w:val="3A9E1AC4"/>
    <w:rsid w:val="3AA06C37"/>
    <w:rsid w:val="3AA34118"/>
    <w:rsid w:val="3AA65D3D"/>
    <w:rsid w:val="3AB36DDC"/>
    <w:rsid w:val="3ABB75FE"/>
    <w:rsid w:val="3AC17188"/>
    <w:rsid w:val="3AC46436"/>
    <w:rsid w:val="3AC624F3"/>
    <w:rsid w:val="3AC645A7"/>
    <w:rsid w:val="3AE46DEF"/>
    <w:rsid w:val="3AE76AD8"/>
    <w:rsid w:val="3B04719A"/>
    <w:rsid w:val="3B07158A"/>
    <w:rsid w:val="3B1326E6"/>
    <w:rsid w:val="3B194667"/>
    <w:rsid w:val="3B1B2FFD"/>
    <w:rsid w:val="3B2A7671"/>
    <w:rsid w:val="3B2E1421"/>
    <w:rsid w:val="3B38743B"/>
    <w:rsid w:val="3B390EAA"/>
    <w:rsid w:val="3B4A2637"/>
    <w:rsid w:val="3B4C0AA2"/>
    <w:rsid w:val="3B4F13B8"/>
    <w:rsid w:val="3B503C09"/>
    <w:rsid w:val="3B565A03"/>
    <w:rsid w:val="3B5B77D1"/>
    <w:rsid w:val="3B622D62"/>
    <w:rsid w:val="3B667283"/>
    <w:rsid w:val="3B695D55"/>
    <w:rsid w:val="3B72703A"/>
    <w:rsid w:val="3B73538F"/>
    <w:rsid w:val="3B77503C"/>
    <w:rsid w:val="3B7D0149"/>
    <w:rsid w:val="3B88557D"/>
    <w:rsid w:val="3B893322"/>
    <w:rsid w:val="3B8A3C14"/>
    <w:rsid w:val="3B8B408C"/>
    <w:rsid w:val="3B914488"/>
    <w:rsid w:val="3B936C9A"/>
    <w:rsid w:val="3B9619A5"/>
    <w:rsid w:val="3B9F7E37"/>
    <w:rsid w:val="3BA22D0F"/>
    <w:rsid w:val="3BA47E17"/>
    <w:rsid w:val="3BA52179"/>
    <w:rsid w:val="3BAA54EA"/>
    <w:rsid w:val="3BB35F30"/>
    <w:rsid w:val="3BBA2C79"/>
    <w:rsid w:val="3BBE182F"/>
    <w:rsid w:val="3BC751E0"/>
    <w:rsid w:val="3BED12A3"/>
    <w:rsid w:val="3BF33DAD"/>
    <w:rsid w:val="3BF9084E"/>
    <w:rsid w:val="3C0E092E"/>
    <w:rsid w:val="3C0F5965"/>
    <w:rsid w:val="3C115676"/>
    <w:rsid w:val="3C1D57A7"/>
    <w:rsid w:val="3C245F90"/>
    <w:rsid w:val="3C311BE9"/>
    <w:rsid w:val="3C333511"/>
    <w:rsid w:val="3C333D63"/>
    <w:rsid w:val="3C3835BB"/>
    <w:rsid w:val="3C3C0807"/>
    <w:rsid w:val="3C40639B"/>
    <w:rsid w:val="3C420026"/>
    <w:rsid w:val="3C440D96"/>
    <w:rsid w:val="3C452D0F"/>
    <w:rsid w:val="3C47524B"/>
    <w:rsid w:val="3C476A06"/>
    <w:rsid w:val="3C482815"/>
    <w:rsid w:val="3C4B25B3"/>
    <w:rsid w:val="3C53787D"/>
    <w:rsid w:val="3C6068C3"/>
    <w:rsid w:val="3C6D3934"/>
    <w:rsid w:val="3C774941"/>
    <w:rsid w:val="3C787445"/>
    <w:rsid w:val="3C796548"/>
    <w:rsid w:val="3C7D7316"/>
    <w:rsid w:val="3C8D6693"/>
    <w:rsid w:val="3C8D6EF1"/>
    <w:rsid w:val="3C8E496F"/>
    <w:rsid w:val="3CA74629"/>
    <w:rsid w:val="3CAE6648"/>
    <w:rsid w:val="3CB93C9E"/>
    <w:rsid w:val="3CBA3C97"/>
    <w:rsid w:val="3CBC5E2A"/>
    <w:rsid w:val="3CC03085"/>
    <w:rsid w:val="3CCA47FF"/>
    <w:rsid w:val="3CCF6C04"/>
    <w:rsid w:val="3CD35722"/>
    <w:rsid w:val="3CDF318F"/>
    <w:rsid w:val="3CE11D8E"/>
    <w:rsid w:val="3CE84DCB"/>
    <w:rsid w:val="3CF14A91"/>
    <w:rsid w:val="3D0405E8"/>
    <w:rsid w:val="3D09558A"/>
    <w:rsid w:val="3D0F3B3B"/>
    <w:rsid w:val="3D120346"/>
    <w:rsid w:val="3D204521"/>
    <w:rsid w:val="3D2B4F24"/>
    <w:rsid w:val="3D355045"/>
    <w:rsid w:val="3D3C766D"/>
    <w:rsid w:val="3D616850"/>
    <w:rsid w:val="3D620474"/>
    <w:rsid w:val="3D654C16"/>
    <w:rsid w:val="3D6765A1"/>
    <w:rsid w:val="3D6D28B8"/>
    <w:rsid w:val="3D786C71"/>
    <w:rsid w:val="3D83567A"/>
    <w:rsid w:val="3D870673"/>
    <w:rsid w:val="3D875490"/>
    <w:rsid w:val="3D987BEE"/>
    <w:rsid w:val="3D9C7195"/>
    <w:rsid w:val="3D9E4B3E"/>
    <w:rsid w:val="3DA40698"/>
    <w:rsid w:val="3DB64709"/>
    <w:rsid w:val="3DC62718"/>
    <w:rsid w:val="3DC8174D"/>
    <w:rsid w:val="3DD407C7"/>
    <w:rsid w:val="3DE143B6"/>
    <w:rsid w:val="3DE6417C"/>
    <w:rsid w:val="3E040C50"/>
    <w:rsid w:val="3E056049"/>
    <w:rsid w:val="3E071DFE"/>
    <w:rsid w:val="3E1364C8"/>
    <w:rsid w:val="3E1D63C5"/>
    <w:rsid w:val="3E240A67"/>
    <w:rsid w:val="3E28333B"/>
    <w:rsid w:val="3E296574"/>
    <w:rsid w:val="3E2B54A4"/>
    <w:rsid w:val="3E2C2F3D"/>
    <w:rsid w:val="3E337CFC"/>
    <w:rsid w:val="3E3C2931"/>
    <w:rsid w:val="3E4210EA"/>
    <w:rsid w:val="3E421AC2"/>
    <w:rsid w:val="3E59683A"/>
    <w:rsid w:val="3E5A1A95"/>
    <w:rsid w:val="3E5C3BF4"/>
    <w:rsid w:val="3E5E05CC"/>
    <w:rsid w:val="3E62405D"/>
    <w:rsid w:val="3E652FC0"/>
    <w:rsid w:val="3E653409"/>
    <w:rsid w:val="3E681853"/>
    <w:rsid w:val="3E6950BE"/>
    <w:rsid w:val="3E6D3E9A"/>
    <w:rsid w:val="3E6E7DA0"/>
    <w:rsid w:val="3E7D6F6F"/>
    <w:rsid w:val="3E7E0E8E"/>
    <w:rsid w:val="3E88486F"/>
    <w:rsid w:val="3E926C56"/>
    <w:rsid w:val="3E965301"/>
    <w:rsid w:val="3E976AB1"/>
    <w:rsid w:val="3E9A5F09"/>
    <w:rsid w:val="3E9D417E"/>
    <w:rsid w:val="3E9D4776"/>
    <w:rsid w:val="3EA5575B"/>
    <w:rsid w:val="3EB76A6F"/>
    <w:rsid w:val="3EBB2A4E"/>
    <w:rsid w:val="3EBF0BB1"/>
    <w:rsid w:val="3EC14128"/>
    <w:rsid w:val="3EC5279F"/>
    <w:rsid w:val="3EC6365E"/>
    <w:rsid w:val="3ECC7303"/>
    <w:rsid w:val="3ED46922"/>
    <w:rsid w:val="3EEA50D6"/>
    <w:rsid w:val="3EF238C9"/>
    <w:rsid w:val="3EFA2C17"/>
    <w:rsid w:val="3F0042AD"/>
    <w:rsid w:val="3F0F0F89"/>
    <w:rsid w:val="3F2A15DE"/>
    <w:rsid w:val="3F2C14CB"/>
    <w:rsid w:val="3F3D2989"/>
    <w:rsid w:val="3F3F4D0F"/>
    <w:rsid w:val="3F434360"/>
    <w:rsid w:val="3F582ED4"/>
    <w:rsid w:val="3F590F57"/>
    <w:rsid w:val="3F7172D8"/>
    <w:rsid w:val="3F755277"/>
    <w:rsid w:val="3F7C7901"/>
    <w:rsid w:val="3F8B1153"/>
    <w:rsid w:val="3F903756"/>
    <w:rsid w:val="3F9258DF"/>
    <w:rsid w:val="3F964A64"/>
    <w:rsid w:val="3F9705E4"/>
    <w:rsid w:val="3F991127"/>
    <w:rsid w:val="3FAE7A2B"/>
    <w:rsid w:val="3FB32DAE"/>
    <w:rsid w:val="3FB63E0A"/>
    <w:rsid w:val="3FB938C0"/>
    <w:rsid w:val="3FBE1B14"/>
    <w:rsid w:val="3FBF5AF7"/>
    <w:rsid w:val="3FC221A9"/>
    <w:rsid w:val="3FC66DEA"/>
    <w:rsid w:val="3FCD0AD3"/>
    <w:rsid w:val="3FCD2C2A"/>
    <w:rsid w:val="3FCF2C3B"/>
    <w:rsid w:val="3FEC436F"/>
    <w:rsid w:val="3FED4F32"/>
    <w:rsid w:val="3FEF03A8"/>
    <w:rsid w:val="3FF04ED0"/>
    <w:rsid w:val="3FF3746C"/>
    <w:rsid w:val="40071891"/>
    <w:rsid w:val="400B0040"/>
    <w:rsid w:val="400E73A8"/>
    <w:rsid w:val="403C7957"/>
    <w:rsid w:val="40495EFF"/>
    <w:rsid w:val="40545177"/>
    <w:rsid w:val="4058463D"/>
    <w:rsid w:val="405B0CC8"/>
    <w:rsid w:val="40631F1C"/>
    <w:rsid w:val="40633A2A"/>
    <w:rsid w:val="406C0039"/>
    <w:rsid w:val="406C6FD1"/>
    <w:rsid w:val="40751C21"/>
    <w:rsid w:val="40776750"/>
    <w:rsid w:val="408667B0"/>
    <w:rsid w:val="409517E7"/>
    <w:rsid w:val="40963C87"/>
    <w:rsid w:val="409D0A48"/>
    <w:rsid w:val="409D18DB"/>
    <w:rsid w:val="40A401A6"/>
    <w:rsid w:val="40A61EB3"/>
    <w:rsid w:val="40AD27E4"/>
    <w:rsid w:val="40AF5079"/>
    <w:rsid w:val="40B114E8"/>
    <w:rsid w:val="40B2660B"/>
    <w:rsid w:val="40B71DE5"/>
    <w:rsid w:val="40B928D8"/>
    <w:rsid w:val="40D775FB"/>
    <w:rsid w:val="40DD0A54"/>
    <w:rsid w:val="40EB69F1"/>
    <w:rsid w:val="40F138B7"/>
    <w:rsid w:val="40F93A22"/>
    <w:rsid w:val="41011647"/>
    <w:rsid w:val="4106507F"/>
    <w:rsid w:val="41066465"/>
    <w:rsid w:val="41220E33"/>
    <w:rsid w:val="41220F6D"/>
    <w:rsid w:val="41343BB8"/>
    <w:rsid w:val="413914A9"/>
    <w:rsid w:val="41410C71"/>
    <w:rsid w:val="414145B5"/>
    <w:rsid w:val="41417AAA"/>
    <w:rsid w:val="41447FB7"/>
    <w:rsid w:val="41486BC7"/>
    <w:rsid w:val="414A4602"/>
    <w:rsid w:val="41545E1C"/>
    <w:rsid w:val="41551E13"/>
    <w:rsid w:val="41582C19"/>
    <w:rsid w:val="41600049"/>
    <w:rsid w:val="41642423"/>
    <w:rsid w:val="416B3F83"/>
    <w:rsid w:val="41706CB3"/>
    <w:rsid w:val="41891F48"/>
    <w:rsid w:val="418A7653"/>
    <w:rsid w:val="418B3CC7"/>
    <w:rsid w:val="41A00A38"/>
    <w:rsid w:val="41A13E38"/>
    <w:rsid w:val="41AC2CEB"/>
    <w:rsid w:val="41B408A2"/>
    <w:rsid w:val="41B72FF7"/>
    <w:rsid w:val="41C70AD5"/>
    <w:rsid w:val="41E25BBD"/>
    <w:rsid w:val="41EF308C"/>
    <w:rsid w:val="41EF447A"/>
    <w:rsid w:val="41FF029C"/>
    <w:rsid w:val="41FF3335"/>
    <w:rsid w:val="420C6B17"/>
    <w:rsid w:val="420F7229"/>
    <w:rsid w:val="423B6125"/>
    <w:rsid w:val="423F4DD9"/>
    <w:rsid w:val="4242097D"/>
    <w:rsid w:val="42646595"/>
    <w:rsid w:val="426606EE"/>
    <w:rsid w:val="426F4708"/>
    <w:rsid w:val="42793EDF"/>
    <w:rsid w:val="427B78F2"/>
    <w:rsid w:val="427E7401"/>
    <w:rsid w:val="4281208F"/>
    <w:rsid w:val="428414B4"/>
    <w:rsid w:val="42925D60"/>
    <w:rsid w:val="42927A87"/>
    <w:rsid w:val="429C7FA6"/>
    <w:rsid w:val="42B037DD"/>
    <w:rsid w:val="42B35F69"/>
    <w:rsid w:val="42B87A2A"/>
    <w:rsid w:val="42B90EFE"/>
    <w:rsid w:val="42C93415"/>
    <w:rsid w:val="42D513D3"/>
    <w:rsid w:val="42D67786"/>
    <w:rsid w:val="42D8421A"/>
    <w:rsid w:val="42DE2F9A"/>
    <w:rsid w:val="42F56D13"/>
    <w:rsid w:val="42F642BC"/>
    <w:rsid w:val="42FB3539"/>
    <w:rsid w:val="42FF25AB"/>
    <w:rsid w:val="42FF43C1"/>
    <w:rsid w:val="43016A2D"/>
    <w:rsid w:val="43030B62"/>
    <w:rsid w:val="430B3E7F"/>
    <w:rsid w:val="4319100E"/>
    <w:rsid w:val="43192D2F"/>
    <w:rsid w:val="431946AD"/>
    <w:rsid w:val="43345979"/>
    <w:rsid w:val="433D4574"/>
    <w:rsid w:val="43433CBF"/>
    <w:rsid w:val="43455FE4"/>
    <w:rsid w:val="435168A7"/>
    <w:rsid w:val="435873B5"/>
    <w:rsid w:val="435D695C"/>
    <w:rsid w:val="4367443A"/>
    <w:rsid w:val="43682C37"/>
    <w:rsid w:val="436D5A3F"/>
    <w:rsid w:val="437A3040"/>
    <w:rsid w:val="437A49D1"/>
    <w:rsid w:val="4382329A"/>
    <w:rsid w:val="4387383D"/>
    <w:rsid w:val="438948EF"/>
    <w:rsid w:val="43921B6C"/>
    <w:rsid w:val="439B0FBC"/>
    <w:rsid w:val="439D71ED"/>
    <w:rsid w:val="43A204A2"/>
    <w:rsid w:val="43A96A36"/>
    <w:rsid w:val="43AE0CA2"/>
    <w:rsid w:val="43B018DE"/>
    <w:rsid w:val="43B73A24"/>
    <w:rsid w:val="43BB7B44"/>
    <w:rsid w:val="43BC4DE5"/>
    <w:rsid w:val="43C743E1"/>
    <w:rsid w:val="43CB7FA8"/>
    <w:rsid w:val="43DA438C"/>
    <w:rsid w:val="43DE44B0"/>
    <w:rsid w:val="43EB15D1"/>
    <w:rsid w:val="43EB5EFB"/>
    <w:rsid w:val="43F20138"/>
    <w:rsid w:val="44077E14"/>
    <w:rsid w:val="440E7A93"/>
    <w:rsid w:val="44165C3A"/>
    <w:rsid w:val="44255467"/>
    <w:rsid w:val="44281D2C"/>
    <w:rsid w:val="44326DA3"/>
    <w:rsid w:val="444C570F"/>
    <w:rsid w:val="444D699C"/>
    <w:rsid w:val="445230AA"/>
    <w:rsid w:val="445A3A32"/>
    <w:rsid w:val="44660B6F"/>
    <w:rsid w:val="44707EA8"/>
    <w:rsid w:val="44741F73"/>
    <w:rsid w:val="447B0727"/>
    <w:rsid w:val="449048B8"/>
    <w:rsid w:val="44934BC2"/>
    <w:rsid w:val="44980F47"/>
    <w:rsid w:val="44A2531B"/>
    <w:rsid w:val="44AB36B8"/>
    <w:rsid w:val="44B63B1E"/>
    <w:rsid w:val="44C23A41"/>
    <w:rsid w:val="44C563A5"/>
    <w:rsid w:val="44CA1F28"/>
    <w:rsid w:val="44CD55EB"/>
    <w:rsid w:val="44DD2A8F"/>
    <w:rsid w:val="44F21063"/>
    <w:rsid w:val="44F82E48"/>
    <w:rsid w:val="44FB70A9"/>
    <w:rsid w:val="45025EF0"/>
    <w:rsid w:val="45076A96"/>
    <w:rsid w:val="45170EFF"/>
    <w:rsid w:val="451F6248"/>
    <w:rsid w:val="453156F6"/>
    <w:rsid w:val="45361EE6"/>
    <w:rsid w:val="453779E0"/>
    <w:rsid w:val="45392B72"/>
    <w:rsid w:val="453F7BBD"/>
    <w:rsid w:val="4541017A"/>
    <w:rsid w:val="45441CDC"/>
    <w:rsid w:val="45570359"/>
    <w:rsid w:val="458A4661"/>
    <w:rsid w:val="459A4241"/>
    <w:rsid w:val="45A45AFC"/>
    <w:rsid w:val="45BE2E50"/>
    <w:rsid w:val="45C64850"/>
    <w:rsid w:val="45E610E4"/>
    <w:rsid w:val="45F3275E"/>
    <w:rsid w:val="45F57F0D"/>
    <w:rsid w:val="45F650E9"/>
    <w:rsid w:val="45F84E9A"/>
    <w:rsid w:val="45F95712"/>
    <w:rsid w:val="45FA7805"/>
    <w:rsid w:val="460E6A22"/>
    <w:rsid w:val="46135A83"/>
    <w:rsid w:val="461473C0"/>
    <w:rsid w:val="461670D2"/>
    <w:rsid w:val="46231CB9"/>
    <w:rsid w:val="462A6FE2"/>
    <w:rsid w:val="462C5015"/>
    <w:rsid w:val="46303BC3"/>
    <w:rsid w:val="463B7F22"/>
    <w:rsid w:val="46444712"/>
    <w:rsid w:val="464973AF"/>
    <w:rsid w:val="46510B4A"/>
    <w:rsid w:val="465134E8"/>
    <w:rsid w:val="465327B1"/>
    <w:rsid w:val="4656640C"/>
    <w:rsid w:val="46602A51"/>
    <w:rsid w:val="466C7249"/>
    <w:rsid w:val="4670230B"/>
    <w:rsid w:val="467C242E"/>
    <w:rsid w:val="469F69E0"/>
    <w:rsid w:val="46A15B60"/>
    <w:rsid w:val="46A816F6"/>
    <w:rsid w:val="46AD0CA1"/>
    <w:rsid w:val="46AD149D"/>
    <w:rsid w:val="46B346BC"/>
    <w:rsid w:val="46B42634"/>
    <w:rsid w:val="46B92000"/>
    <w:rsid w:val="46BB5B16"/>
    <w:rsid w:val="46C065D1"/>
    <w:rsid w:val="46CE65E2"/>
    <w:rsid w:val="46DA6688"/>
    <w:rsid w:val="46E73DFC"/>
    <w:rsid w:val="46E94C65"/>
    <w:rsid w:val="46EC78B2"/>
    <w:rsid w:val="46F15005"/>
    <w:rsid w:val="46F25D91"/>
    <w:rsid w:val="46F30A36"/>
    <w:rsid w:val="46F948F9"/>
    <w:rsid w:val="4702499A"/>
    <w:rsid w:val="4704466B"/>
    <w:rsid w:val="470F505E"/>
    <w:rsid w:val="47112DBE"/>
    <w:rsid w:val="471A6B56"/>
    <w:rsid w:val="471D01C3"/>
    <w:rsid w:val="472275D7"/>
    <w:rsid w:val="472F260B"/>
    <w:rsid w:val="473F212F"/>
    <w:rsid w:val="47631DFA"/>
    <w:rsid w:val="47665DD2"/>
    <w:rsid w:val="47673A3C"/>
    <w:rsid w:val="477B5261"/>
    <w:rsid w:val="477C11A5"/>
    <w:rsid w:val="47835D4E"/>
    <w:rsid w:val="4787434B"/>
    <w:rsid w:val="4789626B"/>
    <w:rsid w:val="478C1B00"/>
    <w:rsid w:val="47902B12"/>
    <w:rsid w:val="47A27CA4"/>
    <w:rsid w:val="47A32A6C"/>
    <w:rsid w:val="47A80B25"/>
    <w:rsid w:val="47B73A6D"/>
    <w:rsid w:val="47BC26FD"/>
    <w:rsid w:val="47E27450"/>
    <w:rsid w:val="47E86D96"/>
    <w:rsid w:val="47E92978"/>
    <w:rsid w:val="47F2301E"/>
    <w:rsid w:val="47F51FEA"/>
    <w:rsid w:val="47F635DA"/>
    <w:rsid w:val="47FA05E5"/>
    <w:rsid w:val="48021BE6"/>
    <w:rsid w:val="4805269E"/>
    <w:rsid w:val="48090C2F"/>
    <w:rsid w:val="480A376C"/>
    <w:rsid w:val="482C4052"/>
    <w:rsid w:val="48463F81"/>
    <w:rsid w:val="48491783"/>
    <w:rsid w:val="484D6990"/>
    <w:rsid w:val="484D7E74"/>
    <w:rsid w:val="485033B3"/>
    <w:rsid w:val="48505DEC"/>
    <w:rsid w:val="48514C15"/>
    <w:rsid w:val="486066F0"/>
    <w:rsid w:val="48715D97"/>
    <w:rsid w:val="48827690"/>
    <w:rsid w:val="488416DB"/>
    <w:rsid w:val="48852C90"/>
    <w:rsid w:val="488B22B2"/>
    <w:rsid w:val="488B6BED"/>
    <w:rsid w:val="48957656"/>
    <w:rsid w:val="48AF55BC"/>
    <w:rsid w:val="48AF740F"/>
    <w:rsid w:val="48BC2D54"/>
    <w:rsid w:val="48CC2375"/>
    <w:rsid w:val="48D833AD"/>
    <w:rsid w:val="48DA1DFB"/>
    <w:rsid w:val="48DD1F18"/>
    <w:rsid w:val="48E42BE4"/>
    <w:rsid w:val="48E435AA"/>
    <w:rsid w:val="48E43FC6"/>
    <w:rsid w:val="48E77915"/>
    <w:rsid w:val="48E82206"/>
    <w:rsid w:val="48EB0F68"/>
    <w:rsid w:val="48F11A3E"/>
    <w:rsid w:val="49143BD2"/>
    <w:rsid w:val="492B6B99"/>
    <w:rsid w:val="492E22B4"/>
    <w:rsid w:val="492F71AE"/>
    <w:rsid w:val="493161DE"/>
    <w:rsid w:val="4932413F"/>
    <w:rsid w:val="493A2FBF"/>
    <w:rsid w:val="493A55BF"/>
    <w:rsid w:val="493C4807"/>
    <w:rsid w:val="4944617E"/>
    <w:rsid w:val="49466EAB"/>
    <w:rsid w:val="494704B3"/>
    <w:rsid w:val="49494C38"/>
    <w:rsid w:val="49506EA2"/>
    <w:rsid w:val="495516DE"/>
    <w:rsid w:val="495652F0"/>
    <w:rsid w:val="49650377"/>
    <w:rsid w:val="49704D67"/>
    <w:rsid w:val="49733E63"/>
    <w:rsid w:val="497A3314"/>
    <w:rsid w:val="497C08D9"/>
    <w:rsid w:val="49874A84"/>
    <w:rsid w:val="498A101C"/>
    <w:rsid w:val="498D5474"/>
    <w:rsid w:val="49AB4F4F"/>
    <w:rsid w:val="49AE7058"/>
    <w:rsid w:val="49B6014C"/>
    <w:rsid w:val="49C143D6"/>
    <w:rsid w:val="49CE7630"/>
    <w:rsid w:val="49D410EC"/>
    <w:rsid w:val="49D83F4F"/>
    <w:rsid w:val="49F82447"/>
    <w:rsid w:val="49FC0EF9"/>
    <w:rsid w:val="4A10486A"/>
    <w:rsid w:val="4A154EED"/>
    <w:rsid w:val="4A1A1910"/>
    <w:rsid w:val="4A214796"/>
    <w:rsid w:val="4A2335F7"/>
    <w:rsid w:val="4A2A6DAF"/>
    <w:rsid w:val="4A370510"/>
    <w:rsid w:val="4A3C44A2"/>
    <w:rsid w:val="4A4D759F"/>
    <w:rsid w:val="4A7E58E9"/>
    <w:rsid w:val="4A841C34"/>
    <w:rsid w:val="4A885949"/>
    <w:rsid w:val="4A8C55B2"/>
    <w:rsid w:val="4A8D5DD8"/>
    <w:rsid w:val="4A9172CC"/>
    <w:rsid w:val="4AA23689"/>
    <w:rsid w:val="4AAA27AE"/>
    <w:rsid w:val="4AAD1793"/>
    <w:rsid w:val="4AB33C54"/>
    <w:rsid w:val="4AB45A7F"/>
    <w:rsid w:val="4AB76347"/>
    <w:rsid w:val="4AB872E4"/>
    <w:rsid w:val="4ABB2150"/>
    <w:rsid w:val="4AC718C8"/>
    <w:rsid w:val="4AE13CDC"/>
    <w:rsid w:val="4AE53AFA"/>
    <w:rsid w:val="4AF46F9F"/>
    <w:rsid w:val="4AF627DE"/>
    <w:rsid w:val="4AFA6B1E"/>
    <w:rsid w:val="4B064B5E"/>
    <w:rsid w:val="4B0702FA"/>
    <w:rsid w:val="4B0E0A79"/>
    <w:rsid w:val="4B3D069F"/>
    <w:rsid w:val="4B464F18"/>
    <w:rsid w:val="4B4B4F70"/>
    <w:rsid w:val="4B4E5607"/>
    <w:rsid w:val="4B4F78A2"/>
    <w:rsid w:val="4B611DBA"/>
    <w:rsid w:val="4B6719DA"/>
    <w:rsid w:val="4B7759EA"/>
    <w:rsid w:val="4B782343"/>
    <w:rsid w:val="4B807D87"/>
    <w:rsid w:val="4B85234C"/>
    <w:rsid w:val="4B882AC1"/>
    <w:rsid w:val="4B8E0699"/>
    <w:rsid w:val="4B913796"/>
    <w:rsid w:val="4B944DA3"/>
    <w:rsid w:val="4B947C90"/>
    <w:rsid w:val="4B9B6D6D"/>
    <w:rsid w:val="4B9D559A"/>
    <w:rsid w:val="4BB22FCD"/>
    <w:rsid w:val="4BC27763"/>
    <w:rsid w:val="4BC3455B"/>
    <w:rsid w:val="4BCA2A41"/>
    <w:rsid w:val="4BD8468C"/>
    <w:rsid w:val="4BF178B1"/>
    <w:rsid w:val="4BFB4D54"/>
    <w:rsid w:val="4C00546D"/>
    <w:rsid w:val="4C073282"/>
    <w:rsid w:val="4C0C0674"/>
    <w:rsid w:val="4C0D10E8"/>
    <w:rsid w:val="4C10248C"/>
    <w:rsid w:val="4C106B28"/>
    <w:rsid w:val="4C1A4691"/>
    <w:rsid w:val="4C1B4FF5"/>
    <w:rsid w:val="4C223827"/>
    <w:rsid w:val="4C280297"/>
    <w:rsid w:val="4C2D0900"/>
    <w:rsid w:val="4C393866"/>
    <w:rsid w:val="4C3E1EEC"/>
    <w:rsid w:val="4C3E2BDD"/>
    <w:rsid w:val="4C3E4F03"/>
    <w:rsid w:val="4C3E66B2"/>
    <w:rsid w:val="4C40171C"/>
    <w:rsid w:val="4C462607"/>
    <w:rsid w:val="4C4E5DE9"/>
    <w:rsid w:val="4C4F0384"/>
    <w:rsid w:val="4C542E6C"/>
    <w:rsid w:val="4C5466A5"/>
    <w:rsid w:val="4C555D68"/>
    <w:rsid w:val="4C565B04"/>
    <w:rsid w:val="4C614D10"/>
    <w:rsid w:val="4C6A692F"/>
    <w:rsid w:val="4C6F122C"/>
    <w:rsid w:val="4C757CBD"/>
    <w:rsid w:val="4C767E86"/>
    <w:rsid w:val="4C7878C8"/>
    <w:rsid w:val="4C856CF7"/>
    <w:rsid w:val="4C8A2CD1"/>
    <w:rsid w:val="4C8F72B7"/>
    <w:rsid w:val="4C9B3E13"/>
    <w:rsid w:val="4CA24D94"/>
    <w:rsid w:val="4CA515E5"/>
    <w:rsid w:val="4CAC488C"/>
    <w:rsid w:val="4CB15705"/>
    <w:rsid w:val="4CC518E0"/>
    <w:rsid w:val="4CD961E5"/>
    <w:rsid w:val="4CDA4C08"/>
    <w:rsid w:val="4CDA5C09"/>
    <w:rsid w:val="4CE35B0C"/>
    <w:rsid w:val="4CF52311"/>
    <w:rsid w:val="4CFB6156"/>
    <w:rsid w:val="4D0543B8"/>
    <w:rsid w:val="4D117362"/>
    <w:rsid w:val="4D160484"/>
    <w:rsid w:val="4D17260B"/>
    <w:rsid w:val="4D185CE6"/>
    <w:rsid w:val="4D2B689A"/>
    <w:rsid w:val="4D2C0A0F"/>
    <w:rsid w:val="4D4406A8"/>
    <w:rsid w:val="4D461137"/>
    <w:rsid w:val="4D4B7A89"/>
    <w:rsid w:val="4D514C8E"/>
    <w:rsid w:val="4D5A1027"/>
    <w:rsid w:val="4D6706C1"/>
    <w:rsid w:val="4D6B0EAB"/>
    <w:rsid w:val="4D6B4AAB"/>
    <w:rsid w:val="4D6C18AB"/>
    <w:rsid w:val="4D7C4508"/>
    <w:rsid w:val="4D844A8D"/>
    <w:rsid w:val="4D845B35"/>
    <w:rsid w:val="4D935FE3"/>
    <w:rsid w:val="4D954040"/>
    <w:rsid w:val="4D954FCD"/>
    <w:rsid w:val="4D9A5BB7"/>
    <w:rsid w:val="4DA27A5E"/>
    <w:rsid w:val="4DA45701"/>
    <w:rsid w:val="4DA70C9C"/>
    <w:rsid w:val="4DBA577A"/>
    <w:rsid w:val="4DC06D0B"/>
    <w:rsid w:val="4DC1448A"/>
    <w:rsid w:val="4DC24B1F"/>
    <w:rsid w:val="4DC45A82"/>
    <w:rsid w:val="4DCD75D1"/>
    <w:rsid w:val="4DCE7718"/>
    <w:rsid w:val="4DD5225B"/>
    <w:rsid w:val="4DE3709C"/>
    <w:rsid w:val="4DE474A8"/>
    <w:rsid w:val="4DF213D9"/>
    <w:rsid w:val="4DF54B24"/>
    <w:rsid w:val="4DFB5EFE"/>
    <w:rsid w:val="4DFC5335"/>
    <w:rsid w:val="4DFD0479"/>
    <w:rsid w:val="4E0002FD"/>
    <w:rsid w:val="4E050917"/>
    <w:rsid w:val="4E0A4C82"/>
    <w:rsid w:val="4E110B8F"/>
    <w:rsid w:val="4E1718B1"/>
    <w:rsid w:val="4E176D02"/>
    <w:rsid w:val="4E1C1B8F"/>
    <w:rsid w:val="4E1C63DB"/>
    <w:rsid w:val="4E27026C"/>
    <w:rsid w:val="4E296F67"/>
    <w:rsid w:val="4E2D6DB5"/>
    <w:rsid w:val="4E394D65"/>
    <w:rsid w:val="4E484690"/>
    <w:rsid w:val="4E52585A"/>
    <w:rsid w:val="4E5535EE"/>
    <w:rsid w:val="4E576EF8"/>
    <w:rsid w:val="4E5D1B05"/>
    <w:rsid w:val="4E5D36D6"/>
    <w:rsid w:val="4E6754F9"/>
    <w:rsid w:val="4E6A07C9"/>
    <w:rsid w:val="4E6A67DA"/>
    <w:rsid w:val="4E731EF6"/>
    <w:rsid w:val="4E7A7AC5"/>
    <w:rsid w:val="4E7E3D2F"/>
    <w:rsid w:val="4E8A57E8"/>
    <w:rsid w:val="4E927684"/>
    <w:rsid w:val="4E997DDB"/>
    <w:rsid w:val="4EB444D2"/>
    <w:rsid w:val="4EBB05CD"/>
    <w:rsid w:val="4EBE33EE"/>
    <w:rsid w:val="4EE24E2D"/>
    <w:rsid w:val="4EF075C6"/>
    <w:rsid w:val="4F0F6189"/>
    <w:rsid w:val="4F105605"/>
    <w:rsid w:val="4F180A43"/>
    <w:rsid w:val="4F21622E"/>
    <w:rsid w:val="4F2622D7"/>
    <w:rsid w:val="4F2E4DA3"/>
    <w:rsid w:val="4F351917"/>
    <w:rsid w:val="4F3B55EC"/>
    <w:rsid w:val="4F3D2E98"/>
    <w:rsid w:val="4F3D709C"/>
    <w:rsid w:val="4F4D313E"/>
    <w:rsid w:val="4F592B2B"/>
    <w:rsid w:val="4F6A744D"/>
    <w:rsid w:val="4F726D0D"/>
    <w:rsid w:val="4F842244"/>
    <w:rsid w:val="4F856BD7"/>
    <w:rsid w:val="4F885F0D"/>
    <w:rsid w:val="4F9306E3"/>
    <w:rsid w:val="4F935BA8"/>
    <w:rsid w:val="4FB03C91"/>
    <w:rsid w:val="4FB979CB"/>
    <w:rsid w:val="4FBE14E9"/>
    <w:rsid w:val="4FBF496A"/>
    <w:rsid w:val="4FCF4B8E"/>
    <w:rsid w:val="4FD7412B"/>
    <w:rsid w:val="4FD84CD4"/>
    <w:rsid w:val="4FF55F69"/>
    <w:rsid w:val="50052E40"/>
    <w:rsid w:val="500A76A8"/>
    <w:rsid w:val="500A775A"/>
    <w:rsid w:val="500D03EB"/>
    <w:rsid w:val="50105C7D"/>
    <w:rsid w:val="501131C9"/>
    <w:rsid w:val="50116FE7"/>
    <w:rsid w:val="50142D1D"/>
    <w:rsid w:val="50156043"/>
    <w:rsid w:val="50164686"/>
    <w:rsid w:val="5024594B"/>
    <w:rsid w:val="502A3FAC"/>
    <w:rsid w:val="503153B3"/>
    <w:rsid w:val="5033398B"/>
    <w:rsid w:val="50345A61"/>
    <w:rsid w:val="50491DC4"/>
    <w:rsid w:val="50581F85"/>
    <w:rsid w:val="506C3CA0"/>
    <w:rsid w:val="50743A7A"/>
    <w:rsid w:val="507C04DC"/>
    <w:rsid w:val="508F21AD"/>
    <w:rsid w:val="5090026C"/>
    <w:rsid w:val="50990513"/>
    <w:rsid w:val="50A21590"/>
    <w:rsid w:val="50A92011"/>
    <w:rsid w:val="50A95723"/>
    <w:rsid w:val="50B44BF6"/>
    <w:rsid w:val="50B91C67"/>
    <w:rsid w:val="50BC0523"/>
    <w:rsid w:val="50C850D2"/>
    <w:rsid w:val="50E37C05"/>
    <w:rsid w:val="50F15346"/>
    <w:rsid w:val="50FA1176"/>
    <w:rsid w:val="50FA2EED"/>
    <w:rsid w:val="50FA3733"/>
    <w:rsid w:val="50FA76F6"/>
    <w:rsid w:val="50FD546C"/>
    <w:rsid w:val="510A7CB4"/>
    <w:rsid w:val="5110473A"/>
    <w:rsid w:val="5113036A"/>
    <w:rsid w:val="51221E5A"/>
    <w:rsid w:val="51300B61"/>
    <w:rsid w:val="51423700"/>
    <w:rsid w:val="514E2314"/>
    <w:rsid w:val="51501537"/>
    <w:rsid w:val="51505E8B"/>
    <w:rsid w:val="515C0FC3"/>
    <w:rsid w:val="516146FA"/>
    <w:rsid w:val="51666F5D"/>
    <w:rsid w:val="51683A15"/>
    <w:rsid w:val="51770CA3"/>
    <w:rsid w:val="51782737"/>
    <w:rsid w:val="517C5DF9"/>
    <w:rsid w:val="519308E7"/>
    <w:rsid w:val="51973632"/>
    <w:rsid w:val="51A43D6B"/>
    <w:rsid w:val="51AB7953"/>
    <w:rsid w:val="51B20315"/>
    <w:rsid w:val="51C17E79"/>
    <w:rsid w:val="51C35657"/>
    <w:rsid w:val="51C74892"/>
    <w:rsid w:val="51D15876"/>
    <w:rsid w:val="51D42AB5"/>
    <w:rsid w:val="51D61B57"/>
    <w:rsid w:val="51D90992"/>
    <w:rsid w:val="51E21372"/>
    <w:rsid w:val="51E95AEC"/>
    <w:rsid w:val="51EA3B6E"/>
    <w:rsid w:val="51EC0552"/>
    <w:rsid w:val="51F17D1B"/>
    <w:rsid w:val="520F27DB"/>
    <w:rsid w:val="521511E9"/>
    <w:rsid w:val="521D1153"/>
    <w:rsid w:val="521E21C1"/>
    <w:rsid w:val="52215664"/>
    <w:rsid w:val="52253F3A"/>
    <w:rsid w:val="523512D1"/>
    <w:rsid w:val="523C44E2"/>
    <w:rsid w:val="52422740"/>
    <w:rsid w:val="52492306"/>
    <w:rsid w:val="52495B34"/>
    <w:rsid w:val="524D0D82"/>
    <w:rsid w:val="52511617"/>
    <w:rsid w:val="52604A94"/>
    <w:rsid w:val="526156FA"/>
    <w:rsid w:val="5262781E"/>
    <w:rsid w:val="52646C01"/>
    <w:rsid w:val="52665363"/>
    <w:rsid w:val="526B7998"/>
    <w:rsid w:val="527728AB"/>
    <w:rsid w:val="52802B6A"/>
    <w:rsid w:val="529E0AE5"/>
    <w:rsid w:val="529E245F"/>
    <w:rsid w:val="52A97019"/>
    <w:rsid w:val="52AF1684"/>
    <w:rsid w:val="52BF07E1"/>
    <w:rsid w:val="52C6306C"/>
    <w:rsid w:val="52CE0607"/>
    <w:rsid w:val="52E27DAA"/>
    <w:rsid w:val="52EA5F86"/>
    <w:rsid w:val="52F02CFB"/>
    <w:rsid w:val="52F440D5"/>
    <w:rsid w:val="52F8334A"/>
    <w:rsid w:val="52F90094"/>
    <w:rsid w:val="53197808"/>
    <w:rsid w:val="531B3EF9"/>
    <w:rsid w:val="531D5AC4"/>
    <w:rsid w:val="53232631"/>
    <w:rsid w:val="532A34EC"/>
    <w:rsid w:val="532C2004"/>
    <w:rsid w:val="533009C4"/>
    <w:rsid w:val="53400958"/>
    <w:rsid w:val="534808D3"/>
    <w:rsid w:val="53494682"/>
    <w:rsid w:val="53630374"/>
    <w:rsid w:val="53702784"/>
    <w:rsid w:val="53726F62"/>
    <w:rsid w:val="539D097F"/>
    <w:rsid w:val="53A52D01"/>
    <w:rsid w:val="53AE1FF4"/>
    <w:rsid w:val="53B72DA1"/>
    <w:rsid w:val="53BD1B51"/>
    <w:rsid w:val="53BE31AF"/>
    <w:rsid w:val="53C704BB"/>
    <w:rsid w:val="53C96564"/>
    <w:rsid w:val="53C97D18"/>
    <w:rsid w:val="53D92E7F"/>
    <w:rsid w:val="53DE2863"/>
    <w:rsid w:val="53F775B1"/>
    <w:rsid w:val="53FB50A6"/>
    <w:rsid w:val="53FC579A"/>
    <w:rsid w:val="53FF4546"/>
    <w:rsid w:val="54157BB9"/>
    <w:rsid w:val="541A7DBF"/>
    <w:rsid w:val="541F51EB"/>
    <w:rsid w:val="5420197C"/>
    <w:rsid w:val="542020D1"/>
    <w:rsid w:val="54233C0C"/>
    <w:rsid w:val="54273C3A"/>
    <w:rsid w:val="54313143"/>
    <w:rsid w:val="543E3960"/>
    <w:rsid w:val="54401C3E"/>
    <w:rsid w:val="54434759"/>
    <w:rsid w:val="54464D87"/>
    <w:rsid w:val="5450546D"/>
    <w:rsid w:val="545574B3"/>
    <w:rsid w:val="54697878"/>
    <w:rsid w:val="546A7CEF"/>
    <w:rsid w:val="547D552B"/>
    <w:rsid w:val="54971787"/>
    <w:rsid w:val="54A05CAD"/>
    <w:rsid w:val="54A46601"/>
    <w:rsid w:val="54AC6A4A"/>
    <w:rsid w:val="54B532A6"/>
    <w:rsid w:val="54BA79A6"/>
    <w:rsid w:val="54C6283A"/>
    <w:rsid w:val="54CD2FCF"/>
    <w:rsid w:val="54D74BA1"/>
    <w:rsid w:val="54E739BA"/>
    <w:rsid w:val="54FD28B8"/>
    <w:rsid w:val="54FE57C9"/>
    <w:rsid w:val="550148A2"/>
    <w:rsid w:val="55015DBF"/>
    <w:rsid w:val="550A0272"/>
    <w:rsid w:val="550C716C"/>
    <w:rsid w:val="5523585F"/>
    <w:rsid w:val="552E6032"/>
    <w:rsid w:val="552F6461"/>
    <w:rsid w:val="553425F3"/>
    <w:rsid w:val="554F6438"/>
    <w:rsid w:val="55585B28"/>
    <w:rsid w:val="55597D15"/>
    <w:rsid w:val="55603669"/>
    <w:rsid w:val="55661DB8"/>
    <w:rsid w:val="5572452F"/>
    <w:rsid w:val="55751662"/>
    <w:rsid w:val="557D54B9"/>
    <w:rsid w:val="558747F4"/>
    <w:rsid w:val="55876DB5"/>
    <w:rsid w:val="5591443C"/>
    <w:rsid w:val="559C32FF"/>
    <w:rsid w:val="559C6350"/>
    <w:rsid w:val="55A62284"/>
    <w:rsid w:val="55B354B6"/>
    <w:rsid w:val="55B553D6"/>
    <w:rsid w:val="55B604A4"/>
    <w:rsid w:val="55B779D3"/>
    <w:rsid w:val="55BC3629"/>
    <w:rsid w:val="55BD0B8A"/>
    <w:rsid w:val="55DA6FF1"/>
    <w:rsid w:val="55E92B31"/>
    <w:rsid w:val="55F25DB2"/>
    <w:rsid w:val="55FA3B51"/>
    <w:rsid w:val="560F6518"/>
    <w:rsid w:val="56137C14"/>
    <w:rsid w:val="56220F10"/>
    <w:rsid w:val="56255845"/>
    <w:rsid w:val="5626475E"/>
    <w:rsid w:val="563364A3"/>
    <w:rsid w:val="564336C2"/>
    <w:rsid w:val="565C7FE0"/>
    <w:rsid w:val="566F1F3F"/>
    <w:rsid w:val="567121C4"/>
    <w:rsid w:val="567171CD"/>
    <w:rsid w:val="56845524"/>
    <w:rsid w:val="5687319B"/>
    <w:rsid w:val="56A53670"/>
    <w:rsid w:val="56B74B26"/>
    <w:rsid w:val="56B772A6"/>
    <w:rsid w:val="56CC1BD9"/>
    <w:rsid w:val="56DB1A40"/>
    <w:rsid w:val="56E779FE"/>
    <w:rsid w:val="56EB18D4"/>
    <w:rsid w:val="56F0350C"/>
    <w:rsid w:val="57024C01"/>
    <w:rsid w:val="5711557D"/>
    <w:rsid w:val="5713261D"/>
    <w:rsid w:val="57192A42"/>
    <w:rsid w:val="57252AAB"/>
    <w:rsid w:val="57261529"/>
    <w:rsid w:val="572A300C"/>
    <w:rsid w:val="572F6FC9"/>
    <w:rsid w:val="57355C41"/>
    <w:rsid w:val="573761B0"/>
    <w:rsid w:val="573D7101"/>
    <w:rsid w:val="5741236A"/>
    <w:rsid w:val="574224D0"/>
    <w:rsid w:val="57443869"/>
    <w:rsid w:val="5749669E"/>
    <w:rsid w:val="575245CF"/>
    <w:rsid w:val="575A7442"/>
    <w:rsid w:val="577B11BF"/>
    <w:rsid w:val="577B4385"/>
    <w:rsid w:val="57844862"/>
    <w:rsid w:val="57887700"/>
    <w:rsid w:val="578A4D0C"/>
    <w:rsid w:val="578E3CEF"/>
    <w:rsid w:val="57956F3F"/>
    <w:rsid w:val="579E784E"/>
    <w:rsid w:val="57AA208A"/>
    <w:rsid w:val="57AC3B07"/>
    <w:rsid w:val="57B325C8"/>
    <w:rsid w:val="57B50671"/>
    <w:rsid w:val="57BA37D8"/>
    <w:rsid w:val="57CF37F5"/>
    <w:rsid w:val="57DF677C"/>
    <w:rsid w:val="57EB6E4C"/>
    <w:rsid w:val="57F51DC5"/>
    <w:rsid w:val="581022CC"/>
    <w:rsid w:val="5823010F"/>
    <w:rsid w:val="582433FC"/>
    <w:rsid w:val="58295312"/>
    <w:rsid w:val="583105E7"/>
    <w:rsid w:val="583C30E5"/>
    <w:rsid w:val="584E4FAE"/>
    <w:rsid w:val="58552A19"/>
    <w:rsid w:val="587B46E3"/>
    <w:rsid w:val="587F29B0"/>
    <w:rsid w:val="58A874F5"/>
    <w:rsid w:val="58B13C1B"/>
    <w:rsid w:val="58BF5348"/>
    <w:rsid w:val="58C37CF4"/>
    <w:rsid w:val="58C81CBD"/>
    <w:rsid w:val="58D34D2A"/>
    <w:rsid w:val="58D36F38"/>
    <w:rsid w:val="58E14EF8"/>
    <w:rsid w:val="58E8651A"/>
    <w:rsid w:val="58EA5A78"/>
    <w:rsid w:val="58F34493"/>
    <w:rsid w:val="591602B0"/>
    <w:rsid w:val="59206E5D"/>
    <w:rsid w:val="59211B83"/>
    <w:rsid w:val="592B2CD6"/>
    <w:rsid w:val="592C09F9"/>
    <w:rsid w:val="5936093C"/>
    <w:rsid w:val="593709F1"/>
    <w:rsid w:val="593E7D02"/>
    <w:rsid w:val="594029F7"/>
    <w:rsid w:val="59412365"/>
    <w:rsid w:val="594E51E4"/>
    <w:rsid w:val="59534262"/>
    <w:rsid w:val="595750C0"/>
    <w:rsid w:val="595F7440"/>
    <w:rsid w:val="596256C6"/>
    <w:rsid w:val="59686841"/>
    <w:rsid w:val="596A6893"/>
    <w:rsid w:val="596F5DB1"/>
    <w:rsid w:val="597C447C"/>
    <w:rsid w:val="59824C2F"/>
    <w:rsid w:val="59875C65"/>
    <w:rsid w:val="598C4341"/>
    <w:rsid w:val="59911195"/>
    <w:rsid w:val="59A74355"/>
    <w:rsid w:val="59AF7CF9"/>
    <w:rsid w:val="59B25010"/>
    <w:rsid w:val="59B352C7"/>
    <w:rsid w:val="59B54B80"/>
    <w:rsid w:val="59D02C5B"/>
    <w:rsid w:val="59D72F88"/>
    <w:rsid w:val="59D92C7D"/>
    <w:rsid w:val="59DA6961"/>
    <w:rsid w:val="59DD0577"/>
    <w:rsid w:val="59DE2385"/>
    <w:rsid w:val="59E72D5B"/>
    <w:rsid w:val="59EC6038"/>
    <w:rsid w:val="59EE7B58"/>
    <w:rsid w:val="59F02AD4"/>
    <w:rsid w:val="59FB0BC2"/>
    <w:rsid w:val="5A025D19"/>
    <w:rsid w:val="5A0B2DE9"/>
    <w:rsid w:val="5A0D4846"/>
    <w:rsid w:val="5A213B6E"/>
    <w:rsid w:val="5A343E65"/>
    <w:rsid w:val="5A417CAF"/>
    <w:rsid w:val="5A435396"/>
    <w:rsid w:val="5A454345"/>
    <w:rsid w:val="5A493E3F"/>
    <w:rsid w:val="5A624857"/>
    <w:rsid w:val="5A6907AC"/>
    <w:rsid w:val="5A6E3E95"/>
    <w:rsid w:val="5A721EF5"/>
    <w:rsid w:val="5A755CE3"/>
    <w:rsid w:val="5A84252D"/>
    <w:rsid w:val="5A9E0E55"/>
    <w:rsid w:val="5AA0629F"/>
    <w:rsid w:val="5AB503EE"/>
    <w:rsid w:val="5ABA6675"/>
    <w:rsid w:val="5ABB0B36"/>
    <w:rsid w:val="5ABC0C9C"/>
    <w:rsid w:val="5AC41C2F"/>
    <w:rsid w:val="5AD00DCE"/>
    <w:rsid w:val="5AD33CA9"/>
    <w:rsid w:val="5AD43747"/>
    <w:rsid w:val="5AD43C3C"/>
    <w:rsid w:val="5AD742DE"/>
    <w:rsid w:val="5AD77E1A"/>
    <w:rsid w:val="5AE00E5A"/>
    <w:rsid w:val="5AE92222"/>
    <w:rsid w:val="5AF562AA"/>
    <w:rsid w:val="5AF74476"/>
    <w:rsid w:val="5AF87B69"/>
    <w:rsid w:val="5B0C4295"/>
    <w:rsid w:val="5B0E4B3E"/>
    <w:rsid w:val="5B154A6F"/>
    <w:rsid w:val="5B1653AB"/>
    <w:rsid w:val="5B175B69"/>
    <w:rsid w:val="5B317981"/>
    <w:rsid w:val="5B34143B"/>
    <w:rsid w:val="5B34366F"/>
    <w:rsid w:val="5B3C1467"/>
    <w:rsid w:val="5B3D72CA"/>
    <w:rsid w:val="5B451980"/>
    <w:rsid w:val="5B512907"/>
    <w:rsid w:val="5B59379A"/>
    <w:rsid w:val="5B6E7C6E"/>
    <w:rsid w:val="5B6F417C"/>
    <w:rsid w:val="5B7129B1"/>
    <w:rsid w:val="5B7C51A4"/>
    <w:rsid w:val="5B817E8F"/>
    <w:rsid w:val="5B861D6F"/>
    <w:rsid w:val="5B867A3D"/>
    <w:rsid w:val="5B926D60"/>
    <w:rsid w:val="5B961769"/>
    <w:rsid w:val="5B9D4FE6"/>
    <w:rsid w:val="5BA001FF"/>
    <w:rsid w:val="5BA021F7"/>
    <w:rsid w:val="5BA61911"/>
    <w:rsid w:val="5BB125F0"/>
    <w:rsid w:val="5BB34939"/>
    <w:rsid w:val="5BB76DD0"/>
    <w:rsid w:val="5BBD12E7"/>
    <w:rsid w:val="5BC36309"/>
    <w:rsid w:val="5BC46254"/>
    <w:rsid w:val="5BC67AE4"/>
    <w:rsid w:val="5BCF630A"/>
    <w:rsid w:val="5BD25A14"/>
    <w:rsid w:val="5BD8381A"/>
    <w:rsid w:val="5BE7321C"/>
    <w:rsid w:val="5BEA1F33"/>
    <w:rsid w:val="5BF04DD0"/>
    <w:rsid w:val="5C020445"/>
    <w:rsid w:val="5C064EDB"/>
    <w:rsid w:val="5C104AF7"/>
    <w:rsid w:val="5C1D4064"/>
    <w:rsid w:val="5C285E4B"/>
    <w:rsid w:val="5C354F00"/>
    <w:rsid w:val="5C360269"/>
    <w:rsid w:val="5C3A164E"/>
    <w:rsid w:val="5C585FD9"/>
    <w:rsid w:val="5C5D68C0"/>
    <w:rsid w:val="5C646143"/>
    <w:rsid w:val="5C651D41"/>
    <w:rsid w:val="5C6B7822"/>
    <w:rsid w:val="5C7B58F6"/>
    <w:rsid w:val="5C8F339A"/>
    <w:rsid w:val="5C9D4E13"/>
    <w:rsid w:val="5CA32B07"/>
    <w:rsid w:val="5CA5242F"/>
    <w:rsid w:val="5CB614CC"/>
    <w:rsid w:val="5CB67124"/>
    <w:rsid w:val="5CBB786D"/>
    <w:rsid w:val="5CBC2ABB"/>
    <w:rsid w:val="5CBC5687"/>
    <w:rsid w:val="5CC022D8"/>
    <w:rsid w:val="5CC1304F"/>
    <w:rsid w:val="5CC25AE2"/>
    <w:rsid w:val="5CCC4329"/>
    <w:rsid w:val="5CF547E3"/>
    <w:rsid w:val="5CFD000D"/>
    <w:rsid w:val="5D0776B2"/>
    <w:rsid w:val="5D082750"/>
    <w:rsid w:val="5D0C507E"/>
    <w:rsid w:val="5D0E7955"/>
    <w:rsid w:val="5D130338"/>
    <w:rsid w:val="5D15654D"/>
    <w:rsid w:val="5D1B012C"/>
    <w:rsid w:val="5D283392"/>
    <w:rsid w:val="5D2E062F"/>
    <w:rsid w:val="5D3A324E"/>
    <w:rsid w:val="5D445C06"/>
    <w:rsid w:val="5D47507F"/>
    <w:rsid w:val="5D4B6846"/>
    <w:rsid w:val="5D4C4723"/>
    <w:rsid w:val="5D4F52C8"/>
    <w:rsid w:val="5D5574A4"/>
    <w:rsid w:val="5D55778C"/>
    <w:rsid w:val="5D562462"/>
    <w:rsid w:val="5D5B6481"/>
    <w:rsid w:val="5D5D2054"/>
    <w:rsid w:val="5D6B1D8D"/>
    <w:rsid w:val="5D752DD3"/>
    <w:rsid w:val="5D763CAF"/>
    <w:rsid w:val="5D7651A7"/>
    <w:rsid w:val="5D797E04"/>
    <w:rsid w:val="5D7D5D29"/>
    <w:rsid w:val="5D8437EA"/>
    <w:rsid w:val="5D8E55F0"/>
    <w:rsid w:val="5D9A73A2"/>
    <w:rsid w:val="5DA0703F"/>
    <w:rsid w:val="5DA314E1"/>
    <w:rsid w:val="5DB2213E"/>
    <w:rsid w:val="5DC563C2"/>
    <w:rsid w:val="5DC904D8"/>
    <w:rsid w:val="5DC96823"/>
    <w:rsid w:val="5DD65538"/>
    <w:rsid w:val="5DED5186"/>
    <w:rsid w:val="5DF0129F"/>
    <w:rsid w:val="5DF171A2"/>
    <w:rsid w:val="5DF5381A"/>
    <w:rsid w:val="5DF57479"/>
    <w:rsid w:val="5DFD6AED"/>
    <w:rsid w:val="5E0F3E4A"/>
    <w:rsid w:val="5E1D6871"/>
    <w:rsid w:val="5E526187"/>
    <w:rsid w:val="5E57308F"/>
    <w:rsid w:val="5E617502"/>
    <w:rsid w:val="5E654A40"/>
    <w:rsid w:val="5E681667"/>
    <w:rsid w:val="5E6D060D"/>
    <w:rsid w:val="5E6E6B5A"/>
    <w:rsid w:val="5E6F27F2"/>
    <w:rsid w:val="5E71528A"/>
    <w:rsid w:val="5E734CD6"/>
    <w:rsid w:val="5E775867"/>
    <w:rsid w:val="5E797589"/>
    <w:rsid w:val="5E7E1699"/>
    <w:rsid w:val="5E8235A9"/>
    <w:rsid w:val="5E8C0C23"/>
    <w:rsid w:val="5E9179CE"/>
    <w:rsid w:val="5E953891"/>
    <w:rsid w:val="5EA54ACF"/>
    <w:rsid w:val="5EA962E9"/>
    <w:rsid w:val="5EAF2AF9"/>
    <w:rsid w:val="5EB30CD1"/>
    <w:rsid w:val="5EBB2C3F"/>
    <w:rsid w:val="5EBB2ED7"/>
    <w:rsid w:val="5EBE39CF"/>
    <w:rsid w:val="5EBE6734"/>
    <w:rsid w:val="5EC51FD3"/>
    <w:rsid w:val="5EDC6996"/>
    <w:rsid w:val="5EFF5CC3"/>
    <w:rsid w:val="5F022739"/>
    <w:rsid w:val="5F0526EB"/>
    <w:rsid w:val="5F0B13B0"/>
    <w:rsid w:val="5F0B3FE1"/>
    <w:rsid w:val="5F1459DF"/>
    <w:rsid w:val="5F154931"/>
    <w:rsid w:val="5F19140C"/>
    <w:rsid w:val="5F2103A9"/>
    <w:rsid w:val="5F237351"/>
    <w:rsid w:val="5F3B005C"/>
    <w:rsid w:val="5F3E1977"/>
    <w:rsid w:val="5F4469D5"/>
    <w:rsid w:val="5F492758"/>
    <w:rsid w:val="5F540992"/>
    <w:rsid w:val="5F604F88"/>
    <w:rsid w:val="5F6179BF"/>
    <w:rsid w:val="5F620336"/>
    <w:rsid w:val="5F66467A"/>
    <w:rsid w:val="5F674237"/>
    <w:rsid w:val="5F6809FB"/>
    <w:rsid w:val="5F682FD0"/>
    <w:rsid w:val="5F6B07E7"/>
    <w:rsid w:val="5F744923"/>
    <w:rsid w:val="5F763698"/>
    <w:rsid w:val="5F77525B"/>
    <w:rsid w:val="5F840812"/>
    <w:rsid w:val="5F853695"/>
    <w:rsid w:val="5F874B1D"/>
    <w:rsid w:val="5F87557E"/>
    <w:rsid w:val="5F9C1AC6"/>
    <w:rsid w:val="5F9D1CD4"/>
    <w:rsid w:val="5F9E2DA3"/>
    <w:rsid w:val="5FA7078A"/>
    <w:rsid w:val="5FB31B39"/>
    <w:rsid w:val="5FBD0C20"/>
    <w:rsid w:val="5FC23F97"/>
    <w:rsid w:val="5FCE1853"/>
    <w:rsid w:val="5FD4289D"/>
    <w:rsid w:val="5FE57693"/>
    <w:rsid w:val="5FE95345"/>
    <w:rsid w:val="5FEC7182"/>
    <w:rsid w:val="5FF3439B"/>
    <w:rsid w:val="5FFA622B"/>
    <w:rsid w:val="6001078A"/>
    <w:rsid w:val="60013150"/>
    <w:rsid w:val="60045A41"/>
    <w:rsid w:val="6009014F"/>
    <w:rsid w:val="60125268"/>
    <w:rsid w:val="60187670"/>
    <w:rsid w:val="601D65FA"/>
    <w:rsid w:val="60204EC8"/>
    <w:rsid w:val="60301126"/>
    <w:rsid w:val="60337163"/>
    <w:rsid w:val="60387B03"/>
    <w:rsid w:val="60433C68"/>
    <w:rsid w:val="60461ADB"/>
    <w:rsid w:val="6048756E"/>
    <w:rsid w:val="60512948"/>
    <w:rsid w:val="605408D5"/>
    <w:rsid w:val="60560985"/>
    <w:rsid w:val="606D5B2B"/>
    <w:rsid w:val="60777034"/>
    <w:rsid w:val="607C7889"/>
    <w:rsid w:val="607E6EC7"/>
    <w:rsid w:val="60801D40"/>
    <w:rsid w:val="60821006"/>
    <w:rsid w:val="60895EA5"/>
    <w:rsid w:val="608B50CF"/>
    <w:rsid w:val="60911A56"/>
    <w:rsid w:val="609805F4"/>
    <w:rsid w:val="60A74FB6"/>
    <w:rsid w:val="60A90864"/>
    <w:rsid w:val="60AB1020"/>
    <w:rsid w:val="60B344F1"/>
    <w:rsid w:val="60B948CF"/>
    <w:rsid w:val="60C5488B"/>
    <w:rsid w:val="60CB5F2C"/>
    <w:rsid w:val="60D36B4A"/>
    <w:rsid w:val="60D65EFC"/>
    <w:rsid w:val="60EC57D4"/>
    <w:rsid w:val="60EE62EA"/>
    <w:rsid w:val="60F53641"/>
    <w:rsid w:val="60FA1A58"/>
    <w:rsid w:val="61012E04"/>
    <w:rsid w:val="61067DC7"/>
    <w:rsid w:val="61076A82"/>
    <w:rsid w:val="61265A23"/>
    <w:rsid w:val="61327F1A"/>
    <w:rsid w:val="61402635"/>
    <w:rsid w:val="614135B8"/>
    <w:rsid w:val="61455194"/>
    <w:rsid w:val="614E3A77"/>
    <w:rsid w:val="61500C20"/>
    <w:rsid w:val="6153556E"/>
    <w:rsid w:val="61635A49"/>
    <w:rsid w:val="61710B9B"/>
    <w:rsid w:val="618D0A2F"/>
    <w:rsid w:val="618E3AD3"/>
    <w:rsid w:val="61906272"/>
    <w:rsid w:val="61A06D49"/>
    <w:rsid w:val="61A167DC"/>
    <w:rsid w:val="61A71A78"/>
    <w:rsid w:val="61AA4F71"/>
    <w:rsid w:val="61AE2B0E"/>
    <w:rsid w:val="61B0245D"/>
    <w:rsid w:val="61B4517A"/>
    <w:rsid w:val="61D21633"/>
    <w:rsid w:val="61D82879"/>
    <w:rsid w:val="61D83718"/>
    <w:rsid w:val="61DA2857"/>
    <w:rsid w:val="61F6015C"/>
    <w:rsid w:val="61FD69C7"/>
    <w:rsid w:val="62061EB4"/>
    <w:rsid w:val="620642CA"/>
    <w:rsid w:val="620922D4"/>
    <w:rsid w:val="620D4298"/>
    <w:rsid w:val="62270D87"/>
    <w:rsid w:val="622A58F6"/>
    <w:rsid w:val="623037D7"/>
    <w:rsid w:val="623C6B46"/>
    <w:rsid w:val="623D1EA4"/>
    <w:rsid w:val="623E1C97"/>
    <w:rsid w:val="62484149"/>
    <w:rsid w:val="624E1F16"/>
    <w:rsid w:val="62533F3A"/>
    <w:rsid w:val="62545283"/>
    <w:rsid w:val="625B3CFF"/>
    <w:rsid w:val="62696E1A"/>
    <w:rsid w:val="627559D2"/>
    <w:rsid w:val="6277709C"/>
    <w:rsid w:val="627D7ECA"/>
    <w:rsid w:val="628244C6"/>
    <w:rsid w:val="62895404"/>
    <w:rsid w:val="628B014C"/>
    <w:rsid w:val="628E4C51"/>
    <w:rsid w:val="62943678"/>
    <w:rsid w:val="62AC6937"/>
    <w:rsid w:val="62B41E33"/>
    <w:rsid w:val="62BD7342"/>
    <w:rsid w:val="62C466C8"/>
    <w:rsid w:val="62C74775"/>
    <w:rsid w:val="62CB78D1"/>
    <w:rsid w:val="62D05486"/>
    <w:rsid w:val="62E652F1"/>
    <w:rsid w:val="62ED53CB"/>
    <w:rsid w:val="62EF7F3C"/>
    <w:rsid w:val="62F80727"/>
    <w:rsid w:val="63083D1C"/>
    <w:rsid w:val="63154D90"/>
    <w:rsid w:val="631B370B"/>
    <w:rsid w:val="631C0032"/>
    <w:rsid w:val="63200E60"/>
    <w:rsid w:val="63237B10"/>
    <w:rsid w:val="63271F6C"/>
    <w:rsid w:val="632E5347"/>
    <w:rsid w:val="634209F9"/>
    <w:rsid w:val="63446FAD"/>
    <w:rsid w:val="634D0956"/>
    <w:rsid w:val="634D6956"/>
    <w:rsid w:val="634E2C57"/>
    <w:rsid w:val="635B0FC2"/>
    <w:rsid w:val="636A4513"/>
    <w:rsid w:val="636D3D6B"/>
    <w:rsid w:val="63820CBE"/>
    <w:rsid w:val="63A61AA5"/>
    <w:rsid w:val="63B4226B"/>
    <w:rsid w:val="63B6052A"/>
    <w:rsid w:val="63B72C19"/>
    <w:rsid w:val="63CA48A1"/>
    <w:rsid w:val="63D13AFE"/>
    <w:rsid w:val="63D77A7A"/>
    <w:rsid w:val="63DC5F4F"/>
    <w:rsid w:val="63E77110"/>
    <w:rsid w:val="63EB1CCF"/>
    <w:rsid w:val="63EF4ECD"/>
    <w:rsid w:val="63FF2724"/>
    <w:rsid w:val="64152FB8"/>
    <w:rsid w:val="6422533A"/>
    <w:rsid w:val="64250284"/>
    <w:rsid w:val="64274C97"/>
    <w:rsid w:val="64303A85"/>
    <w:rsid w:val="643107F8"/>
    <w:rsid w:val="643139DD"/>
    <w:rsid w:val="643F0A9F"/>
    <w:rsid w:val="64430863"/>
    <w:rsid w:val="64516EE0"/>
    <w:rsid w:val="64592C18"/>
    <w:rsid w:val="645E1697"/>
    <w:rsid w:val="6485215C"/>
    <w:rsid w:val="648A0C75"/>
    <w:rsid w:val="64912865"/>
    <w:rsid w:val="64964A3B"/>
    <w:rsid w:val="649E7158"/>
    <w:rsid w:val="64A74441"/>
    <w:rsid w:val="64AD642F"/>
    <w:rsid w:val="64C15AFF"/>
    <w:rsid w:val="64C72821"/>
    <w:rsid w:val="64C9120B"/>
    <w:rsid w:val="64DA15A4"/>
    <w:rsid w:val="64DA214C"/>
    <w:rsid w:val="64E021AE"/>
    <w:rsid w:val="64E02D2A"/>
    <w:rsid w:val="64EA52D3"/>
    <w:rsid w:val="64F80B80"/>
    <w:rsid w:val="65004D0D"/>
    <w:rsid w:val="6505279F"/>
    <w:rsid w:val="651D4C02"/>
    <w:rsid w:val="6520497D"/>
    <w:rsid w:val="65271806"/>
    <w:rsid w:val="65387D1C"/>
    <w:rsid w:val="655418DE"/>
    <w:rsid w:val="655854DD"/>
    <w:rsid w:val="656C1A27"/>
    <w:rsid w:val="65771143"/>
    <w:rsid w:val="657B4B43"/>
    <w:rsid w:val="65903436"/>
    <w:rsid w:val="6592183B"/>
    <w:rsid w:val="659839D8"/>
    <w:rsid w:val="659D5673"/>
    <w:rsid w:val="65B05F7A"/>
    <w:rsid w:val="65B94B6E"/>
    <w:rsid w:val="65C50900"/>
    <w:rsid w:val="65CD3F89"/>
    <w:rsid w:val="65D422AE"/>
    <w:rsid w:val="65D46F40"/>
    <w:rsid w:val="65D827D6"/>
    <w:rsid w:val="65ED74CD"/>
    <w:rsid w:val="65F37A59"/>
    <w:rsid w:val="65F7798C"/>
    <w:rsid w:val="65FD5B9A"/>
    <w:rsid w:val="66016BD4"/>
    <w:rsid w:val="66033A07"/>
    <w:rsid w:val="66087250"/>
    <w:rsid w:val="66151CF2"/>
    <w:rsid w:val="661553D7"/>
    <w:rsid w:val="661C6DE0"/>
    <w:rsid w:val="661D58C3"/>
    <w:rsid w:val="661D6614"/>
    <w:rsid w:val="662522C4"/>
    <w:rsid w:val="6627494F"/>
    <w:rsid w:val="66276B3F"/>
    <w:rsid w:val="662A779D"/>
    <w:rsid w:val="6641024D"/>
    <w:rsid w:val="664171DE"/>
    <w:rsid w:val="66651C7E"/>
    <w:rsid w:val="66662F67"/>
    <w:rsid w:val="667026EF"/>
    <w:rsid w:val="667F1D60"/>
    <w:rsid w:val="66801C24"/>
    <w:rsid w:val="66831804"/>
    <w:rsid w:val="66840525"/>
    <w:rsid w:val="6686362B"/>
    <w:rsid w:val="668D2323"/>
    <w:rsid w:val="668E3D89"/>
    <w:rsid w:val="668F7F74"/>
    <w:rsid w:val="66906237"/>
    <w:rsid w:val="669A35B4"/>
    <w:rsid w:val="669E5D77"/>
    <w:rsid w:val="66A57EE0"/>
    <w:rsid w:val="66A70A1C"/>
    <w:rsid w:val="66A97C74"/>
    <w:rsid w:val="66B275C8"/>
    <w:rsid w:val="66B43005"/>
    <w:rsid w:val="66B4692B"/>
    <w:rsid w:val="66B65CF8"/>
    <w:rsid w:val="66C07772"/>
    <w:rsid w:val="66C1590D"/>
    <w:rsid w:val="66CE1031"/>
    <w:rsid w:val="66D44750"/>
    <w:rsid w:val="66E33270"/>
    <w:rsid w:val="66E34D5D"/>
    <w:rsid w:val="66EE4104"/>
    <w:rsid w:val="67057F6D"/>
    <w:rsid w:val="67275892"/>
    <w:rsid w:val="672E2785"/>
    <w:rsid w:val="67416F90"/>
    <w:rsid w:val="67520200"/>
    <w:rsid w:val="67590A9E"/>
    <w:rsid w:val="675B6D80"/>
    <w:rsid w:val="67712670"/>
    <w:rsid w:val="677323A8"/>
    <w:rsid w:val="67772E19"/>
    <w:rsid w:val="67801C7D"/>
    <w:rsid w:val="678240D7"/>
    <w:rsid w:val="678C4ABC"/>
    <w:rsid w:val="6797342C"/>
    <w:rsid w:val="679751A9"/>
    <w:rsid w:val="679947CE"/>
    <w:rsid w:val="67A20A1D"/>
    <w:rsid w:val="67AA4D47"/>
    <w:rsid w:val="67B14DC5"/>
    <w:rsid w:val="67BB1E9C"/>
    <w:rsid w:val="67BE61F7"/>
    <w:rsid w:val="67C36934"/>
    <w:rsid w:val="67C915CB"/>
    <w:rsid w:val="67D11E2C"/>
    <w:rsid w:val="67D26208"/>
    <w:rsid w:val="67D81EE1"/>
    <w:rsid w:val="67E95421"/>
    <w:rsid w:val="67FA4CBC"/>
    <w:rsid w:val="68001455"/>
    <w:rsid w:val="680D0290"/>
    <w:rsid w:val="68174358"/>
    <w:rsid w:val="68273D29"/>
    <w:rsid w:val="682E1417"/>
    <w:rsid w:val="683045A7"/>
    <w:rsid w:val="68402DB8"/>
    <w:rsid w:val="68434C03"/>
    <w:rsid w:val="68442CB0"/>
    <w:rsid w:val="68446C6A"/>
    <w:rsid w:val="684F1764"/>
    <w:rsid w:val="68574FC0"/>
    <w:rsid w:val="68582C50"/>
    <w:rsid w:val="68664E14"/>
    <w:rsid w:val="68696CF2"/>
    <w:rsid w:val="68706166"/>
    <w:rsid w:val="68791F6C"/>
    <w:rsid w:val="687B6CA0"/>
    <w:rsid w:val="6881124B"/>
    <w:rsid w:val="68816DD7"/>
    <w:rsid w:val="68830E63"/>
    <w:rsid w:val="68896107"/>
    <w:rsid w:val="68902987"/>
    <w:rsid w:val="68912E07"/>
    <w:rsid w:val="68955C7A"/>
    <w:rsid w:val="689611CC"/>
    <w:rsid w:val="689C7704"/>
    <w:rsid w:val="68A63F14"/>
    <w:rsid w:val="68B5540B"/>
    <w:rsid w:val="68B90DCC"/>
    <w:rsid w:val="68C944DD"/>
    <w:rsid w:val="68CB4BFC"/>
    <w:rsid w:val="68CB576F"/>
    <w:rsid w:val="68D03EEA"/>
    <w:rsid w:val="68D3589E"/>
    <w:rsid w:val="68D96754"/>
    <w:rsid w:val="68DF4792"/>
    <w:rsid w:val="68E81939"/>
    <w:rsid w:val="68EC23F8"/>
    <w:rsid w:val="68F26960"/>
    <w:rsid w:val="690F1210"/>
    <w:rsid w:val="69124AA3"/>
    <w:rsid w:val="6926625C"/>
    <w:rsid w:val="693808C1"/>
    <w:rsid w:val="69401599"/>
    <w:rsid w:val="69450D02"/>
    <w:rsid w:val="69471124"/>
    <w:rsid w:val="694B397D"/>
    <w:rsid w:val="69537849"/>
    <w:rsid w:val="69612CCE"/>
    <w:rsid w:val="69723986"/>
    <w:rsid w:val="697A5991"/>
    <w:rsid w:val="697B7571"/>
    <w:rsid w:val="69820553"/>
    <w:rsid w:val="6984716D"/>
    <w:rsid w:val="69935D97"/>
    <w:rsid w:val="699938E7"/>
    <w:rsid w:val="69B476AF"/>
    <w:rsid w:val="69B762C4"/>
    <w:rsid w:val="69BC0E9F"/>
    <w:rsid w:val="69BC74B0"/>
    <w:rsid w:val="69BC78BF"/>
    <w:rsid w:val="69C24B8F"/>
    <w:rsid w:val="69C27F6A"/>
    <w:rsid w:val="69D02335"/>
    <w:rsid w:val="69D34F8C"/>
    <w:rsid w:val="69D775FB"/>
    <w:rsid w:val="69D83AE5"/>
    <w:rsid w:val="69D95476"/>
    <w:rsid w:val="69D9564B"/>
    <w:rsid w:val="69E336DC"/>
    <w:rsid w:val="69E91C13"/>
    <w:rsid w:val="69EB00CC"/>
    <w:rsid w:val="69F30D81"/>
    <w:rsid w:val="69F32330"/>
    <w:rsid w:val="69F50BA8"/>
    <w:rsid w:val="69F75C6F"/>
    <w:rsid w:val="69FA0BC7"/>
    <w:rsid w:val="6A021FC3"/>
    <w:rsid w:val="6A101248"/>
    <w:rsid w:val="6A2273C7"/>
    <w:rsid w:val="6A2C60D6"/>
    <w:rsid w:val="6A306539"/>
    <w:rsid w:val="6A320665"/>
    <w:rsid w:val="6A392B87"/>
    <w:rsid w:val="6A47687E"/>
    <w:rsid w:val="6A553D57"/>
    <w:rsid w:val="6A5B58CB"/>
    <w:rsid w:val="6A621BA5"/>
    <w:rsid w:val="6A687B85"/>
    <w:rsid w:val="6A7D7447"/>
    <w:rsid w:val="6A810586"/>
    <w:rsid w:val="6A836FD5"/>
    <w:rsid w:val="6A850B98"/>
    <w:rsid w:val="6A8528C2"/>
    <w:rsid w:val="6A8C23BC"/>
    <w:rsid w:val="6A9A5453"/>
    <w:rsid w:val="6ABB20D6"/>
    <w:rsid w:val="6AC125C9"/>
    <w:rsid w:val="6ACB1246"/>
    <w:rsid w:val="6ACE344E"/>
    <w:rsid w:val="6ADF0073"/>
    <w:rsid w:val="6AE07248"/>
    <w:rsid w:val="6AE11B32"/>
    <w:rsid w:val="6AEB2567"/>
    <w:rsid w:val="6AFF355C"/>
    <w:rsid w:val="6B07013F"/>
    <w:rsid w:val="6B0C59FF"/>
    <w:rsid w:val="6B152619"/>
    <w:rsid w:val="6B1F3D92"/>
    <w:rsid w:val="6B307A5C"/>
    <w:rsid w:val="6B381945"/>
    <w:rsid w:val="6B3B79CD"/>
    <w:rsid w:val="6B446BF4"/>
    <w:rsid w:val="6B501C24"/>
    <w:rsid w:val="6B5A44B5"/>
    <w:rsid w:val="6B5B149E"/>
    <w:rsid w:val="6B5B3994"/>
    <w:rsid w:val="6B5E67E7"/>
    <w:rsid w:val="6B646BFC"/>
    <w:rsid w:val="6B7E3B06"/>
    <w:rsid w:val="6B8336C1"/>
    <w:rsid w:val="6B8C2311"/>
    <w:rsid w:val="6B9467C6"/>
    <w:rsid w:val="6B952E58"/>
    <w:rsid w:val="6B965ADC"/>
    <w:rsid w:val="6B966FC1"/>
    <w:rsid w:val="6B9771DB"/>
    <w:rsid w:val="6B9F1168"/>
    <w:rsid w:val="6BA32D41"/>
    <w:rsid w:val="6BB41CB3"/>
    <w:rsid w:val="6BC515A7"/>
    <w:rsid w:val="6BCC4D83"/>
    <w:rsid w:val="6BDA6FF1"/>
    <w:rsid w:val="6BEB798C"/>
    <w:rsid w:val="6BF15787"/>
    <w:rsid w:val="6BFC26F7"/>
    <w:rsid w:val="6BFF75ED"/>
    <w:rsid w:val="6C03000C"/>
    <w:rsid w:val="6C10344F"/>
    <w:rsid w:val="6C125E5E"/>
    <w:rsid w:val="6C1F447D"/>
    <w:rsid w:val="6C22651F"/>
    <w:rsid w:val="6C295792"/>
    <w:rsid w:val="6C33398F"/>
    <w:rsid w:val="6C412C13"/>
    <w:rsid w:val="6C480000"/>
    <w:rsid w:val="6C551F5E"/>
    <w:rsid w:val="6C5535CB"/>
    <w:rsid w:val="6C587DC4"/>
    <w:rsid w:val="6C5E5C97"/>
    <w:rsid w:val="6C607905"/>
    <w:rsid w:val="6C7720FB"/>
    <w:rsid w:val="6C793A4C"/>
    <w:rsid w:val="6C801312"/>
    <w:rsid w:val="6C836CFE"/>
    <w:rsid w:val="6C8A3C3A"/>
    <w:rsid w:val="6C8E764D"/>
    <w:rsid w:val="6C917866"/>
    <w:rsid w:val="6C926456"/>
    <w:rsid w:val="6C9A0F15"/>
    <w:rsid w:val="6CA45515"/>
    <w:rsid w:val="6CA930A2"/>
    <w:rsid w:val="6CAD6A6B"/>
    <w:rsid w:val="6CB513A0"/>
    <w:rsid w:val="6CB7624D"/>
    <w:rsid w:val="6CBA486D"/>
    <w:rsid w:val="6CC10505"/>
    <w:rsid w:val="6CC241A4"/>
    <w:rsid w:val="6CCA3FC4"/>
    <w:rsid w:val="6CCF4F38"/>
    <w:rsid w:val="6CD60869"/>
    <w:rsid w:val="6CD67DCE"/>
    <w:rsid w:val="6CD91D3E"/>
    <w:rsid w:val="6CDA3553"/>
    <w:rsid w:val="6CE21B08"/>
    <w:rsid w:val="6D007499"/>
    <w:rsid w:val="6D1551A7"/>
    <w:rsid w:val="6D2010FE"/>
    <w:rsid w:val="6D2365A7"/>
    <w:rsid w:val="6D2F6144"/>
    <w:rsid w:val="6D350EDA"/>
    <w:rsid w:val="6D3F110F"/>
    <w:rsid w:val="6D465474"/>
    <w:rsid w:val="6D4B11E3"/>
    <w:rsid w:val="6D5368D1"/>
    <w:rsid w:val="6D552577"/>
    <w:rsid w:val="6D574019"/>
    <w:rsid w:val="6D596718"/>
    <w:rsid w:val="6D5A5C60"/>
    <w:rsid w:val="6D5E551E"/>
    <w:rsid w:val="6D6B47BC"/>
    <w:rsid w:val="6D7A3541"/>
    <w:rsid w:val="6D826422"/>
    <w:rsid w:val="6D826B91"/>
    <w:rsid w:val="6D833D7C"/>
    <w:rsid w:val="6D852E91"/>
    <w:rsid w:val="6D8D02E2"/>
    <w:rsid w:val="6D8E1207"/>
    <w:rsid w:val="6D8F21CA"/>
    <w:rsid w:val="6D9708D8"/>
    <w:rsid w:val="6D984A40"/>
    <w:rsid w:val="6D9D5C8D"/>
    <w:rsid w:val="6DA90638"/>
    <w:rsid w:val="6DA947D5"/>
    <w:rsid w:val="6DAC0BA9"/>
    <w:rsid w:val="6DB954B0"/>
    <w:rsid w:val="6DBD60EA"/>
    <w:rsid w:val="6DCD55BF"/>
    <w:rsid w:val="6DCE231B"/>
    <w:rsid w:val="6DD27586"/>
    <w:rsid w:val="6DD4772B"/>
    <w:rsid w:val="6DD87672"/>
    <w:rsid w:val="6DDB1CCD"/>
    <w:rsid w:val="6DEC3D0F"/>
    <w:rsid w:val="6DF60E32"/>
    <w:rsid w:val="6E037F8A"/>
    <w:rsid w:val="6E042888"/>
    <w:rsid w:val="6E056FE9"/>
    <w:rsid w:val="6E060FCD"/>
    <w:rsid w:val="6E100AAC"/>
    <w:rsid w:val="6E1538B6"/>
    <w:rsid w:val="6E192A62"/>
    <w:rsid w:val="6E315904"/>
    <w:rsid w:val="6E3F287D"/>
    <w:rsid w:val="6E470CA8"/>
    <w:rsid w:val="6E4D18B9"/>
    <w:rsid w:val="6E4E0337"/>
    <w:rsid w:val="6E5650D8"/>
    <w:rsid w:val="6E583DB1"/>
    <w:rsid w:val="6E6F1F09"/>
    <w:rsid w:val="6E7F312D"/>
    <w:rsid w:val="6E815A27"/>
    <w:rsid w:val="6E87140F"/>
    <w:rsid w:val="6E8C39F1"/>
    <w:rsid w:val="6E9B7E8E"/>
    <w:rsid w:val="6EA94852"/>
    <w:rsid w:val="6EAC2421"/>
    <w:rsid w:val="6EB051AE"/>
    <w:rsid w:val="6EB63CC1"/>
    <w:rsid w:val="6EC44AE1"/>
    <w:rsid w:val="6ECB42F4"/>
    <w:rsid w:val="6ED63AFA"/>
    <w:rsid w:val="6EDB6038"/>
    <w:rsid w:val="6EEB167E"/>
    <w:rsid w:val="6EEB7C22"/>
    <w:rsid w:val="6EFF0771"/>
    <w:rsid w:val="6F243A65"/>
    <w:rsid w:val="6F2F6831"/>
    <w:rsid w:val="6F2F7DDF"/>
    <w:rsid w:val="6F337E8F"/>
    <w:rsid w:val="6F37381E"/>
    <w:rsid w:val="6F39064B"/>
    <w:rsid w:val="6F390EEC"/>
    <w:rsid w:val="6F493392"/>
    <w:rsid w:val="6F5E6853"/>
    <w:rsid w:val="6F5E78EC"/>
    <w:rsid w:val="6F794F5C"/>
    <w:rsid w:val="6F7C0EEB"/>
    <w:rsid w:val="6F8113DC"/>
    <w:rsid w:val="6F814B62"/>
    <w:rsid w:val="6F8F2F6C"/>
    <w:rsid w:val="6F9306BA"/>
    <w:rsid w:val="6F9A253A"/>
    <w:rsid w:val="6FCD04B2"/>
    <w:rsid w:val="6FCE2126"/>
    <w:rsid w:val="6FD011A9"/>
    <w:rsid w:val="6FD36D13"/>
    <w:rsid w:val="6FDF444E"/>
    <w:rsid w:val="6FFA2E0A"/>
    <w:rsid w:val="700707DA"/>
    <w:rsid w:val="700810C8"/>
    <w:rsid w:val="700B445F"/>
    <w:rsid w:val="700D177E"/>
    <w:rsid w:val="700F6B4F"/>
    <w:rsid w:val="7012366E"/>
    <w:rsid w:val="701E00AC"/>
    <w:rsid w:val="7024404C"/>
    <w:rsid w:val="7027125A"/>
    <w:rsid w:val="70360EAB"/>
    <w:rsid w:val="70425D7E"/>
    <w:rsid w:val="705A7FCE"/>
    <w:rsid w:val="706924AF"/>
    <w:rsid w:val="707141E2"/>
    <w:rsid w:val="70754F88"/>
    <w:rsid w:val="70785F16"/>
    <w:rsid w:val="70814D75"/>
    <w:rsid w:val="70896DBA"/>
    <w:rsid w:val="70997D7F"/>
    <w:rsid w:val="709A59CB"/>
    <w:rsid w:val="70AA036F"/>
    <w:rsid w:val="70AB37A8"/>
    <w:rsid w:val="70D02BEB"/>
    <w:rsid w:val="70DE18FD"/>
    <w:rsid w:val="70DF099E"/>
    <w:rsid w:val="70E91D01"/>
    <w:rsid w:val="70EB4037"/>
    <w:rsid w:val="70F30049"/>
    <w:rsid w:val="70F4014A"/>
    <w:rsid w:val="71012DD4"/>
    <w:rsid w:val="7102482F"/>
    <w:rsid w:val="710574E5"/>
    <w:rsid w:val="71265550"/>
    <w:rsid w:val="712A1CF4"/>
    <w:rsid w:val="712E03EA"/>
    <w:rsid w:val="713D0C3C"/>
    <w:rsid w:val="71491DE8"/>
    <w:rsid w:val="714B3016"/>
    <w:rsid w:val="714F4538"/>
    <w:rsid w:val="7157743E"/>
    <w:rsid w:val="715C27F9"/>
    <w:rsid w:val="71612AF2"/>
    <w:rsid w:val="716B14F3"/>
    <w:rsid w:val="716C1B76"/>
    <w:rsid w:val="717A1511"/>
    <w:rsid w:val="717E09B9"/>
    <w:rsid w:val="718045D7"/>
    <w:rsid w:val="719A0574"/>
    <w:rsid w:val="719E7708"/>
    <w:rsid w:val="71BE4970"/>
    <w:rsid w:val="71C67AD6"/>
    <w:rsid w:val="71D4142B"/>
    <w:rsid w:val="71DB2674"/>
    <w:rsid w:val="71DB2C1D"/>
    <w:rsid w:val="71DF7919"/>
    <w:rsid w:val="71E26C50"/>
    <w:rsid w:val="71ED3E83"/>
    <w:rsid w:val="71FF7D25"/>
    <w:rsid w:val="720013A7"/>
    <w:rsid w:val="72005E0A"/>
    <w:rsid w:val="720319AE"/>
    <w:rsid w:val="72083075"/>
    <w:rsid w:val="720B34D7"/>
    <w:rsid w:val="720D2513"/>
    <w:rsid w:val="7213068B"/>
    <w:rsid w:val="7232161C"/>
    <w:rsid w:val="723349E7"/>
    <w:rsid w:val="723C157F"/>
    <w:rsid w:val="72482021"/>
    <w:rsid w:val="724A352E"/>
    <w:rsid w:val="724B3C41"/>
    <w:rsid w:val="724E6A20"/>
    <w:rsid w:val="72640690"/>
    <w:rsid w:val="726879BB"/>
    <w:rsid w:val="726C2CA7"/>
    <w:rsid w:val="727B66FE"/>
    <w:rsid w:val="727C1D3D"/>
    <w:rsid w:val="727C679C"/>
    <w:rsid w:val="72812900"/>
    <w:rsid w:val="728A165E"/>
    <w:rsid w:val="728D6880"/>
    <w:rsid w:val="728D778A"/>
    <w:rsid w:val="728D7BA0"/>
    <w:rsid w:val="729476EA"/>
    <w:rsid w:val="7299627A"/>
    <w:rsid w:val="72A1496B"/>
    <w:rsid w:val="72A31418"/>
    <w:rsid w:val="72AC2C8B"/>
    <w:rsid w:val="72AF3D44"/>
    <w:rsid w:val="72B52A4F"/>
    <w:rsid w:val="72B55C86"/>
    <w:rsid w:val="72BA6631"/>
    <w:rsid w:val="72CC46C8"/>
    <w:rsid w:val="72CD26E6"/>
    <w:rsid w:val="72CF2BEB"/>
    <w:rsid w:val="72D7393C"/>
    <w:rsid w:val="72DA702B"/>
    <w:rsid w:val="72E516A6"/>
    <w:rsid w:val="72E65BBB"/>
    <w:rsid w:val="72F317AA"/>
    <w:rsid w:val="73055D1C"/>
    <w:rsid w:val="7308227C"/>
    <w:rsid w:val="7314673D"/>
    <w:rsid w:val="731B7A25"/>
    <w:rsid w:val="731C21FE"/>
    <w:rsid w:val="73203D30"/>
    <w:rsid w:val="73205C90"/>
    <w:rsid w:val="732F2A31"/>
    <w:rsid w:val="73393925"/>
    <w:rsid w:val="73397961"/>
    <w:rsid w:val="733B3174"/>
    <w:rsid w:val="7340767B"/>
    <w:rsid w:val="73452559"/>
    <w:rsid w:val="734565DA"/>
    <w:rsid w:val="73477EA4"/>
    <w:rsid w:val="734A3103"/>
    <w:rsid w:val="73556E87"/>
    <w:rsid w:val="735A2D35"/>
    <w:rsid w:val="73641B22"/>
    <w:rsid w:val="7370260C"/>
    <w:rsid w:val="73747086"/>
    <w:rsid w:val="73823DE2"/>
    <w:rsid w:val="7383186C"/>
    <w:rsid w:val="739A6444"/>
    <w:rsid w:val="739E0BB1"/>
    <w:rsid w:val="739E329F"/>
    <w:rsid w:val="73A81E07"/>
    <w:rsid w:val="73AB0E07"/>
    <w:rsid w:val="73AD790E"/>
    <w:rsid w:val="73B34925"/>
    <w:rsid w:val="73BA571D"/>
    <w:rsid w:val="73C3079F"/>
    <w:rsid w:val="73C774F9"/>
    <w:rsid w:val="73C7752E"/>
    <w:rsid w:val="73CA0F0B"/>
    <w:rsid w:val="73D33D25"/>
    <w:rsid w:val="73D63EDC"/>
    <w:rsid w:val="73DD11A1"/>
    <w:rsid w:val="73E1438B"/>
    <w:rsid w:val="73E56059"/>
    <w:rsid w:val="73EA3F05"/>
    <w:rsid w:val="73FB2E22"/>
    <w:rsid w:val="73FC7E06"/>
    <w:rsid w:val="740562FC"/>
    <w:rsid w:val="74063364"/>
    <w:rsid w:val="74140D0B"/>
    <w:rsid w:val="741F112C"/>
    <w:rsid w:val="74220A42"/>
    <w:rsid w:val="743312E2"/>
    <w:rsid w:val="7439460F"/>
    <w:rsid w:val="74395C98"/>
    <w:rsid w:val="743B2BAC"/>
    <w:rsid w:val="74404BBB"/>
    <w:rsid w:val="745010D9"/>
    <w:rsid w:val="745A1F14"/>
    <w:rsid w:val="74642F0F"/>
    <w:rsid w:val="74664C7D"/>
    <w:rsid w:val="746B46E0"/>
    <w:rsid w:val="746E18B6"/>
    <w:rsid w:val="746E1960"/>
    <w:rsid w:val="74727C68"/>
    <w:rsid w:val="74765AAD"/>
    <w:rsid w:val="748401FD"/>
    <w:rsid w:val="748A4DA5"/>
    <w:rsid w:val="749A0D4D"/>
    <w:rsid w:val="74A11D81"/>
    <w:rsid w:val="74A446A5"/>
    <w:rsid w:val="74A60C6D"/>
    <w:rsid w:val="74A92490"/>
    <w:rsid w:val="74AE3290"/>
    <w:rsid w:val="74B34A2E"/>
    <w:rsid w:val="74B36BF7"/>
    <w:rsid w:val="74B67F6C"/>
    <w:rsid w:val="74B86831"/>
    <w:rsid w:val="74BF5DE4"/>
    <w:rsid w:val="74C04206"/>
    <w:rsid w:val="74CB507C"/>
    <w:rsid w:val="74D9653F"/>
    <w:rsid w:val="74DF2CC3"/>
    <w:rsid w:val="74E0598D"/>
    <w:rsid w:val="74E22E80"/>
    <w:rsid w:val="74F40B0F"/>
    <w:rsid w:val="74F63CC4"/>
    <w:rsid w:val="75023625"/>
    <w:rsid w:val="751301EA"/>
    <w:rsid w:val="75160116"/>
    <w:rsid w:val="752046EA"/>
    <w:rsid w:val="75275DF4"/>
    <w:rsid w:val="752E2E03"/>
    <w:rsid w:val="75323F45"/>
    <w:rsid w:val="75396DE8"/>
    <w:rsid w:val="75453ABE"/>
    <w:rsid w:val="75471988"/>
    <w:rsid w:val="754B36F5"/>
    <w:rsid w:val="75517147"/>
    <w:rsid w:val="75610F02"/>
    <w:rsid w:val="75673397"/>
    <w:rsid w:val="756D317B"/>
    <w:rsid w:val="75703E84"/>
    <w:rsid w:val="75715E5E"/>
    <w:rsid w:val="757D7EBF"/>
    <w:rsid w:val="758468FF"/>
    <w:rsid w:val="75957FC9"/>
    <w:rsid w:val="75AD1FDB"/>
    <w:rsid w:val="75C07680"/>
    <w:rsid w:val="75C61AFB"/>
    <w:rsid w:val="75C6224D"/>
    <w:rsid w:val="75C6714E"/>
    <w:rsid w:val="75CD5056"/>
    <w:rsid w:val="75D221C3"/>
    <w:rsid w:val="75D803FD"/>
    <w:rsid w:val="75DB381C"/>
    <w:rsid w:val="75E03433"/>
    <w:rsid w:val="75EA1EDA"/>
    <w:rsid w:val="76007EBD"/>
    <w:rsid w:val="76070A73"/>
    <w:rsid w:val="762518E4"/>
    <w:rsid w:val="76254B98"/>
    <w:rsid w:val="76362CE7"/>
    <w:rsid w:val="76520C60"/>
    <w:rsid w:val="765909D2"/>
    <w:rsid w:val="765E517D"/>
    <w:rsid w:val="76666AC1"/>
    <w:rsid w:val="766738FD"/>
    <w:rsid w:val="766D720C"/>
    <w:rsid w:val="768172D3"/>
    <w:rsid w:val="768406C2"/>
    <w:rsid w:val="76860B91"/>
    <w:rsid w:val="76883E4D"/>
    <w:rsid w:val="768F5D86"/>
    <w:rsid w:val="76952197"/>
    <w:rsid w:val="769E139C"/>
    <w:rsid w:val="76A51622"/>
    <w:rsid w:val="76AA3C35"/>
    <w:rsid w:val="76AC037F"/>
    <w:rsid w:val="76AC1459"/>
    <w:rsid w:val="76BC62F6"/>
    <w:rsid w:val="76BE7125"/>
    <w:rsid w:val="76C16466"/>
    <w:rsid w:val="76CF000B"/>
    <w:rsid w:val="76D16CD5"/>
    <w:rsid w:val="76D63C37"/>
    <w:rsid w:val="76DC43C5"/>
    <w:rsid w:val="76E30AEC"/>
    <w:rsid w:val="76E722C3"/>
    <w:rsid w:val="77070864"/>
    <w:rsid w:val="77112503"/>
    <w:rsid w:val="77133CBC"/>
    <w:rsid w:val="773C6629"/>
    <w:rsid w:val="773E50EF"/>
    <w:rsid w:val="774609BE"/>
    <w:rsid w:val="77471F87"/>
    <w:rsid w:val="774A196B"/>
    <w:rsid w:val="775F6FF6"/>
    <w:rsid w:val="776D7A9C"/>
    <w:rsid w:val="777272FA"/>
    <w:rsid w:val="77727DAD"/>
    <w:rsid w:val="77746F50"/>
    <w:rsid w:val="777515B6"/>
    <w:rsid w:val="777A0E00"/>
    <w:rsid w:val="777A67F9"/>
    <w:rsid w:val="777D2A8A"/>
    <w:rsid w:val="778C5B88"/>
    <w:rsid w:val="7798337C"/>
    <w:rsid w:val="779A7AA6"/>
    <w:rsid w:val="77A11B63"/>
    <w:rsid w:val="77A27C5F"/>
    <w:rsid w:val="77B00B44"/>
    <w:rsid w:val="77B023E4"/>
    <w:rsid w:val="77C1675F"/>
    <w:rsid w:val="77C86032"/>
    <w:rsid w:val="77CB5C1D"/>
    <w:rsid w:val="77CD1C9A"/>
    <w:rsid w:val="77DE0C76"/>
    <w:rsid w:val="77DE2925"/>
    <w:rsid w:val="77E15AD8"/>
    <w:rsid w:val="77E91804"/>
    <w:rsid w:val="77F834CE"/>
    <w:rsid w:val="77FF4727"/>
    <w:rsid w:val="78020EA2"/>
    <w:rsid w:val="78074CAE"/>
    <w:rsid w:val="780752C5"/>
    <w:rsid w:val="780E3148"/>
    <w:rsid w:val="781A6B93"/>
    <w:rsid w:val="781D02DD"/>
    <w:rsid w:val="781D3706"/>
    <w:rsid w:val="78202F13"/>
    <w:rsid w:val="782E5438"/>
    <w:rsid w:val="78445ACD"/>
    <w:rsid w:val="78494C1F"/>
    <w:rsid w:val="784E2E28"/>
    <w:rsid w:val="785E5574"/>
    <w:rsid w:val="78603740"/>
    <w:rsid w:val="78664B15"/>
    <w:rsid w:val="786B787E"/>
    <w:rsid w:val="787D7691"/>
    <w:rsid w:val="78886892"/>
    <w:rsid w:val="78965CA3"/>
    <w:rsid w:val="789A251F"/>
    <w:rsid w:val="789A4550"/>
    <w:rsid w:val="789E3015"/>
    <w:rsid w:val="78A44E1F"/>
    <w:rsid w:val="78A56991"/>
    <w:rsid w:val="78B124E1"/>
    <w:rsid w:val="78B86738"/>
    <w:rsid w:val="78B86BEF"/>
    <w:rsid w:val="78BD6A97"/>
    <w:rsid w:val="78C85E18"/>
    <w:rsid w:val="78CC5ADB"/>
    <w:rsid w:val="78DD5C91"/>
    <w:rsid w:val="78E35F6C"/>
    <w:rsid w:val="78E36B3D"/>
    <w:rsid w:val="78E455FA"/>
    <w:rsid w:val="78EC2C9F"/>
    <w:rsid w:val="78F34B42"/>
    <w:rsid w:val="790442D7"/>
    <w:rsid w:val="79087DE3"/>
    <w:rsid w:val="790A7735"/>
    <w:rsid w:val="79204BD5"/>
    <w:rsid w:val="7924553A"/>
    <w:rsid w:val="792F6E2F"/>
    <w:rsid w:val="79344FE6"/>
    <w:rsid w:val="79350862"/>
    <w:rsid w:val="793E01A3"/>
    <w:rsid w:val="7945508F"/>
    <w:rsid w:val="794801A0"/>
    <w:rsid w:val="79484D70"/>
    <w:rsid w:val="794B50B8"/>
    <w:rsid w:val="795B0EE7"/>
    <w:rsid w:val="79634983"/>
    <w:rsid w:val="79662A9E"/>
    <w:rsid w:val="796F2952"/>
    <w:rsid w:val="79746DB1"/>
    <w:rsid w:val="79780B57"/>
    <w:rsid w:val="797E5E8B"/>
    <w:rsid w:val="7980425B"/>
    <w:rsid w:val="79931CDB"/>
    <w:rsid w:val="79932A3B"/>
    <w:rsid w:val="79992C71"/>
    <w:rsid w:val="799E68FA"/>
    <w:rsid w:val="799F628B"/>
    <w:rsid w:val="79A6424B"/>
    <w:rsid w:val="79A67851"/>
    <w:rsid w:val="79AC0443"/>
    <w:rsid w:val="79B01FB8"/>
    <w:rsid w:val="79B02E2D"/>
    <w:rsid w:val="79B65CDA"/>
    <w:rsid w:val="79DC174B"/>
    <w:rsid w:val="79E84136"/>
    <w:rsid w:val="79E976DE"/>
    <w:rsid w:val="79EF59B7"/>
    <w:rsid w:val="79FA1447"/>
    <w:rsid w:val="79FC1D92"/>
    <w:rsid w:val="7A0A10D4"/>
    <w:rsid w:val="7A101088"/>
    <w:rsid w:val="7A17123B"/>
    <w:rsid w:val="7A1B7E06"/>
    <w:rsid w:val="7A1E073D"/>
    <w:rsid w:val="7A285FD6"/>
    <w:rsid w:val="7A33197B"/>
    <w:rsid w:val="7A335A94"/>
    <w:rsid w:val="7A442C4E"/>
    <w:rsid w:val="7A4F1084"/>
    <w:rsid w:val="7A5E408C"/>
    <w:rsid w:val="7A6E5DAE"/>
    <w:rsid w:val="7A755C22"/>
    <w:rsid w:val="7A8530CA"/>
    <w:rsid w:val="7A8D09EC"/>
    <w:rsid w:val="7AA27B7F"/>
    <w:rsid w:val="7AA65A3F"/>
    <w:rsid w:val="7AA77403"/>
    <w:rsid w:val="7AB615A3"/>
    <w:rsid w:val="7AC7773E"/>
    <w:rsid w:val="7AD9040D"/>
    <w:rsid w:val="7B024E0A"/>
    <w:rsid w:val="7B0A2B60"/>
    <w:rsid w:val="7B173BFA"/>
    <w:rsid w:val="7B1B2E2F"/>
    <w:rsid w:val="7B283CBB"/>
    <w:rsid w:val="7B2E00BF"/>
    <w:rsid w:val="7B324720"/>
    <w:rsid w:val="7B350FF8"/>
    <w:rsid w:val="7B371BDA"/>
    <w:rsid w:val="7B3A3FEC"/>
    <w:rsid w:val="7B3B108A"/>
    <w:rsid w:val="7B425AA6"/>
    <w:rsid w:val="7B4502CC"/>
    <w:rsid w:val="7B5F4B11"/>
    <w:rsid w:val="7B631BE0"/>
    <w:rsid w:val="7B66585D"/>
    <w:rsid w:val="7B683EDD"/>
    <w:rsid w:val="7B691B29"/>
    <w:rsid w:val="7B7236AE"/>
    <w:rsid w:val="7B7D3F8F"/>
    <w:rsid w:val="7B840A7C"/>
    <w:rsid w:val="7B86488C"/>
    <w:rsid w:val="7B89313B"/>
    <w:rsid w:val="7B9E438E"/>
    <w:rsid w:val="7BA55D17"/>
    <w:rsid w:val="7BAA04BE"/>
    <w:rsid w:val="7BAC17CC"/>
    <w:rsid w:val="7BAC60D0"/>
    <w:rsid w:val="7BB320EC"/>
    <w:rsid w:val="7BB44C43"/>
    <w:rsid w:val="7BBE4057"/>
    <w:rsid w:val="7BC23C21"/>
    <w:rsid w:val="7BC62404"/>
    <w:rsid w:val="7BC717D6"/>
    <w:rsid w:val="7BCD3D4F"/>
    <w:rsid w:val="7BDD6AB3"/>
    <w:rsid w:val="7BE02E10"/>
    <w:rsid w:val="7BE04DDD"/>
    <w:rsid w:val="7BE37856"/>
    <w:rsid w:val="7BE72ED3"/>
    <w:rsid w:val="7BE90A4B"/>
    <w:rsid w:val="7BF273EC"/>
    <w:rsid w:val="7BF4659F"/>
    <w:rsid w:val="7BF515D8"/>
    <w:rsid w:val="7C0C5C91"/>
    <w:rsid w:val="7C167FD9"/>
    <w:rsid w:val="7C1E4F88"/>
    <w:rsid w:val="7C1E6E91"/>
    <w:rsid w:val="7C223A75"/>
    <w:rsid w:val="7C382B0D"/>
    <w:rsid w:val="7C3D1016"/>
    <w:rsid w:val="7C4E31EB"/>
    <w:rsid w:val="7C67590B"/>
    <w:rsid w:val="7C6D283F"/>
    <w:rsid w:val="7C731784"/>
    <w:rsid w:val="7C7B0591"/>
    <w:rsid w:val="7C7D5569"/>
    <w:rsid w:val="7C832B34"/>
    <w:rsid w:val="7C8C492C"/>
    <w:rsid w:val="7C8E1B1D"/>
    <w:rsid w:val="7CA20A44"/>
    <w:rsid w:val="7CA212A3"/>
    <w:rsid w:val="7CA91F06"/>
    <w:rsid w:val="7CAA6D66"/>
    <w:rsid w:val="7CBE6FF4"/>
    <w:rsid w:val="7CBF34D4"/>
    <w:rsid w:val="7CBF68C2"/>
    <w:rsid w:val="7CC41864"/>
    <w:rsid w:val="7CD32C56"/>
    <w:rsid w:val="7CE67815"/>
    <w:rsid w:val="7CEE23A4"/>
    <w:rsid w:val="7CF0747A"/>
    <w:rsid w:val="7CF610AF"/>
    <w:rsid w:val="7CFD4C29"/>
    <w:rsid w:val="7D0067B0"/>
    <w:rsid w:val="7D05213C"/>
    <w:rsid w:val="7D195877"/>
    <w:rsid w:val="7D2C1F94"/>
    <w:rsid w:val="7D4027E1"/>
    <w:rsid w:val="7D467BC8"/>
    <w:rsid w:val="7D4818D1"/>
    <w:rsid w:val="7D491AE1"/>
    <w:rsid w:val="7D4F4844"/>
    <w:rsid w:val="7D5326DD"/>
    <w:rsid w:val="7D557938"/>
    <w:rsid w:val="7D626F81"/>
    <w:rsid w:val="7D7139B0"/>
    <w:rsid w:val="7D793135"/>
    <w:rsid w:val="7D906833"/>
    <w:rsid w:val="7D907661"/>
    <w:rsid w:val="7D9752B7"/>
    <w:rsid w:val="7DA17FB8"/>
    <w:rsid w:val="7DA93A1E"/>
    <w:rsid w:val="7DAA05D1"/>
    <w:rsid w:val="7DBC3341"/>
    <w:rsid w:val="7DD31E09"/>
    <w:rsid w:val="7DF240B5"/>
    <w:rsid w:val="7DF94CE0"/>
    <w:rsid w:val="7DF97B76"/>
    <w:rsid w:val="7DFA5507"/>
    <w:rsid w:val="7DFB7FA5"/>
    <w:rsid w:val="7DFD0EF5"/>
    <w:rsid w:val="7E086896"/>
    <w:rsid w:val="7E0A3E88"/>
    <w:rsid w:val="7E0C27F1"/>
    <w:rsid w:val="7E0D1ECA"/>
    <w:rsid w:val="7E0D6A23"/>
    <w:rsid w:val="7E17483F"/>
    <w:rsid w:val="7E1C6375"/>
    <w:rsid w:val="7E1F1635"/>
    <w:rsid w:val="7E2240D0"/>
    <w:rsid w:val="7E2A2797"/>
    <w:rsid w:val="7E2A2C83"/>
    <w:rsid w:val="7E493406"/>
    <w:rsid w:val="7E4B4BA2"/>
    <w:rsid w:val="7E4D4C56"/>
    <w:rsid w:val="7E541923"/>
    <w:rsid w:val="7E5745A1"/>
    <w:rsid w:val="7E582196"/>
    <w:rsid w:val="7E722E74"/>
    <w:rsid w:val="7E773463"/>
    <w:rsid w:val="7E786A6D"/>
    <w:rsid w:val="7E795BB1"/>
    <w:rsid w:val="7E7D6BAE"/>
    <w:rsid w:val="7E802D2F"/>
    <w:rsid w:val="7E8A0CE3"/>
    <w:rsid w:val="7E8B60C7"/>
    <w:rsid w:val="7E922668"/>
    <w:rsid w:val="7E922F21"/>
    <w:rsid w:val="7E985801"/>
    <w:rsid w:val="7EA46126"/>
    <w:rsid w:val="7EA52563"/>
    <w:rsid w:val="7EC21EDD"/>
    <w:rsid w:val="7EC6169B"/>
    <w:rsid w:val="7ECF308A"/>
    <w:rsid w:val="7ED03351"/>
    <w:rsid w:val="7ED11520"/>
    <w:rsid w:val="7EF358C8"/>
    <w:rsid w:val="7EF542D2"/>
    <w:rsid w:val="7EFA3422"/>
    <w:rsid w:val="7EFF3213"/>
    <w:rsid w:val="7F054E48"/>
    <w:rsid w:val="7F080B72"/>
    <w:rsid w:val="7F0F654B"/>
    <w:rsid w:val="7F13755C"/>
    <w:rsid w:val="7F147CA4"/>
    <w:rsid w:val="7F197517"/>
    <w:rsid w:val="7F266FA5"/>
    <w:rsid w:val="7F4962D7"/>
    <w:rsid w:val="7F4E3621"/>
    <w:rsid w:val="7F4E384F"/>
    <w:rsid w:val="7F5905ED"/>
    <w:rsid w:val="7F6E59B7"/>
    <w:rsid w:val="7F6E7698"/>
    <w:rsid w:val="7F717161"/>
    <w:rsid w:val="7F727D15"/>
    <w:rsid w:val="7F7C44DF"/>
    <w:rsid w:val="7F873E40"/>
    <w:rsid w:val="7F9C5F66"/>
    <w:rsid w:val="7F9F4197"/>
    <w:rsid w:val="7FB25808"/>
    <w:rsid w:val="7FB47856"/>
    <w:rsid w:val="7FB7310C"/>
    <w:rsid w:val="7FC2332A"/>
    <w:rsid w:val="7FDF07E9"/>
    <w:rsid w:val="7FE5071B"/>
    <w:rsid w:val="7FF17AC6"/>
    <w:rsid w:val="7FF574EF"/>
    <w:rsid w:val="7FFD0E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0"/>
    <w:pPr>
      <w:keepNext/>
      <w:keepLines/>
      <w:spacing w:before="340" w:after="330" w:line="576" w:lineRule="auto"/>
      <w:outlineLvl w:val="0"/>
    </w:pPr>
    <w:rPr>
      <w:b/>
      <w:kern w:val="44"/>
      <w:sz w:val="44"/>
    </w:rPr>
  </w:style>
  <w:style w:type="paragraph" w:styleId="5">
    <w:name w:val="heading 3"/>
    <w:basedOn w:val="1"/>
    <w:next w:val="1"/>
    <w:qFormat/>
    <w:uiPriority w:val="0"/>
    <w:pPr>
      <w:spacing w:line="420" w:lineRule="exact"/>
      <w:ind w:firstLine="280" w:firstLineChars="100"/>
      <w:outlineLvl w:val="2"/>
    </w:pPr>
    <w:rPr>
      <w:rFonts w:eastAsia="华文中宋"/>
      <w:b/>
      <w:bCs/>
      <w:kern w:val="18"/>
      <w:sz w:val="28"/>
      <w:szCs w:val="28"/>
    </w:rPr>
  </w:style>
  <w:style w:type="paragraph" w:styleId="6">
    <w:name w:val="heading 4"/>
    <w:basedOn w:val="1"/>
    <w:next w:val="1"/>
    <w:qFormat/>
    <w:uiPriority w:val="0"/>
    <w:pPr>
      <w:keepNext/>
      <w:keepLines/>
      <w:spacing w:line="420" w:lineRule="exact"/>
      <w:ind w:firstLine="561" w:firstLineChars="200"/>
      <w:outlineLvl w:val="3"/>
    </w:pPr>
    <w:rPr>
      <w:rFonts w:eastAsia="华文中宋"/>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1"/>
    <w:qFormat/>
    <w:uiPriority w:val="0"/>
    <w:pPr>
      <w:spacing w:after="120"/>
      <w:ind w:firstLine="420" w:firstLineChars="100"/>
    </w:pPr>
  </w:style>
  <w:style w:type="paragraph" w:styleId="3">
    <w:name w:val="Body Text"/>
    <w:basedOn w:val="1"/>
    <w:next w:val="1"/>
    <w:qFormat/>
    <w:uiPriority w:val="0"/>
  </w:style>
  <w:style w:type="paragraph" w:styleId="7">
    <w:name w:val="table of authorities"/>
    <w:basedOn w:val="1"/>
    <w:next w:val="1"/>
    <w:qFormat/>
    <w:uiPriority w:val="0"/>
    <w:pPr>
      <w:spacing w:line="360" w:lineRule="auto"/>
      <w:ind w:left="420" w:leftChars="200" w:firstLine="640" w:firstLineChars="200"/>
    </w:pPr>
    <w:rPr>
      <w:rFonts w:ascii="Times New Roman" w:hAnsi="Times New Roman"/>
      <w:sz w:val="24"/>
    </w:rPr>
  </w:style>
  <w:style w:type="paragraph" w:styleId="8">
    <w:name w:val="Normal Indent"/>
    <w:basedOn w:val="1"/>
    <w:qFormat/>
    <w:uiPriority w:val="0"/>
    <w:pPr>
      <w:ind w:firstLine="420" w:firstLineChars="200"/>
    </w:pPr>
  </w:style>
  <w:style w:type="paragraph" w:styleId="9">
    <w:name w:val="annotation text"/>
    <w:basedOn w:val="1"/>
    <w:link w:val="49"/>
    <w:qFormat/>
    <w:uiPriority w:val="0"/>
    <w:pPr>
      <w:jc w:val="left"/>
    </w:pPr>
  </w:style>
  <w:style w:type="paragraph" w:styleId="10">
    <w:name w:val="Body Text Indent"/>
    <w:basedOn w:val="1"/>
    <w:next w:val="11"/>
    <w:qFormat/>
    <w:uiPriority w:val="0"/>
    <w:pPr>
      <w:ind w:firstLine="480" w:firstLineChars="200"/>
    </w:pPr>
    <w:rPr>
      <w:sz w:val="24"/>
    </w:rPr>
  </w:style>
  <w:style w:type="paragraph" w:customStyle="1" w:styleId="11">
    <w:name w:val="样式 正文文本缩进 + 行距: 1.5 倍行距"/>
    <w:basedOn w:val="1"/>
    <w:qFormat/>
    <w:uiPriority w:val="0"/>
    <w:pPr>
      <w:spacing w:after="120" w:line="360" w:lineRule="auto"/>
      <w:ind w:left="90" w:leftChars="32" w:firstLine="560" w:firstLineChars="200"/>
    </w:pPr>
    <w:rPr>
      <w:rFonts w:cs="宋体"/>
    </w:rPr>
  </w:style>
  <w:style w:type="paragraph" w:styleId="12">
    <w:name w:val="Plain Text"/>
    <w:basedOn w:val="1"/>
    <w:link w:val="52"/>
    <w:qFormat/>
    <w:uiPriority w:val="0"/>
    <w:pPr>
      <w:widowControl/>
      <w:spacing w:before="100" w:beforeAutospacing="1" w:after="100" w:afterAutospacing="1"/>
      <w:jc w:val="left"/>
    </w:pPr>
    <w:rPr>
      <w:rFonts w:ascii="ˎ̥" w:hAnsi="ˎ̥"/>
      <w:kern w:val="0"/>
      <w:sz w:val="18"/>
      <w:szCs w:val="18"/>
    </w:rPr>
  </w:style>
  <w:style w:type="paragraph" w:styleId="13">
    <w:name w:val="Date"/>
    <w:basedOn w:val="1"/>
    <w:next w:val="1"/>
    <w:link w:val="56"/>
    <w:qFormat/>
    <w:uiPriority w:val="0"/>
    <w:pPr>
      <w:ind w:left="100" w:leftChars="2500"/>
    </w:pPr>
  </w:style>
  <w:style w:type="paragraph" w:styleId="14">
    <w:name w:val="Balloon Text"/>
    <w:basedOn w:val="1"/>
    <w:link w:val="51"/>
    <w:qFormat/>
    <w:uiPriority w:val="0"/>
    <w:rPr>
      <w:sz w:val="18"/>
      <w:szCs w:val="18"/>
    </w:rPr>
  </w:style>
  <w:style w:type="paragraph" w:styleId="15">
    <w:name w:val="footer"/>
    <w:basedOn w:val="1"/>
    <w:next w:val="1"/>
    <w:qFormat/>
    <w:uiPriority w:val="0"/>
    <w:pPr>
      <w:tabs>
        <w:tab w:val="center" w:pos="4153"/>
        <w:tab w:val="right" w:pos="8306"/>
      </w:tabs>
      <w:snapToGrid w:val="0"/>
      <w:jc w:val="left"/>
    </w:pPr>
    <w:rPr>
      <w:sz w:val="18"/>
      <w:szCs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7">
    <w:name w:val="toc 1"/>
    <w:basedOn w:val="1"/>
    <w:next w:val="1"/>
    <w:qFormat/>
    <w:uiPriority w:val="0"/>
  </w:style>
  <w:style w:type="paragraph" w:styleId="18">
    <w:name w:val="toc 2"/>
    <w:basedOn w:val="1"/>
    <w:next w:val="1"/>
    <w:qFormat/>
    <w:uiPriority w:val="0"/>
    <w:pPr>
      <w:ind w:left="420" w:leftChars="200"/>
    </w:pPr>
  </w:style>
  <w:style w:type="paragraph" w:styleId="19">
    <w:name w:val="Normal (Web)"/>
    <w:basedOn w:val="1"/>
    <w:qFormat/>
    <w:uiPriority w:val="99"/>
    <w:pPr>
      <w:jc w:val="left"/>
    </w:pPr>
    <w:rPr>
      <w:kern w:val="0"/>
      <w:sz w:val="24"/>
    </w:rPr>
  </w:style>
  <w:style w:type="paragraph" w:styleId="20">
    <w:name w:val="annotation subject"/>
    <w:basedOn w:val="9"/>
    <w:next w:val="9"/>
    <w:link w:val="50"/>
    <w:qFormat/>
    <w:uiPriority w:val="0"/>
    <w:rPr>
      <w:b/>
      <w:bCs/>
    </w:rPr>
  </w:style>
  <w:style w:type="paragraph" w:styleId="21">
    <w:name w:val="Body Text First Indent 2"/>
    <w:basedOn w:val="10"/>
    <w:next w:val="1"/>
    <w:unhideWhenUsed/>
    <w:qFormat/>
    <w:uiPriority w:val="0"/>
    <w:pPr>
      <w:spacing w:before="0" w:after="120" w:line="240" w:lineRule="auto"/>
      <w:ind w:left="420" w:leftChars="200" w:firstLine="420"/>
    </w:pPr>
    <w:rPr>
      <w:rFonts w:eastAsia="宋体"/>
      <w:sz w:val="24"/>
    </w:rPr>
  </w:style>
  <w:style w:type="table" w:styleId="23">
    <w:name w:val="Table Grid"/>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annotation reference"/>
    <w:qFormat/>
    <w:uiPriority w:val="0"/>
    <w:rPr>
      <w:sz w:val="21"/>
    </w:rPr>
  </w:style>
  <w:style w:type="paragraph" w:customStyle="1" w:styleId="26">
    <w:name w:val="Default"/>
    <w:basedOn w:val="27"/>
    <w:next w:val="1"/>
    <w:qFormat/>
    <w:uiPriority w:val="0"/>
    <w:pPr>
      <w:widowControl w:val="0"/>
      <w:tabs>
        <w:tab w:val="left" w:pos="480"/>
      </w:tabs>
      <w:autoSpaceDE w:val="0"/>
      <w:autoSpaceDN w:val="0"/>
      <w:adjustRightInd w:val="0"/>
    </w:pPr>
    <w:rPr>
      <w:rFonts w:ascii="Calibri" w:hAnsi="Calibri" w:eastAsia="宋体" w:cs="Times New Roman"/>
      <w:color w:val="000000"/>
      <w:sz w:val="24"/>
      <w:szCs w:val="24"/>
      <w:lang w:val="en-US" w:eastAsia="zh-CN" w:bidi="ar-SA"/>
    </w:rPr>
  </w:style>
  <w:style w:type="paragraph" w:customStyle="1" w:styleId="27">
    <w:name w:val="纯文本1"/>
    <w:basedOn w:val="1"/>
    <w:qFormat/>
    <w:uiPriority w:val="0"/>
    <w:pPr>
      <w:tabs>
        <w:tab w:val="left" w:pos="480"/>
      </w:tabs>
      <w:adjustRightInd w:val="0"/>
    </w:pPr>
    <w:rPr>
      <w:rFonts w:ascii="宋体" w:hAnsi="Courier New"/>
      <w:szCs w:val="20"/>
    </w:rPr>
  </w:style>
  <w:style w:type="paragraph" w:customStyle="1" w:styleId="28">
    <w:name w:val="表中大字"/>
    <w:basedOn w:val="1"/>
    <w:qFormat/>
    <w:uiPriority w:val="0"/>
    <w:pPr>
      <w:widowControl/>
      <w:spacing w:line="360" w:lineRule="exact"/>
      <w:jc w:val="center"/>
    </w:pPr>
    <w:rPr>
      <w:rFonts w:eastAsia="华文中宋"/>
      <w:kern w:val="0"/>
      <w:sz w:val="28"/>
      <w:szCs w:val="28"/>
    </w:rPr>
  </w:style>
  <w:style w:type="paragraph" w:customStyle="1" w:styleId="29">
    <w:name w:val="正文00"/>
    <w:basedOn w:val="1"/>
    <w:qFormat/>
    <w:uiPriority w:val="0"/>
    <w:pPr>
      <w:spacing w:line="500" w:lineRule="exact"/>
      <w:ind w:firstLine="200" w:firstLineChars="200"/>
    </w:pPr>
    <w:rPr>
      <w:sz w:val="28"/>
      <w:szCs w:val="28"/>
    </w:rPr>
  </w:style>
  <w:style w:type="paragraph" w:customStyle="1" w:styleId="30">
    <w:name w:val="!正文"/>
    <w:qFormat/>
    <w:uiPriority w:val="0"/>
    <w:pPr>
      <w:widowControl w:val="0"/>
      <w:adjustRightInd w:val="0"/>
      <w:snapToGrid w:val="0"/>
      <w:spacing w:line="360" w:lineRule="auto"/>
      <w:ind w:firstLine="200" w:firstLineChars="200"/>
      <w:jc w:val="both"/>
    </w:pPr>
    <w:rPr>
      <w:rFonts w:ascii="Times New Roman" w:hAnsi="Times New Roman" w:eastAsia="宋体" w:cs="宋体"/>
      <w:kern w:val="2"/>
      <w:sz w:val="28"/>
      <w:szCs w:val="22"/>
      <w:lang w:val="en-US" w:eastAsia="zh-CN" w:bidi="ar-SA"/>
    </w:rPr>
  </w:style>
  <w:style w:type="paragraph" w:customStyle="1" w:styleId="31">
    <w:name w:val="表格"/>
    <w:basedOn w:val="8"/>
    <w:qFormat/>
    <w:uiPriority w:val="0"/>
  </w:style>
  <w:style w:type="paragraph" w:customStyle="1" w:styleId="32">
    <w:name w:val="【正文】"/>
    <w:basedOn w:val="1"/>
    <w:link w:val="63"/>
    <w:qFormat/>
    <w:uiPriority w:val="0"/>
    <w:pPr>
      <w:spacing w:line="360" w:lineRule="auto"/>
      <w:ind w:firstLine="480" w:firstLineChars="200"/>
    </w:pPr>
    <w:rPr>
      <w:rFonts w:ascii="Times New Roman" w:hAnsi="Times New Roman" w:eastAsia="宋体"/>
      <w:sz w:val="24"/>
    </w:rPr>
  </w:style>
  <w:style w:type="paragraph" w:customStyle="1" w:styleId="33">
    <w:name w:val="中文报告书样式"/>
    <w:basedOn w:val="1"/>
    <w:qFormat/>
    <w:uiPriority w:val="0"/>
    <w:pPr>
      <w:adjustRightInd w:val="0"/>
      <w:spacing w:line="480" w:lineRule="atLeast"/>
      <w:ind w:firstLine="482"/>
    </w:pPr>
    <w:rPr>
      <w:kern w:val="24"/>
      <w:sz w:val="24"/>
      <w:szCs w:val="20"/>
    </w:rPr>
  </w:style>
  <w:style w:type="paragraph" w:customStyle="1" w:styleId="34">
    <w:name w:val="表文"/>
    <w:basedOn w:val="1"/>
    <w:qFormat/>
    <w:uiPriority w:val="0"/>
    <w:pPr>
      <w:tabs>
        <w:tab w:val="left" w:pos="1021"/>
      </w:tabs>
      <w:spacing w:line="360" w:lineRule="auto"/>
      <w:jc w:val="center"/>
    </w:pPr>
    <w:rPr>
      <w:kern w:val="0"/>
      <w:position w:val="-24"/>
      <w:szCs w:val="21"/>
    </w:rPr>
  </w:style>
  <w:style w:type="paragraph" w:customStyle="1" w:styleId="35">
    <w:name w:val="表头"/>
    <w:basedOn w:val="1"/>
    <w:qFormat/>
    <w:uiPriority w:val="0"/>
    <w:pPr>
      <w:widowControl/>
      <w:tabs>
        <w:tab w:val="left" w:pos="8207"/>
      </w:tabs>
      <w:spacing w:line="360" w:lineRule="auto"/>
      <w:jc w:val="center"/>
      <w:textAlignment w:val="baseline"/>
    </w:pPr>
    <w:rPr>
      <w:rFonts w:ascii="黑体" w:hAnsi="黑体" w:eastAsia="黑体"/>
      <w:bCs/>
      <w:sz w:val="24"/>
    </w:rPr>
  </w:style>
  <w:style w:type="paragraph" w:customStyle="1" w:styleId="36">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7">
    <w:name w:val="表中文字"/>
    <w:basedOn w:val="1"/>
    <w:link w:val="40"/>
    <w:qFormat/>
    <w:uiPriority w:val="0"/>
    <w:pPr>
      <w:jc w:val="center"/>
    </w:pPr>
    <w:rPr>
      <w:rFonts w:ascii="Times New Roman" w:hAnsi="Times New Roman"/>
    </w:rPr>
  </w:style>
  <w:style w:type="character" w:customStyle="1" w:styleId="38">
    <w:name w:val="font11"/>
    <w:basedOn w:val="24"/>
    <w:qFormat/>
    <w:uiPriority w:val="0"/>
    <w:rPr>
      <w:rFonts w:hint="default" w:ascii="Times New Roman" w:hAnsi="Times New Roman" w:cs="Times New Roman"/>
      <w:color w:val="000000"/>
      <w:sz w:val="21"/>
      <w:szCs w:val="21"/>
      <w:u w:val="none"/>
    </w:rPr>
  </w:style>
  <w:style w:type="paragraph" w:customStyle="1" w:styleId="39">
    <w:name w:val="【表中文字】"/>
    <w:basedOn w:val="1"/>
    <w:link w:val="64"/>
    <w:qFormat/>
    <w:uiPriority w:val="0"/>
    <w:pPr>
      <w:spacing w:line="380" w:lineRule="exact"/>
      <w:jc w:val="center"/>
    </w:pPr>
    <w:rPr>
      <w:rFonts w:ascii="宋体" w:hAnsi="宋体"/>
      <w:szCs w:val="20"/>
    </w:rPr>
  </w:style>
  <w:style w:type="character" w:customStyle="1" w:styleId="40">
    <w:name w:val="表中文字 Char Char"/>
    <w:link w:val="37"/>
    <w:qFormat/>
    <w:uiPriority w:val="0"/>
    <w:rPr>
      <w:rFonts w:ascii="Times New Roman" w:hAnsi="Times New Roman" w:cs="Times New Roman"/>
      <w:kern w:val="2"/>
      <w:sz w:val="21"/>
    </w:rPr>
  </w:style>
  <w:style w:type="paragraph" w:customStyle="1" w:styleId="41">
    <w:name w:val="内容"/>
    <w:basedOn w:val="1"/>
    <w:qFormat/>
    <w:uiPriority w:val="0"/>
    <w:pPr>
      <w:spacing w:before="50" w:beforeLines="50" w:after="50" w:afterLines="50"/>
      <w:ind w:firstLine="200" w:firstLineChars="200"/>
    </w:pPr>
    <w:rPr>
      <w:color w:val="000000"/>
      <w:sz w:val="24"/>
    </w:rPr>
  </w:style>
  <w:style w:type="paragraph" w:customStyle="1" w:styleId="42">
    <w:name w:val="表内文"/>
    <w:unhideWhenUsed/>
    <w:qFormat/>
    <w:uiPriority w:val="0"/>
    <w:pPr>
      <w:spacing w:line="360" w:lineRule="exact"/>
      <w:jc w:val="center"/>
    </w:pPr>
    <w:rPr>
      <w:rFonts w:hint="eastAsia" w:ascii="Times New Roman" w:hAnsi="Times New Roman" w:eastAsia="仿宋_GB2312" w:cs="Times New Roman"/>
      <w:color w:val="000000"/>
      <w:kern w:val="20"/>
      <w:sz w:val="24"/>
      <w:lang w:val="en-US" w:eastAsia="zh-CN" w:bidi="ar-SA"/>
    </w:rPr>
  </w:style>
  <w:style w:type="paragraph" w:customStyle="1" w:styleId="43">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44">
    <w:name w:val="西红门正文"/>
    <w:basedOn w:val="1"/>
    <w:unhideWhenUsed/>
    <w:qFormat/>
    <w:uiPriority w:val="0"/>
    <w:pPr>
      <w:spacing w:line="500" w:lineRule="exact"/>
      <w:ind w:firstLine="480" w:firstLineChars="200"/>
    </w:pPr>
    <w:rPr>
      <w:sz w:val="24"/>
      <w:szCs w:val="22"/>
    </w:rPr>
  </w:style>
  <w:style w:type="paragraph" w:customStyle="1" w:styleId="45">
    <w:name w:val="表格内容"/>
    <w:basedOn w:val="1"/>
    <w:link w:val="62"/>
    <w:qFormat/>
    <w:uiPriority w:val="0"/>
    <w:pPr>
      <w:spacing w:line="240" w:lineRule="exact"/>
      <w:jc w:val="center"/>
    </w:pPr>
    <w:rPr>
      <w:rFonts w:eastAsia="Times New Roman"/>
      <w:kern w:val="0"/>
      <w:szCs w:val="21"/>
      <w:lang w:val="zh-CN"/>
    </w:rPr>
  </w:style>
  <w:style w:type="paragraph" w:customStyle="1" w:styleId="46">
    <w:name w:val="Table Paragraph"/>
    <w:basedOn w:val="1"/>
    <w:qFormat/>
    <w:uiPriority w:val="1"/>
    <w:pPr>
      <w:jc w:val="left"/>
    </w:pPr>
    <w:rPr>
      <w:kern w:val="0"/>
      <w:sz w:val="22"/>
      <w:szCs w:val="22"/>
      <w:lang w:eastAsia="en-US"/>
    </w:rPr>
  </w:style>
  <w:style w:type="paragraph" w:customStyle="1" w:styleId="47">
    <w:name w:val="正文样式"/>
    <w:basedOn w:val="1"/>
    <w:qFormat/>
    <w:uiPriority w:val="0"/>
    <w:pPr>
      <w:adjustRightInd w:val="0"/>
      <w:snapToGrid w:val="0"/>
      <w:ind w:firstLine="480" w:firstLineChars="200"/>
      <w:jc w:val="left"/>
    </w:pPr>
  </w:style>
  <w:style w:type="paragraph" w:customStyle="1" w:styleId="48">
    <w:name w:val="正文01"/>
    <w:basedOn w:val="1"/>
    <w:qFormat/>
    <w:uiPriority w:val="0"/>
    <w:pPr>
      <w:spacing w:before="60" w:line="460" w:lineRule="exact"/>
      <w:ind w:firstLine="200" w:firstLineChars="200"/>
    </w:pPr>
    <w:rPr>
      <w:snapToGrid w:val="0"/>
      <w:kern w:val="0"/>
      <w:sz w:val="24"/>
    </w:rPr>
  </w:style>
  <w:style w:type="character" w:customStyle="1" w:styleId="49">
    <w:name w:val="批注文字 Char"/>
    <w:basedOn w:val="24"/>
    <w:link w:val="9"/>
    <w:qFormat/>
    <w:uiPriority w:val="0"/>
    <w:rPr>
      <w:rFonts w:ascii="Calibri" w:hAnsi="Calibri"/>
      <w:kern w:val="2"/>
      <w:sz w:val="21"/>
      <w:szCs w:val="24"/>
    </w:rPr>
  </w:style>
  <w:style w:type="character" w:customStyle="1" w:styleId="50">
    <w:name w:val="批注主题 Char"/>
    <w:basedOn w:val="49"/>
    <w:link w:val="20"/>
    <w:qFormat/>
    <w:uiPriority w:val="0"/>
    <w:rPr>
      <w:rFonts w:ascii="Calibri" w:hAnsi="Calibri"/>
      <w:b/>
      <w:bCs/>
      <w:kern w:val="2"/>
      <w:sz w:val="21"/>
      <w:szCs w:val="24"/>
    </w:rPr>
  </w:style>
  <w:style w:type="character" w:customStyle="1" w:styleId="51">
    <w:name w:val="批注框文本 Char"/>
    <w:basedOn w:val="24"/>
    <w:link w:val="14"/>
    <w:qFormat/>
    <w:uiPriority w:val="0"/>
    <w:rPr>
      <w:rFonts w:ascii="Calibri" w:hAnsi="Calibri"/>
      <w:kern w:val="2"/>
      <w:sz w:val="18"/>
      <w:szCs w:val="18"/>
    </w:rPr>
  </w:style>
  <w:style w:type="character" w:customStyle="1" w:styleId="52">
    <w:name w:val="纯文本 Char"/>
    <w:link w:val="12"/>
    <w:qFormat/>
    <w:uiPriority w:val="0"/>
    <w:rPr>
      <w:rFonts w:ascii="ˎ̥" w:hAnsi="ˎ̥"/>
      <w:sz w:val="18"/>
      <w:szCs w:val="18"/>
    </w:rPr>
  </w:style>
  <w:style w:type="paragraph" w:customStyle="1" w:styleId="53">
    <w:name w:val=".表1-1-1内容"/>
    <w:basedOn w:val="1"/>
    <w:qFormat/>
    <w:uiPriority w:val="0"/>
    <w:pPr>
      <w:spacing w:line="300" w:lineRule="exact"/>
      <w:jc w:val="center"/>
    </w:pPr>
    <w:rPr>
      <w:rFonts w:ascii="Times New Roman" w:hAnsi="Times New Roman"/>
      <w:kern w:val="0"/>
      <w:szCs w:val="21"/>
    </w:rPr>
  </w:style>
  <w:style w:type="paragraph" w:customStyle="1" w:styleId="54">
    <w:name w:val="zgr正文"/>
    <w:basedOn w:val="1"/>
    <w:qFormat/>
    <w:uiPriority w:val="0"/>
    <w:pPr>
      <w:spacing w:beforeLines="50" w:line="360" w:lineRule="auto"/>
      <w:ind w:firstLine="200" w:firstLineChars="200"/>
      <w:jc w:val="left"/>
    </w:pPr>
    <w:rPr>
      <w:rFonts w:ascii="Times New Roman" w:hAnsi="Times New Roman"/>
      <w:sz w:val="24"/>
      <w:szCs w:val="28"/>
    </w:rPr>
  </w:style>
  <w:style w:type="paragraph" w:customStyle="1" w:styleId="55">
    <w:name w:val="六表内容"/>
    <w:basedOn w:val="1"/>
    <w:qFormat/>
    <w:uiPriority w:val="0"/>
    <w:pPr>
      <w:widowControl/>
      <w:spacing w:line="340" w:lineRule="exact"/>
      <w:jc w:val="center"/>
    </w:pPr>
    <w:rPr>
      <w:rFonts w:ascii="Times New Roman" w:hAnsi="Times New Roman"/>
      <w:kern w:val="0"/>
      <w:sz w:val="20"/>
      <w:szCs w:val="21"/>
    </w:rPr>
  </w:style>
  <w:style w:type="character" w:customStyle="1" w:styleId="56">
    <w:name w:val="日期 Char"/>
    <w:basedOn w:val="24"/>
    <w:link w:val="13"/>
    <w:qFormat/>
    <w:uiPriority w:val="0"/>
    <w:rPr>
      <w:rFonts w:ascii="Calibri" w:hAnsi="Calibri"/>
      <w:kern w:val="2"/>
      <w:sz w:val="21"/>
      <w:szCs w:val="24"/>
    </w:rPr>
  </w:style>
  <w:style w:type="paragraph" w:customStyle="1" w:styleId="57">
    <w:name w:val="表格填充项"/>
    <w:basedOn w:val="1"/>
    <w:qFormat/>
    <w:uiPriority w:val="0"/>
    <w:pPr>
      <w:spacing w:line="240" w:lineRule="atLeast"/>
      <w:jc w:val="center"/>
    </w:pPr>
    <w:rPr>
      <w:rFonts w:ascii="宋体" w:hAnsi="宋体"/>
      <w:b/>
    </w:rPr>
  </w:style>
  <w:style w:type="character" w:customStyle="1" w:styleId="58">
    <w:name w:val="表中字 Char"/>
    <w:link w:val="59"/>
    <w:qFormat/>
    <w:locked/>
    <w:uiPriority w:val="0"/>
    <w:rPr>
      <w:kern w:val="2"/>
      <w:sz w:val="21"/>
      <w:szCs w:val="22"/>
      <w:lang w:val="zh-CN"/>
    </w:rPr>
  </w:style>
  <w:style w:type="paragraph" w:customStyle="1" w:styleId="59">
    <w:name w:val="表中字"/>
    <w:basedOn w:val="1"/>
    <w:link w:val="58"/>
    <w:qFormat/>
    <w:uiPriority w:val="0"/>
    <w:pPr>
      <w:spacing w:line="240" w:lineRule="atLeast"/>
      <w:jc w:val="center"/>
    </w:pPr>
    <w:rPr>
      <w:rFonts w:ascii="Times New Roman" w:hAnsi="Times New Roman"/>
      <w:szCs w:val="22"/>
      <w:lang w:val="zh-CN"/>
    </w:rPr>
  </w:style>
  <w:style w:type="paragraph" w:styleId="60">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61">
    <w:name w:val="Char Char Char Char Char Char Char2"/>
    <w:basedOn w:val="1"/>
    <w:qFormat/>
    <w:uiPriority w:val="0"/>
    <w:pPr>
      <w:spacing w:line="360" w:lineRule="auto"/>
      <w:ind w:firstLine="200" w:firstLineChars="200"/>
    </w:pPr>
    <w:rPr>
      <w:rFonts w:ascii="宋体" w:hAnsi="宋体" w:cs="宋体"/>
      <w:sz w:val="24"/>
    </w:rPr>
  </w:style>
  <w:style w:type="character" w:customStyle="1" w:styleId="62">
    <w:name w:val="表格内容 Char"/>
    <w:link w:val="45"/>
    <w:qFormat/>
    <w:uiPriority w:val="0"/>
    <w:rPr>
      <w:rFonts w:ascii="Calibri" w:hAnsi="Calibri" w:eastAsia="Times New Roman"/>
      <w:sz w:val="21"/>
      <w:szCs w:val="21"/>
      <w:lang w:val="zh-CN"/>
    </w:rPr>
  </w:style>
  <w:style w:type="character" w:customStyle="1" w:styleId="63">
    <w:name w:val="【正文】 Char"/>
    <w:link w:val="32"/>
    <w:qFormat/>
    <w:uiPriority w:val="0"/>
    <w:rPr>
      <w:rFonts w:ascii="Times New Roman" w:hAnsi="Times New Roman" w:eastAsia="宋体"/>
      <w:kern w:val="2"/>
      <w:sz w:val="24"/>
      <w:szCs w:val="24"/>
    </w:rPr>
  </w:style>
  <w:style w:type="character" w:customStyle="1" w:styleId="64">
    <w:name w:val="【表中文字】 Char"/>
    <w:link w:val="39"/>
    <w:qFormat/>
    <w:uiPriority w:val="0"/>
    <w:rPr>
      <w:rFonts w:ascii="宋体" w:hAnsi="宋体"/>
      <w:kern w:val="2"/>
      <w:sz w:val="21"/>
    </w:rPr>
  </w:style>
  <w:style w:type="character" w:customStyle="1" w:styleId="65">
    <w:name w:val="【表头】 Char"/>
    <w:link w:val="66"/>
    <w:qFormat/>
    <w:uiPriority w:val="0"/>
    <w:rPr>
      <w:rFonts w:eastAsia="黑体"/>
      <w:sz w:val="24"/>
    </w:rPr>
  </w:style>
  <w:style w:type="paragraph" w:customStyle="1" w:styleId="66">
    <w:name w:val="【表头】"/>
    <w:basedOn w:val="1"/>
    <w:link w:val="65"/>
    <w:qFormat/>
    <w:uiPriority w:val="0"/>
    <w:pPr>
      <w:spacing w:line="460" w:lineRule="exact"/>
      <w:jc w:val="center"/>
    </w:pPr>
    <w:rPr>
      <w:rFonts w:ascii="Times New Roman" w:hAnsi="Times New Roman" w:eastAsia="黑体"/>
      <w:kern w:val="0"/>
      <w:sz w:val="24"/>
      <w:szCs w:val="20"/>
    </w:rPr>
  </w:style>
  <w:style w:type="paragraph" w:styleId="67">
    <w:name w:val="List Paragraph"/>
    <w:basedOn w:val="1"/>
    <w:qFormat/>
    <w:uiPriority w:val="99"/>
    <w:pPr>
      <w:ind w:firstLine="420" w:firstLineChars="200"/>
    </w:pPr>
  </w:style>
  <w:style w:type="paragraph" w:customStyle="1" w:styleId="68">
    <w:name w:val="表格内容样式"/>
    <w:basedOn w:val="1"/>
    <w:next w:val="1"/>
    <w:qFormat/>
    <w:uiPriority w:val="0"/>
    <w:pPr>
      <w:spacing w:line="360" w:lineRule="exact"/>
      <w:jc w:val="center"/>
    </w:pPr>
    <w:rPr>
      <w:rFonts w:ascii="Times New Roman" w:hAnsi="Times New Roman"/>
    </w:rPr>
  </w:style>
  <w:style w:type="paragraph" w:customStyle="1" w:styleId="69">
    <w:name w:val="表格内容格式"/>
    <w:basedOn w:val="1"/>
    <w:next w:val="1"/>
    <w:unhideWhenUsed/>
    <w:qFormat/>
    <w:uiPriority w:val="0"/>
    <w:pPr>
      <w:spacing w:line="360" w:lineRule="exact"/>
      <w:jc w:val="center"/>
    </w:pPr>
    <w:rPr>
      <w:rFonts w:ascii="Times New Roman" w:hAnsi="Times New Roman"/>
    </w:rPr>
  </w:style>
  <w:style w:type="paragraph" w:customStyle="1" w:styleId="70">
    <w:name w:val="表格文字"/>
    <w:basedOn w:val="1"/>
    <w:link w:val="71"/>
    <w:qFormat/>
    <w:uiPriority w:val="0"/>
    <w:pPr>
      <w:widowControl/>
      <w:adjustRightInd w:val="0"/>
      <w:snapToGrid w:val="0"/>
      <w:jc w:val="center"/>
    </w:pPr>
    <w:rPr>
      <w:rFonts w:ascii="Times New Roman" w:hAnsi="Times New Roman"/>
      <w:szCs w:val="21"/>
    </w:rPr>
  </w:style>
  <w:style w:type="character" w:customStyle="1" w:styleId="71">
    <w:name w:val="表格文字 Char"/>
    <w:link w:val="70"/>
    <w:qFormat/>
    <w:uiPriority w:val="0"/>
    <w:rPr>
      <w:kern w:val="2"/>
      <w:sz w:val="21"/>
      <w:szCs w:val="21"/>
    </w:rPr>
  </w:style>
  <w:style w:type="character" w:customStyle="1" w:styleId="72">
    <w:name w:val="font51"/>
    <w:basedOn w:val="24"/>
    <w:qFormat/>
    <w:uiPriority w:val="0"/>
    <w:rPr>
      <w:rFonts w:hint="default" w:ascii="Times New Roman" w:hAnsi="Times New Roman" w:cs="Times New Roman"/>
      <w:color w:val="000000"/>
      <w:sz w:val="21"/>
      <w:szCs w:val="21"/>
      <w:u w:val="none"/>
    </w:rPr>
  </w:style>
  <w:style w:type="paragraph" w:customStyle="1" w:styleId="73">
    <w:name w:val="正文1"/>
    <w:qFormat/>
    <w:uiPriority w:val="99"/>
    <w:pPr>
      <w:widowControl w:val="0"/>
      <w:adjustRightInd w:val="0"/>
      <w:spacing w:line="360" w:lineRule="atLeast"/>
    </w:pPr>
    <w:rPr>
      <w:rFonts w:ascii="宋体" w:hAnsi="Times New Roman" w:eastAsia="宋体" w:cs="Times New Roman"/>
      <w:kern w:val="2"/>
      <w:sz w:val="24"/>
      <w:szCs w:val="22"/>
      <w:lang w:val="en-US" w:eastAsia="zh-CN" w:bidi="ar-SA"/>
    </w:rPr>
  </w:style>
  <w:style w:type="paragraph" w:customStyle="1" w:styleId="74">
    <w:name w:val="首行缩进正文"/>
    <w:basedOn w:val="1"/>
    <w:autoRedefine/>
    <w:qFormat/>
    <w:uiPriority w:val="0"/>
    <w:pPr>
      <w:autoSpaceDE w:val="0"/>
      <w:autoSpaceDN w:val="0"/>
      <w:adjustRightInd w:val="0"/>
      <w:snapToGrid w:val="0"/>
      <w:spacing w:line="500" w:lineRule="exact"/>
      <w:ind w:firstLine="480" w:firstLineChars="200"/>
    </w:pPr>
    <w:rPr>
      <w:rFonts w:eastAsia="宋体"/>
      <w:color w:val="000000" w:themeColor="text1"/>
      <w:kern w:val="0"/>
      <w:sz w:val="24"/>
      <w14:textFill>
        <w14:solidFill>
          <w14:schemeClr w14:val="tx1"/>
        </w14:solidFill>
      </w14:textFill>
    </w:rPr>
  </w:style>
  <w:style w:type="paragraph" w:customStyle="1" w:styleId="75">
    <w:name w:val="《正文》"/>
    <w:basedOn w:val="1"/>
    <w:autoRedefine/>
    <w:qFormat/>
    <w:uiPriority w:val="0"/>
    <w:pPr>
      <w:spacing w:line="360" w:lineRule="auto"/>
      <w:ind w:firstLine="200" w:firstLineChars="200"/>
    </w:pPr>
    <w:rPr>
      <w:sz w:val="24"/>
    </w:rPr>
  </w:style>
  <w:style w:type="paragraph" w:customStyle="1" w:styleId="76">
    <w:name w:val="一、"/>
    <w:basedOn w:val="74"/>
    <w:autoRedefine/>
    <w:qFormat/>
    <w:uiPriority w:val="0"/>
    <w:pPr>
      <w:ind w:firstLine="482"/>
    </w:pPr>
    <w:rPr>
      <w:b/>
      <w:bCs/>
    </w:rPr>
  </w:style>
  <w:style w:type="table" w:customStyle="1" w:styleId="7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2.xml"/><Relationship Id="rId39" Type="http://schemas.openxmlformats.org/officeDocument/2006/relationships/customXml" Target="../customXml/item1.xml"/><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Win10NeT.COM</Company>
  <Pages>58</Pages>
  <Words>6935</Words>
  <Characters>7966</Characters>
  <Lines>149</Lines>
  <Paragraphs>42</Paragraphs>
  <TotalTime>0</TotalTime>
  <ScaleCrop>false</ScaleCrop>
  <LinksUpToDate>false</LinksUpToDate>
  <CharactersWithSpaces>7971</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2021-06-29T05:50:00Z</dcterms:created>
  <dc:creator>Administrator</dc:creator>
  <cp:lastModifiedBy>梦嫌呓语</cp:lastModifiedBy>
  <cp:lastPrinted>2023-01-12T02:44:00Z</cp:lastPrinted>
  <dcterms:modified xsi:type="dcterms:W3CDTF">2024-11-27T05:40:21Z</dcterms:modified>
  <cp:revision>74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A2EBD3BA370C4D079510EBE58D279109_13</vt:lpwstr>
  </property>
</Properties>
</file>